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2B6E4" w14:textId="77777777" w:rsidR="006C34F1" w:rsidRPr="000E3272" w:rsidRDefault="006C34F1" w:rsidP="00174CA0">
      <w:pPr>
        <w:spacing w:after="0" w:line="264" w:lineRule="auto"/>
        <w:rPr>
          <w:rFonts w:ascii="Times New Roman" w:hAnsi="Times New Roman" w:cs="Times New Roman"/>
          <w:color w:val="FF0000"/>
          <w:sz w:val="24"/>
          <w:szCs w:val="24"/>
        </w:rPr>
      </w:pPr>
      <w:bookmarkStart w:id="0" w:name="_GoBack"/>
      <w:bookmarkEnd w:id="0"/>
    </w:p>
    <w:p w14:paraId="4A5F0BBD" w14:textId="77777777" w:rsidR="00563377" w:rsidRPr="000E3272" w:rsidRDefault="00563377" w:rsidP="00174CA0">
      <w:pPr>
        <w:spacing w:after="0" w:line="264" w:lineRule="auto"/>
        <w:rPr>
          <w:rFonts w:ascii="Times New Roman" w:hAnsi="Times New Roman" w:cs="Times New Roman"/>
          <w:color w:val="FF0000"/>
          <w:sz w:val="24"/>
          <w:szCs w:val="24"/>
        </w:rPr>
      </w:pPr>
    </w:p>
    <w:p w14:paraId="3B52335E" w14:textId="77777777" w:rsidR="00174CA0" w:rsidRPr="000E3272" w:rsidRDefault="00174CA0" w:rsidP="00174CA0">
      <w:pPr>
        <w:spacing w:after="0" w:line="264" w:lineRule="auto"/>
        <w:rPr>
          <w:rFonts w:ascii="Times New Roman" w:hAnsi="Times New Roman" w:cs="Times New Roman"/>
          <w:color w:val="FF0000"/>
          <w:sz w:val="24"/>
          <w:szCs w:val="24"/>
        </w:rPr>
      </w:pPr>
    </w:p>
    <w:p w14:paraId="5B897197" w14:textId="77777777" w:rsidR="00174CA0" w:rsidRPr="000E3272" w:rsidRDefault="00174CA0" w:rsidP="00174CA0">
      <w:pPr>
        <w:spacing w:after="0" w:line="264" w:lineRule="auto"/>
        <w:rPr>
          <w:rFonts w:ascii="Times New Roman" w:hAnsi="Times New Roman" w:cs="Times New Roman"/>
          <w:color w:val="FF0000"/>
          <w:sz w:val="24"/>
          <w:szCs w:val="24"/>
        </w:rPr>
      </w:pPr>
    </w:p>
    <w:p w14:paraId="42D7A2E5" w14:textId="77777777" w:rsidR="00174CA0" w:rsidRPr="000E3272" w:rsidRDefault="00174CA0" w:rsidP="00174CA0">
      <w:pPr>
        <w:spacing w:after="0" w:line="264" w:lineRule="auto"/>
        <w:rPr>
          <w:rFonts w:ascii="Times New Roman" w:hAnsi="Times New Roman" w:cs="Times New Roman"/>
          <w:color w:val="FF0000"/>
          <w:sz w:val="24"/>
          <w:szCs w:val="24"/>
        </w:rPr>
      </w:pPr>
    </w:p>
    <w:p w14:paraId="6590FA63" w14:textId="77777777" w:rsidR="00174CA0" w:rsidRPr="000E3272" w:rsidRDefault="00174CA0" w:rsidP="00174CA0">
      <w:pPr>
        <w:spacing w:after="0" w:line="264" w:lineRule="auto"/>
        <w:rPr>
          <w:rFonts w:ascii="Times New Roman" w:hAnsi="Times New Roman" w:cs="Times New Roman"/>
          <w:color w:val="FF0000"/>
          <w:sz w:val="24"/>
          <w:szCs w:val="24"/>
        </w:rPr>
      </w:pPr>
    </w:p>
    <w:p w14:paraId="05E2A7F2" w14:textId="77777777" w:rsidR="00174CA0" w:rsidRPr="000E3272" w:rsidRDefault="00174CA0" w:rsidP="00174CA0">
      <w:pPr>
        <w:spacing w:after="0" w:line="264" w:lineRule="auto"/>
        <w:rPr>
          <w:rFonts w:ascii="Times New Roman" w:hAnsi="Times New Roman" w:cs="Times New Roman"/>
          <w:color w:val="FF0000"/>
          <w:sz w:val="24"/>
          <w:szCs w:val="24"/>
        </w:rPr>
      </w:pPr>
    </w:p>
    <w:p w14:paraId="6351ABAE" w14:textId="77777777" w:rsidR="00174CA0" w:rsidRPr="000E3272" w:rsidRDefault="00174CA0" w:rsidP="00174CA0">
      <w:pPr>
        <w:spacing w:after="0" w:line="264" w:lineRule="auto"/>
        <w:rPr>
          <w:rFonts w:ascii="Times New Roman" w:hAnsi="Times New Roman" w:cs="Times New Roman"/>
          <w:color w:val="FF0000"/>
          <w:sz w:val="24"/>
          <w:szCs w:val="24"/>
        </w:rPr>
      </w:pPr>
    </w:p>
    <w:p w14:paraId="4F3417F7" w14:textId="77777777" w:rsidR="006C34F1" w:rsidRPr="000E3272" w:rsidRDefault="00563377" w:rsidP="00174CA0">
      <w:pPr>
        <w:spacing w:after="0" w:line="264" w:lineRule="auto"/>
        <w:jc w:val="center"/>
        <w:rPr>
          <w:rFonts w:ascii="Times New Roman" w:hAnsi="Times New Roman" w:cs="Times New Roman"/>
          <w:b/>
          <w:smallCaps/>
          <w:sz w:val="44"/>
          <w:szCs w:val="44"/>
        </w:rPr>
      </w:pPr>
      <w:r w:rsidRPr="000E3272">
        <w:rPr>
          <w:rFonts w:ascii="Times New Roman" w:hAnsi="Times New Roman" w:cs="Times New Roman"/>
          <w:b/>
          <w:smallCaps/>
          <w:sz w:val="44"/>
          <w:szCs w:val="44"/>
        </w:rPr>
        <w:t>Oświadczenie na temat ryzyka</w:t>
      </w:r>
    </w:p>
    <w:p w14:paraId="1C882BD6" w14:textId="77777777" w:rsidR="00563377" w:rsidRPr="000E3272" w:rsidRDefault="00563377" w:rsidP="00174CA0">
      <w:pPr>
        <w:spacing w:after="0" w:line="264" w:lineRule="auto"/>
        <w:rPr>
          <w:rFonts w:ascii="Times New Roman" w:hAnsi="Times New Roman" w:cs="Times New Roman"/>
          <w:sz w:val="24"/>
          <w:szCs w:val="24"/>
        </w:rPr>
      </w:pPr>
    </w:p>
    <w:p w14:paraId="2F0660B3" w14:textId="77777777" w:rsidR="00563377" w:rsidRPr="000E3272" w:rsidRDefault="00563377" w:rsidP="00174CA0">
      <w:pPr>
        <w:spacing w:after="0" w:line="264" w:lineRule="auto"/>
        <w:jc w:val="both"/>
        <w:rPr>
          <w:rFonts w:ascii="Times New Roman" w:hAnsi="Times New Roman" w:cs="Times New Roman"/>
          <w:sz w:val="24"/>
          <w:szCs w:val="24"/>
        </w:rPr>
      </w:pPr>
      <w:r w:rsidRPr="000E3272">
        <w:rPr>
          <w:rFonts w:ascii="Times New Roman" w:hAnsi="Times New Roman" w:cs="Times New Roman"/>
          <w:sz w:val="24"/>
          <w:szCs w:val="24"/>
        </w:rPr>
        <w:t>Niniejsze oświadczenie zawiera informacje dotyczące profilu ryzyka Banku na dzień 31.12.</w:t>
      </w:r>
      <w:r w:rsidR="00D35521" w:rsidRPr="000E3272">
        <w:rPr>
          <w:rFonts w:ascii="Times New Roman" w:hAnsi="Times New Roman" w:cs="Times New Roman"/>
          <w:sz w:val="24"/>
          <w:szCs w:val="24"/>
        </w:rPr>
        <w:t>20</w:t>
      </w:r>
      <w:r w:rsidR="000E3272" w:rsidRPr="000E3272">
        <w:rPr>
          <w:rFonts w:ascii="Times New Roman" w:hAnsi="Times New Roman" w:cs="Times New Roman"/>
          <w:sz w:val="24"/>
          <w:szCs w:val="24"/>
        </w:rPr>
        <w:t>20</w:t>
      </w:r>
      <w:r w:rsidR="00D35521" w:rsidRPr="000E3272">
        <w:rPr>
          <w:rFonts w:ascii="Times New Roman" w:hAnsi="Times New Roman" w:cs="Times New Roman"/>
          <w:sz w:val="24"/>
          <w:szCs w:val="24"/>
        </w:rPr>
        <w:t xml:space="preserve"> </w:t>
      </w:r>
      <w:r w:rsidRPr="000E3272">
        <w:rPr>
          <w:rFonts w:ascii="Times New Roman" w:hAnsi="Times New Roman" w:cs="Times New Roman"/>
          <w:sz w:val="24"/>
          <w:szCs w:val="24"/>
        </w:rPr>
        <w:t xml:space="preserve">r., związanego </w:t>
      </w:r>
      <w:r w:rsidR="00054A41" w:rsidRPr="000E3272">
        <w:rPr>
          <w:rFonts w:ascii="Times New Roman" w:hAnsi="Times New Roman" w:cs="Times New Roman"/>
          <w:sz w:val="24"/>
          <w:szCs w:val="24"/>
        </w:rPr>
        <w:t>z</w:t>
      </w:r>
      <w:r w:rsidRPr="000E3272">
        <w:rPr>
          <w:rFonts w:ascii="Times New Roman" w:hAnsi="Times New Roman" w:cs="Times New Roman"/>
          <w:sz w:val="24"/>
          <w:szCs w:val="24"/>
        </w:rPr>
        <w:t>e strategią działalności Banku, a także kluczowe wskaźniki i dane liczbowe, zapewniające zewnętrznym zainteresowanym stronom całościowy obraz zarządzania ryzykiem przez instytucję, w tym reakcji między profilem ryzyka instytucji a tolerancji na ryzyko określoną przez organ zarządzający Banku,  w rozumieniu art. 435 ust</w:t>
      </w:r>
      <w:r w:rsidR="008E1171" w:rsidRPr="000E3272">
        <w:rPr>
          <w:rFonts w:ascii="Times New Roman" w:hAnsi="Times New Roman" w:cs="Times New Roman"/>
          <w:sz w:val="24"/>
          <w:szCs w:val="24"/>
        </w:rPr>
        <w:t>.</w:t>
      </w:r>
      <w:r w:rsidRPr="000E3272">
        <w:rPr>
          <w:rFonts w:ascii="Times New Roman" w:hAnsi="Times New Roman" w:cs="Times New Roman"/>
          <w:sz w:val="24"/>
          <w:szCs w:val="24"/>
        </w:rPr>
        <w:t xml:space="preserve"> 1 lit. f) Rozporządzenia CRR</w:t>
      </w:r>
      <w:r w:rsidR="003B5706" w:rsidRPr="000E3272">
        <w:rPr>
          <w:rFonts w:ascii="Times New Roman" w:hAnsi="Times New Roman" w:cs="Times New Roman"/>
          <w:sz w:val="24"/>
          <w:szCs w:val="24"/>
        </w:rPr>
        <w:t>.</w:t>
      </w:r>
    </w:p>
    <w:p w14:paraId="22B87019" w14:textId="77777777" w:rsidR="00563377" w:rsidRPr="000E3272" w:rsidRDefault="00563377" w:rsidP="00174CA0">
      <w:pPr>
        <w:spacing w:after="0" w:line="264" w:lineRule="auto"/>
        <w:rPr>
          <w:rFonts w:ascii="Times New Roman" w:hAnsi="Times New Roman" w:cs="Times New Roman"/>
          <w:sz w:val="24"/>
          <w:szCs w:val="24"/>
        </w:rPr>
      </w:pPr>
    </w:p>
    <w:p w14:paraId="18B123FC" w14:textId="77777777" w:rsidR="00563377" w:rsidRPr="000E3272" w:rsidRDefault="00563377" w:rsidP="00174CA0">
      <w:pPr>
        <w:spacing w:after="0" w:line="264" w:lineRule="auto"/>
        <w:rPr>
          <w:rFonts w:ascii="Times New Roman" w:hAnsi="Times New Roman" w:cs="Times New Roman"/>
          <w:sz w:val="24"/>
          <w:szCs w:val="24"/>
        </w:rPr>
      </w:pPr>
    </w:p>
    <w:p w14:paraId="5EBE372A" w14:textId="3B9A6881" w:rsidR="00563377" w:rsidRPr="000E3272" w:rsidRDefault="00563377" w:rsidP="00F216D4">
      <w:pPr>
        <w:spacing w:after="0" w:line="264" w:lineRule="auto"/>
        <w:jc w:val="right"/>
        <w:rPr>
          <w:rFonts w:ascii="Times New Roman" w:hAnsi="Times New Roman" w:cs="Times New Roman"/>
          <w:sz w:val="24"/>
          <w:szCs w:val="24"/>
        </w:rPr>
      </w:pPr>
      <w:r w:rsidRPr="000E3272">
        <w:rPr>
          <w:rFonts w:ascii="Times New Roman" w:hAnsi="Times New Roman" w:cs="Times New Roman"/>
          <w:sz w:val="24"/>
          <w:szCs w:val="24"/>
        </w:rPr>
        <w:t xml:space="preserve">Zarząd Warmińsko–Mazurskiego Banku Spółdzielczego </w:t>
      </w:r>
    </w:p>
    <w:p w14:paraId="42571E13" w14:textId="77777777" w:rsidR="006C34F1" w:rsidRPr="000E3272" w:rsidRDefault="006C34F1" w:rsidP="00174CA0">
      <w:pPr>
        <w:spacing w:after="0" w:line="264" w:lineRule="auto"/>
        <w:rPr>
          <w:rFonts w:ascii="Times New Roman" w:hAnsi="Times New Roman" w:cs="Times New Roman"/>
          <w:sz w:val="24"/>
          <w:szCs w:val="24"/>
        </w:rPr>
      </w:pPr>
    </w:p>
    <w:p w14:paraId="0A5C480D" w14:textId="77777777" w:rsidR="008E1171" w:rsidRPr="000E3272" w:rsidRDefault="008E1171" w:rsidP="00174CA0">
      <w:pPr>
        <w:spacing w:after="0" w:line="264" w:lineRule="auto"/>
        <w:rPr>
          <w:rFonts w:ascii="Times New Roman" w:hAnsi="Times New Roman" w:cs="Times New Roman"/>
          <w:sz w:val="24"/>
          <w:szCs w:val="24"/>
        </w:rPr>
      </w:pPr>
    </w:p>
    <w:p w14:paraId="1144CCEE" w14:textId="77777777" w:rsidR="00563377" w:rsidRPr="000E3272" w:rsidRDefault="00563377" w:rsidP="00174CA0">
      <w:pPr>
        <w:spacing w:after="0" w:line="264" w:lineRule="auto"/>
        <w:rPr>
          <w:rFonts w:ascii="Times New Roman" w:hAnsi="Times New Roman" w:cs="Times New Roman"/>
          <w:sz w:val="24"/>
          <w:szCs w:val="24"/>
        </w:rPr>
      </w:pPr>
    </w:p>
    <w:p w14:paraId="17766E67" w14:textId="77777777" w:rsidR="006C34F1" w:rsidRPr="000E3272" w:rsidRDefault="006C34F1" w:rsidP="00174CA0">
      <w:pPr>
        <w:spacing w:after="0" w:line="264" w:lineRule="auto"/>
        <w:rPr>
          <w:rFonts w:ascii="Times New Roman" w:hAnsi="Times New Roman" w:cs="Times New Roman"/>
          <w:sz w:val="24"/>
          <w:szCs w:val="24"/>
        </w:rPr>
      </w:pPr>
    </w:p>
    <w:p w14:paraId="357611C7" w14:textId="77777777" w:rsidR="006C34F1" w:rsidRPr="000E3272" w:rsidRDefault="003F7C3D" w:rsidP="003F7C3D">
      <w:pPr>
        <w:tabs>
          <w:tab w:val="left" w:pos="7170"/>
        </w:tabs>
        <w:spacing w:after="0" w:line="264" w:lineRule="auto"/>
        <w:rPr>
          <w:rFonts w:ascii="Times New Roman" w:hAnsi="Times New Roman" w:cs="Times New Roman"/>
          <w:sz w:val="24"/>
          <w:szCs w:val="24"/>
        </w:rPr>
      </w:pPr>
      <w:r>
        <w:rPr>
          <w:rFonts w:ascii="Times New Roman" w:hAnsi="Times New Roman" w:cs="Times New Roman"/>
          <w:sz w:val="24"/>
          <w:szCs w:val="24"/>
        </w:rPr>
        <w:tab/>
      </w:r>
    </w:p>
    <w:p w14:paraId="0D94C727" w14:textId="77777777" w:rsidR="006C34F1" w:rsidRPr="000E3272" w:rsidRDefault="006C34F1" w:rsidP="00174CA0">
      <w:pPr>
        <w:spacing w:after="0" w:line="264" w:lineRule="auto"/>
        <w:rPr>
          <w:rFonts w:ascii="Times New Roman" w:hAnsi="Times New Roman" w:cs="Times New Roman"/>
          <w:sz w:val="24"/>
          <w:szCs w:val="24"/>
        </w:rPr>
      </w:pPr>
    </w:p>
    <w:p w14:paraId="1FA8DE10" w14:textId="77777777" w:rsidR="006C34F1" w:rsidRPr="000E3272" w:rsidRDefault="006C34F1" w:rsidP="00174CA0">
      <w:pPr>
        <w:spacing w:after="0" w:line="264" w:lineRule="auto"/>
        <w:rPr>
          <w:rFonts w:ascii="Times New Roman" w:hAnsi="Times New Roman" w:cs="Times New Roman"/>
          <w:sz w:val="24"/>
          <w:szCs w:val="24"/>
        </w:rPr>
      </w:pPr>
    </w:p>
    <w:p w14:paraId="2C5BDCD0" w14:textId="77777777" w:rsidR="006C34F1" w:rsidRPr="000E3272" w:rsidRDefault="006C34F1" w:rsidP="00174CA0">
      <w:pPr>
        <w:spacing w:after="0" w:line="264" w:lineRule="auto"/>
        <w:rPr>
          <w:rFonts w:ascii="Times New Roman" w:hAnsi="Times New Roman" w:cs="Times New Roman"/>
          <w:sz w:val="24"/>
          <w:szCs w:val="24"/>
        </w:rPr>
      </w:pPr>
    </w:p>
    <w:p w14:paraId="5B32D899" w14:textId="2DA7F1FC" w:rsidR="00054A41" w:rsidRDefault="00054A41" w:rsidP="00174CA0">
      <w:pPr>
        <w:spacing w:after="0" w:line="264" w:lineRule="auto"/>
        <w:rPr>
          <w:rFonts w:ascii="Times New Roman" w:hAnsi="Times New Roman" w:cs="Times New Roman"/>
          <w:sz w:val="24"/>
          <w:szCs w:val="24"/>
        </w:rPr>
      </w:pPr>
    </w:p>
    <w:p w14:paraId="1EFB1136" w14:textId="20D01518" w:rsidR="00F216D4" w:rsidRDefault="00F216D4" w:rsidP="00174CA0">
      <w:pPr>
        <w:spacing w:after="0" w:line="264" w:lineRule="auto"/>
        <w:rPr>
          <w:rFonts w:ascii="Times New Roman" w:hAnsi="Times New Roman" w:cs="Times New Roman"/>
          <w:sz w:val="24"/>
          <w:szCs w:val="24"/>
        </w:rPr>
      </w:pPr>
    </w:p>
    <w:p w14:paraId="69C5F057" w14:textId="69A22367" w:rsidR="00F216D4" w:rsidRDefault="00F216D4" w:rsidP="00174CA0">
      <w:pPr>
        <w:spacing w:after="0" w:line="264" w:lineRule="auto"/>
        <w:rPr>
          <w:rFonts w:ascii="Times New Roman" w:hAnsi="Times New Roman" w:cs="Times New Roman"/>
          <w:sz w:val="24"/>
          <w:szCs w:val="24"/>
        </w:rPr>
      </w:pPr>
    </w:p>
    <w:p w14:paraId="0C35128B" w14:textId="6B151617" w:rsidR="00F216D4" w:rsidRDefault="00F216D4" w:rsidP="00174CA0">
      <w:pPr>
        <w:spacing w:after="0" w:line="264" w:lineRule="auto"/>
        <w:rPr>
          <w:rFonts w:ascii="Times New Roman" w:hAnsi="Times New Roman" w:cs="Times New Roman"/>
          <w:sz w:val="24"/>
          <w:szCs w:val="24"/>
        </w:rPr>
      </w:pPr>
    </w:p>
    <w:p w14:paraId="22FD6805" w14:textId="6E8C3E70" w:rsidR="00F216D4" w:rsidRDefault="00F216D4" w:rsidP="00174CA0">
      <w:pPr>
        <w:spacing w:after="0" w:line="264" w:lineRule="auto"/>
        <w:rPr>
          <w:rFonts w:ascii="Times New Roman" w:hAnsi="Times New Roman" w:cs="Times New Roman"/>
          <w:sz w:val="24"/>
          <w:szCs w:val="24"/>
        </w:rPr>
      </w:pPr>
    </w:p>
    <w:p w14:paraId="1544387D" w14:textId="77777777" w:rsidR="00F216D4" w:rsidRPr="000E3272" w:rsidRDefault="00F216D4" w:rsidP="00174CA0">
      <w:pPr>
        <w:spacing w:after="0" w:line="264" w:lineRule="auto"/>
        <w:rPr>
          <w:rFonts w:ascii="Times New Roman" w:hAnsi="Times New Roman" w:cs="Times New Roman"/>
          <w:sz w:val="24"/>
          <w:szCs w:val="24"/>
        </w:rPr>
      </w:pPr>
    </w:p>
    <w:p w14:paraId="48AC58E5" w14:textId="77777777" w:rsidR="00054A41" w:rsidRPr="000E3272" w:rsidRDefault="00054A41" w:rsidP="00174CA0">
      <w:pPr>
        <w:spacing w:after="0" w:line="264" w:lineRule="auto"/>
        <w:rPr>
          <w:rFonts w:ascii="Times New Roman" w:hAnsi="Times New Roman" w:cs="Times New Roman"/>
          <w:color w:val="FF0000"/>
          <w:sz w:val="24"/>
          <w:szCs w:val="24"/>
        </w:rPr>
      </w:pPr>
    </w:p>
    <w:p w14:paraId="16DB37F0" w14:textId="77777777" w:rsidR="00054A41" w:rsidRPr="000E3272" w:rsidRDefault="00054A41" w:rsidP="00174CA0">
      <w:pPr>
        <w:spacing w:after="0" w:line="264" w:lineRule="auto"/>
        <w:rPr>
          <w:rFonts w:ascii="Times New Roman" w:hAnsi="Times New Roman" w:cs="Times New Roman"/>
          <w:color w:val="FF0000"/>
          <w:sz w:val="24"/>
          <w:szCs w:val="24"/>
        </w:rPr>
      </w:pPr>
    </w:p>
    <w:p w14:paraId="72FDB77E" w14:textId="77777777" w:rsidR="00054A41" w:rsidRPr="000E3272" w:rsidRDefault="00054A41" w:rsidP="00174CA0">
      <w:pPr>
        <w:spacing w:after="0" w:line="264" w:lineRule="auto"/>
        <w:rPr>
          <w:rFonts w:ascii="Times New Roman" w:hAnsi="Times New Roman" w:cs="Times New Roman"/>
          <w:color w:val="FF0000"/>
          <w:sz w:val="24"/>
          <w:szCs w:val="24"/>
        </w:rPr>
      </w:pPr>
    </w:p>
    <w:p w14:paraId="0A755DA7" w14:textId="77777777" w:rsidR="008E1171" w:rsidRPr="000E3272" w:rsidRDefault="008E1171" w:rsidP="00174CA0">
      <w:pPr>
        <w:spacing w:after="0" w:line="264" w:lineRule="auto"/>
        <w:rPr>
          <w:rFonts w:ascii="Times New Roman" w:hAnsi="Times New Roman" w:cs="Times New Roman"/>
          <w:color w:val="FF0000"/>
          <w:sz w:val="24"/>
          <w:szCs w:val="24"/>
        </w:rPr>
      </w:pPr>
    </w:p>
    <w:p w14:paraId="53969354" w14:textId="77777777" w:rsidR="001A1F61" w:rsidRPr="000E3272" w:rsidRDefault="001A1F61" w:rsidP="00174CA0">
      <w:pPr>
        <w:spacing w:after="0" w:line="264" w:lineRule="auto"/>
        <w:rPr>
          <w:rFonts w:ascii="Times New Roman" w:hAnsi="Times New Roman" w:cs="Times New Roman"/>
          <w:color w:val="FF0000"/>
          <w:sz w:val="24"/>
          <w:szCs w:val="24"/>
        </w:rPr>
      </w:pPr>
    </w:p>
    <w:p w14:paraId="529ED82E" w14:textId="77777777" w:rsidR="00340B05" w:rsidRPr="000E3272" w:rsidRDefault="00340B05" w:rsidP="00174CA0">
      <w:pPr>
        <w:spacing w:after="0" w:line="264" w:lineRule="auto"/>
        <w:rPr>
          <w:rFonts w:ascii="Times New Roman" w:hAnsi="Times New Roman" w:cs="Times New Roman"/>
          <w:color w:val="FF0000"/>
          <w:sz w:val="24"/>
          <w:szCs w:val="24"/>
        </w:rPr>
      </w:pPr>
    </w:p>
    <w:p w14:paraId="32D82E4F" w14:textId="77777777" w:rsidR="008D144F" w:rsidRDefault="008D144F" w:rsidP="00174CA0">
      <w:pPr>
        <w:spacing w:after="0" w:line="264" w:lineRule="auto"/>
        <w:rPr>
          <w:rFonts w:ascii="Times New Roman" w:hAnsi="Times New Roman" w:cs="Times New Roman"/>
          <w:sz w:val="24"/>
          <w:szCs w:val="24"/>
        </w:rPr>
      </w:pPr>
    </w:p>
    <w:p w14:paraId="71069BD2" w14:textId="77777777" w:rsidR="00246125" w:rsidRDefault="00246125" w:rsidP="00174CA0">
      <w:pPr>
        <w:spacing w:after="0" w:line="264" w:lineRule="auto"/>
        <w:rPr>
          <w:rFonts w:ascii="Times New Roman" w:hAnsi="Times New Roman" w:cs="Times New Roman"/>
          <w:sz w:val="24"/>
          <w:szCs w:val="24"/>
        </w:rPr>
      </w:pPr>
    </w:p>
    <w:p w14:paraId="2594AFD1" w14:textId="77777777" w:rsidR="00246125" w:rsidRDefault="00246125" w:rsidP="00174CA0">
      <w:pPr>
        <w:spacing w:after="0" w:line="264" w:lineRule="auto"/>
        <w:rPr>
          <w:rFonts w:ascii="Times New Roman" w:hAnsi="Times New Roman" w:cs="Times New Roman"/>
          <w:sz w:val="24"/>
          <w:szCs w:val="24"/>
        </w:rPr>
      </w:pPr>
    </w:p>
    <w:p w14:paraId="5429A763" w14:textId="77777777" w:rsidR="00246125" w:rsidRPr="00F13BF0" w:rsidRDefault="00246125" w:rsidP="00174CA0">
      <w:pPr>
        <w:spacing w:after="0" w:line="264"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2056388838"/>
        <w:docPartObj>
          <w:docPartGallery w:val="Table of Contents"/>
          <w:docPartUnique/>
        </w:docPartObj>
      </w:sdtPr>
      <w:sdtEndPr>
        <w:rPr>
          <w:b/>
          <w:bCs/>
          <w:color w:val="FF0000"/>
        </w:rPr>
      </w:sdtEndPr>
      <w:sdtContent>
        <w:p w14:paraId="2A755F1F" w14:textId="77777777" w:rsidR="008D144F" w:rsidRPr="00F13BF0" w:rsidRDefault="008D144F">
          <w:pPr>
            <w:pStyle w:val="Nagwekspisutreci"/>
            <w:rPr>
              <w:rFonts w:ascii="Times New Roman" w:hAnsi="Times New Roman" w:cs="Times New Roman"/>
              <w:b/>
              <w:color w:val="auto"/>
            </w:rPr>
          </w:pPr>
          <w:r w:rsidRPr="00F13BF0">
            <w:rPr>
              <w:rFonts w:ascii="Times New Roman" w:hAnsi="Times New Roman" w:cs="Times New Roman"/>
              <w:b/>
              <w:color w:val="auto"/>
            </w:rPr>
            <w:t>Spis treści</w:t>
          </w:r>
        </w:p>
        <w:p w14:paraId="73CEFA9B" w14:textId="77777777" w:rsidR="008516D2" w:rsidRPr="00F13BF0" w:rsidRDefault="008516D2" w:rsidP="008516D2">
          <w:pPr>
            <w:rPr>
              <w:rFonts w:ascii="Times New Roman" w:hAnsi="Times New Roman" w:cs="Times New Roman"/>
              <w:b/>
              <w:lang w:eastAsia="pl-PL"/>
            </w:rPr>
          </w:pPr>
        </w:p>
        <w:p w14:paraId="6670FE0C" w14:textId="77777777" w:rsidR="00B12710" w:rsidRPr="00F13BF0" w:rsidRDefault="008D144F">
          <w:pPr>
            <w:pStyle w:val="Spistreci1"/>
            <w:rPr>
              <w:rFonts w:ascii="Times New Roman" w:eastAsiaTheme="minorEastAsia" w:hAnsi="Times New Roman" w:cs="Times New Roman"/>
              <w:noProof/>
              <w:lang w:eastAsia="pl-PL"/>
            </w:rPr>
          </w:pPr>
          <w:r w:rsidRPr="00F13BF0">
            <w:rPr>
              <w:rFonts w:ascii="Times New Roman" w:hAnsi="Times New Roman" w:cs="Times New Roman"/>
              <w:b/>
              <w:bCs/>
            </w:rPr>
            <w:fldChar w:fldCharType="begin"/>
          </w:r>
          <w:r w:rsidRPr="00F13BF0">
            <w:rPr>
              <w:rFonts w:ascii="Times New Roman" w:hAnsi="Times New Roman" w:cs="Times New Roman"/>
              <w:b/>
              <w:bCs/>
            </w:rPr>
            <w:instrText xml:space="preserve"> TOC \o "1-3" \h \z \u </w:instrText>
          </w:r>
          <w:r w:rsidRPr="00F13BF0">
            <w:rPr>
              <w:rFonts w:ascii="Times New Roman" w:hAnsi="Times New Roman" w:cs="Times New Roman"/>
              <w:b/>
              <w:bCs/>
            </w:rPr>
            <w:fldChar w:fldCharType="separate"/>
          </w:r>
          <w:hyperlink w:anchor="_Toc44930253" w:history="1">
            <w:r w:rsidR="00B12710" w:rsidRPr="00F13BF0">
              <w:rPr>
                <w:rStyle w:val="Hipercze"/>
                <w:rFonts w:ascii="Times New Roman" w:hAnsi="Times New Roman" w:cs="Times New Roman"/>
                <w:noProof/>
                <w:color w:val="auto"/>
              </w:rPr>
              <w:t>WSTĘP</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_Toc44930253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4</w:t>
            </w:r>
            <w:r w:rsidR="00B12710" w:rsidRPr="00F13BF0">
              <w:rPr>
                <w:rFonts w:ascii="Times New Roman" w:hAnsi="Times New Roman" w:cs="Times New Roman"/>
                <w:noProof/>
                <w:webHidden/>
              </w:rPr>
              <w:fldChar w:fldCharType="end"/>
            </w:r>
          </w:hyperlink>
        </w:p>
        <w:p w14:paraId="17CF0860" w14:textId="77777777" w:rsidR="00B12710" w:rsidRPr="00F13BF0" w:rsidRDefault="00C22D8B">
          <w:pPr>
            <w:pStyle w:val="Spistreci1"/>
            <w:rPr>
              <w:rFonts w:ascii="Times New Roman" w:eastAsiaTheme="minorEastAsia" w:hAnsi="Times New Roman" w:cs="Times New Roman"/>
              <w:noProof/>
              <w:lang w:eastAsia="pl-PL"/>
            </w:rPr>
          </w:pPr>
          <w:hyperlink w:anchor="_Toc44930254" w:history="1">
            <w:r w:rsidR="00B12710" w:rsidRPr="00F13BF0">
              <w:rPr>
                <w:rStyle w:val="Hipercze"/>
                <w:rFonts w:ascii="Times New Roman" w:hAnsi="Times New Roman" w:cs="Times New Roman"/>
                <w:noProof/>
                <w:color w:val="auto"/>
              </w:rPr>
              <w:t>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ŁAD KORPORACYJNY</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_Toc44930254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4</w:t>
            </w:r>
            <w:r w:rsidR="00B12710" w:rsidRPr="00F13BF0">
              <w:rPr>
                <w:rFonts w:ascii="Times New Roman" w:hAnsi="Times New Roman" w:cs="Times New Roman"/>
                <w:noProof/>
                <w:webHidden/>
              </w:rPr>
              <w:fldChar w:fldCharType="end"/>
            </w:r>
          </w:hyperlink>
        </w:p>
        <w:p w14:paraId="7C810192" w14:textId="77777777" w:rsidR="00B12710" w:rsidRPr="00F13BF0" w:rsidRDefault="00C22D8B">
          <w:pPr>
            <w:pStyle w:val="Spistreci1"/>
            <w:rPr>
              <w:rFonts w:ascii="Times New Roman" w:eastAsiaTheme="minorEastAsia" w:hAnsi="Times New Roman" w:cs="Times New Roman"/>
              <w:noProof/>
              <w:lang w:eastAsia="pl-PL"/>
            </w:rPr>
          </w:pPr>
          <w:hyperlink w:anchor="_Toc44930255" w:history="1">
            <w:r w:rsidR="00B12710" w:rsidRPr="00F13BF0">
              <w:rPr>
                <w:rStyle w:val="Hipercze"/>
                <w:rFonts w:ascii="Times New Roman" w:hAnsi="Times New Roman" w:cs="Times New Roman"/>
                <w:noProof/>
                <w:color w:val="auto"/>
              </w:rPr>
              <w:t>2.</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OBECNY I DOCELOWY PROFIL RYZYKA BANKU</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_Toc44930255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4</w:t>
            </w:r>
            <w:r w:rsidR="00B12710" w:rsidRPr="00F13BF0">
              <w:rPr>
                <w:rFonts w:ascii="Times New Roman" w:hAnsi="Times New Roman" w:cs="Times New Roman"/>
                <w:noProof/>
                <w:webHidden/>
              </w:rPr>
              <w:fldChar w:fldCharType="end"/>
            </w:r>
          </w:hyperlink>
        </w:p>
        <w:p w14:paraId="7C262ECE" w14:textId="77777777" w:rsidR="00B12710" w:rsidRPr="00F13BF0" w:rsidRDefault="00C22D8B">
          <w:pPr>
            <w:pStyle w:val="Spistreci1"/>
            <w:rPr>
              <w:rFonts w:ascii="Times New Roman" w:eastAsiaTheme="minorEastAsia" w:hAnsi="Times New Roman" w:cs="Times New Roman"/>
              <w:noProof/>
              <w:lang w:eastAsia="pl-PL"/>
            </w:rPr>
          </w:pPr>
          <w:hyperlink w:anchor="_Toc44930256" w:history="1">
            <w:r w:rsidR="00B12710" w:rsidRPr="00F13BF0">
              <w:rPr>
                <w:rStyle w:val="Hipercze"/>
                <w:rFonts w:ascii="Times New Roman" w:hAnsi="Times New Roman" w:cs="Times New Roman"/>
                <w:noProof/>
                <w:color w:val="auto"/>
              </w:rPr>
              <w:t>3.</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RYZYKO PŁYNNOŚCI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_Toc44930256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5</w:t>
            </w:r>
            <w:r w:rsidR="00B12710" w:rsidRPr="00F13BF0">
              <w:rPr>
                <w:rFonts w:ascii="Times New Roman" w:hAnsi="Times New Roman" w:cs="Times New Roman"/>
                <w:noProof/>
                <w:webHidden/>
              </w:rPr>
              <w:fldChar w:fldCharType="end"/>
            </w:r>
          </w:hyperlink>
        </w:p>
        <w:p w14:paraId="5FDE7CE9" w14:textId="77777777" w:rsidR="00B12710" w:rsidRPr="00F13BF0" w:rsidRDefault="00C22D8B">
          <w:pPr>
            <w:pStyle w:val="Spistreci1"/>
            <w:rPr>
              <w:rFonts w:ascii="Times New Roman" w:eastAsiaTheme="minorEastAsia" w:hAnsi="Times New Roman" w:cs="Times New Roman"/>
              <w:noProof/>
              <w:lang w:eastAsia="pl-PL"/>
            </w:rPr>
          </w:pPr>
          <w:hyperlink w:anchor="_Toc44930257" w:history="1">
            <w:r w:rsidR="00B12710" w:rsidRPr="00F13BF0">
              <w:rPr>
                <w:rStyle w:val="Hipercze"/>
                <w:rFonts w:ascii="Times New Roman" w:hAnsi="Times New Roman" w:cs="Times New Roman"/>
                <w:noProof/>
                <w:color w:val="auto"/>
              </w:rPr>
              <w:t xml:space="preserve">3.1. </w:t>
            </w:r>
            <w:r w:rsidR="003C42C9" w:rsidRPr="00F13BF0">
              <w:rPr>
                <w:rStyle w:val="Hipercze"/>
                <w:rFonts w:ascii="Times New Roman" w:hAnsi="Times New Roman" w:cs="Times New Roman"/>
                <w:noProof/>
                <w:color w:val="auto"/>
              </w:rPr>
              <w:t xml:space="preserve">      </w:t>
            </w:r>
            <w:r w:rsidR="00B12710" w:rsidRPr="00F13BF0">
              <w:rPr>
                <w:rStyle w:val="Hipercze"/>
                <w:rFonts w:ascii="Times New Roman" w:hAnsi="Times New Roman" w:cs="Times New Roman"/>
                <w:noProof/>
                <w:color w:val="auto"/>
              </w:rPr>
              <w:t>REALIZACJA CELÓW STRATEGICZNYCH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_Toc44930257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6</w:t>
            </w:r>
            <w:r w:rsidR="00B12710" w:rsidRPr="00F13BF0">
              <w:rPr>
                <w:rFonts w:ascii="Times New Roman" w:hAnsi="Times New Roman" w:cs="Times New Roman"/>
                <w:noProof/>
                <w:webHidden/>
              </w:rPr>
              <w:fldChar w:fldCharType="end"/>
            </w:r>
          </w:hyperlink>
        </w:p>
        <w:p w14:paraId="756ADC05" w14:textId="77777777" w:rsidR="00B12710" w:rsidRPr="00F13BF0" w:rsidRDefault="00C22D8B">
          <w:pPr>
            <w:pStyle w:val="Spistreci1"/>
            <w:rPr>
              <w:rFonts w:ascii="Times New Roman" w:eastAsiaTheme="minorEastAsia" w:hAnsi="Times New Roman" w:cs="Times New Roman"/>
              <w:noProof/>
              <w:lang w:eastAsia="pl-PL"/>
            </w:rPr>
          </w:pPr>
          <w:hyperlink w:anchor="_Toc44930258" w:history="1">
            <w:r w:rsidR="00B12710" w:rsidRPr="00F13BF0">
              <w:rPr>
                <w:rStyle w:val="Hipercze"/>
                <w:rFonts w:ascii="Times New Roman" w:hAnsi="Times New Roman" w:cs="Times New Roman"/>
                <w:noProof/>
                <w:color w:val="auto"/>
              </w:rPr>
              <w:t>4.</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RYZYKO KREDYTOWE I KONCENTRACJI EKSPOZYCJI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_Toc44930258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7</w:t>
            </w:r>
            <w:r w:rsidR="00B12710" w:rsidRPr="00F13BF0">
              <w:rPr>
                <w:rFonts w:ascii="Times New Roman" w:hAnsi="Times New Roman" w:cs="Times New Roman"/>
                <w:noProof/>
                <w:webHidden/>
              </w:rPr>
              <w:fldChar w:fldCharType="end"/>
            </w:r>
          </w:hyperlink>
        </w:p>
        <w:p w14:paraId="1F87A2CE" w14:textId="77777777" w:rsidR="00B12710" w:rsidRPr="00F13BF0" w:rsidRDefault="00C22D8B">
          <w:pPr>
            <w:pStyle w:val="Spistreci1"/>
            <w:rPr>
              <w:rFonts w:ascii="Times New Roman" w:eastAsiaTheme="minorEastAsia" w:hAnsi="Times New Roman" w:cs="Times New Roman"/>
              <w:noProof/>
              <w:lang w:eastAsia="pl-PL"/>
            </w:rPr>
          </w:pPr>
          <w:hyperlink w:anchor="_Toc44930259" w:history="1">
            <w:r w:rsidR="00B12710" w:rsidRPr="00F13BF0">
              <w:rPr>
                <w:rStyle w:val="Hipercze"/>
                <w:rFonts w:ascii="Times New Roman" w:hAnsi="Times New Roman" w:cs="Times New Roman"/>
                <w:noProof/>
                <w:color w:val="auto"/>
              </w:rPr>
              <w:t>4.1.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REALIZACJA CELÓW STRATEGICZNYCH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_Toc44930259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8</w:t>
            </w:r>
            <w:r w:rsidR="00B12710" w:rsidRPr="00F13BF0">
              <w:rPr>
                <w:rFonts w:ascii="Times New Roman" w:hAnsi="Times New Roman" w:cs="Times New Roman"/>
                <w:noProof/>
                <w:webHidden/>
              </w:rPr>
              <w:fldChar w:fldCharType="end"/>
            </w:r>
          </w:hyperlink>
        </w:p>
        <w:p w14:paraId="317D7D66" w14:textId="77777777" w:rsidR="00B12710" w:rsidRPr="00F13BF0" w:rsidRDefault="00C22D8B">
          <w:pPr>
            <w:pStyle w:val="Spistreci1"/>
            <w:rPr>
              <w:rFonts w:ascii="Times New Roman" w:eastAsiaTheme="minorEastAsia" w:hAnsi="Times New Roman" w:cs="Times New Roman"/>
              <w:noProof/>
              <w:lang w:eastAsia="pl-PL"/>
            </w:rPr>
          </w:pPr>
          <w:hyperlink w:anchor="_Toc44930266" w:history="1">
            <w:r w:rsidR="00B12710" w:rsidRPr="00F13BF0">
              <w:rPr>
                <w:rStyle w:val="Hipercze"/>
                <w:rFonts w:ascii="Times New Roman" w:hAnsi="Times New Roman" w:cs="Times New Roman"/>
                <w:noProof/>
                <w:color w:val="auto"/>
              </w:rPr>
              <w:t>5.</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RYZYKO STOPY PROCENTOWEJ</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_Toc44930266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11</w:t>
            </w:r>
            <w:r w:rsidR="00B12710" w:rsidRPr="00F13BF0">
              <w:rPr>
                <w:rFonts w:ascii="Times New Roman" w:hAnsi="Times New Roman" w:cs="Times New Roman"/>
                <w:noProof/>
                <w:webHidden/>
              </w:rPr>
              <w:fldChar w:fldCharType="end"/>
            </w:r>
          </w:hyperlink>
        </w:p>
        <w:p w14:paraId="36406D40" w14:textId="77777777" w:rsidR="00B12710" w:rsidRPr="00F13BF0" w:rsidRDefault="00C22D8B">
          <w:pPr>
            <w:pStyle w:val="Spistreci1"/>
            <w:rPr>
              <w:rFonts w:ascii="Times New Roman" w:eastAsiaTheme="minorEastAsia" w:hAnsi="Times New Roman" w:cs="Times New Roman"/>
              <w:noProof/>
              <w:lang w:eastAsia="pl-PL"/>
            </w:rPr>
          </w:pPr>
          <w:hyperlink w:anchor="_Toc44930267" w:history="1">
            <w:r w:rsidR="00B12710" w:rsidRPr="00F13BF0">
              <w:rPr>
                <w:rStyle w:val="Hipercze"/>
                <w:rFonts w:ascii="Times New Roman" w:hAnsi="Times New Roman" w:cs="Times New Roman"/>
                <w:noProof/>
                <w:color w:val="auto"/>
              </w:rPr>
              <w:t>5.1.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REALIZACJA CELÓW STRATEGICZNYCH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_Toc44930267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12</w:t>
            </w:r>
            <w:r w:rsidR="00B12710" w:rsidRPr="00F13BF0">
              <w:rPr>
                <w:rFonts w:ascii="Times New Roman" w:hAnsi="Times New Roman" w:cs="Times New Roman"/>
                <w:noProof/>
                <w:webHidden/>
              </w:rPr>
              <w:fldChar w:fldCharType="end"/>
            </w:r>
          </w:hyperlink>
        </w:p>
        <w:p w14:paraId="60ABF6C1" w14:textId="77777777" w:rsidR="00B12710" w:rsidRPr="00F13BF0" w:rsidRDefault="00C22D8B">
          <w:pPr>
            <w:pStyle w:val="Spistreci1"/>
            <w:rPr>
              <w:rFonts w:ascii="Times New Roman" w:eastAsiaTheme="minorEastAsia" w:hAnsi="Times New Roman" w:cs="Times New Roman"/>
              <w:noProof/>
              <w:lang w:eastAsia="pl-PL"/>
            </w:rPr>
          </w:pPr>
          <w:hyperlink w:anchor="_Toc44930269" w:history="1">
            <w:r w:rsidR="00B12710" w:rsidRPr="00F13BF0">
              <w:rPr>
                <w:rStyle w:val="Hipercze"/>
                <w:rFonts w:ascii="Times New Roman" w:hAnsi="Times New Roman" w:cs="Times New Roman"/>
                <w:noProof/>
                <w:color w:val="auto"/>
              </w:rPr>
              <w:t>6.</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RYZYKO WALUTOWE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_Toc44930269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13</w:t>
            </w:r>
            <w:r w:rsidR="00B12710" w:rsidRPr="00F13BF0">
              <w:rPr>
                <w:rFonts w:ascii="Times New Roman" w:hAnsi="Times New Roman" w:cs="Times New Roman"/>
                <w:noProof/>
                <w:webHidden/>
              </w:rPr>
              <w:fldChar w:fldCharType="end"/>
            </w:r>
          </w:hyperlink>
        </w:p>
        <w:p w14:paraId="40264765" w14:textId="77777777" w:rsidR="00B12710" w:rsidRPr="00F13BF0" w:rsidRDefault="00C22D8B">
          <w:pPr>
            <w:pStyle w:val="Spistreci1"/>
            <w:rPr>
              <w:rFonts w:ascii="Times New Roman" w:eastAsiaTheme="minorEastAsia" w:hAnsi="Times New Roman" w:cs="Times New Roman"/>
              <w:noProof/>
              <w:lang w:eastAsia="pl-PL"/>
            </w:rPr>
          </w:pPr>
          <w:hyperlink w:anchor="_Toc44930270" w:history="1">
            <w:r w:rsidR="00B12710" w:rsidRPr="00F13BF0">
              <w:rPr>
                <w:rStyle w:val="Hipercze"/>
                <w:rFonts w:ascii="Times New Roman" w:hAnsi="Times New Roman" w:cs="Times New Roman"/>
                <w:noProof/>
                <w:color w:val="auto"/>
              </w:rPr>
              <w:t>6.1.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REALIZACJA CELÓW STRATEGICZNYCH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_Toc44930270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13</w:t>
            </w:r>
            <w:r w:rsidR="00B12710" w:rsidRPr="00F13BF0">
              <w:rPr>
                <w:rFonts w:ascii="Times New Roman" w:hAnsi="Times New Roman" w:cs="Times New Roman"/>
                <w:noProof/>
                <w:webHidden/>
              </w:rPr>
              <w:fldChar w:fldCharType="end"/>
            </w:r>
          </w:hyperlink>
        </w:p>
        <w:p w14:paraId="178DBC25" w14:textId="77777777" w:rsidR="00B12710" w:rsidRPr="00F13BF0" w:rsidRDefault="00C22D8B">
          <w:pPr>
            <w:pStyle w:val="Spistreci1"/>
            <w:rPr>
              <w:rFonts w:ascii="Times New Roman" w:eastAsiaTheme="minorEastAsia" w:hAnsi="Times New Roman" w:cs="Times New Roman"/>
              <w:noProof/>
              <w:lang w:eastAsia="pl-PL"/>
            </w:rPr>
          </w:pPr>
          <w:hyperlink w:anchor="_Toc44930271" w:history="1">
            <w:r w:rsidR="00B12710" w:rsidRPr="00F13BF0">
              <w:rPr>
                <w:rStyle w:val="Hipercze"/>
                <w:rFonts w:ascii="Times New Roman" w:hAnsi="Times New Roman" w:cs="Times New Roman"/>
                <w:noProof/>
                <w:color w:val="auto"/>
              </w:rPr>
              <w:t>7.</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RYZYKO OPERACYJNE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_Toc44930271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14</w:t>
            </w:r>
            <w:r w:rsidR="00B12710" w:rsidRPr="00F13BF0">
              <w:rPr>
                <w:rFonts w:ascii="Times New Roman" w:hAnsi="Times New Roman" w:cs="Times New Roman"/>
                <w:noProof/>
                <w:webHidden/>
              </w:rPr>
              <w:fldChar w:fldCharType="end"/>
            </w:r>
          </w:hyperlink>
        </w:p>
        <w:p w14:paraId="337791BD" w14:textId="77777777" w:rsidR="00B12710" w:rsidRPr="00F13BF0" w:rsidRDefault="00C22D8B">
          <w:pPr>
            <w:pStyle w:val="Spistreci1"/>
            <w:rPr>
              <w:rFonts w:ascii="Times New Roman" w:eastAsiaTheme="minorEastAsia" w:hAnsi="Times New Roman" w:cs="Times New Roman"/>
              <w:noProof/>
              <w:lang w:eastAsia="pl-PL"/>
            </w:rPr>
          </w:pPr>
          <w:hyperlink w:anchor="_Toc44930272" w:history="1">
            <w:r w:rsidR="00B12710" w:rsidRPr="00F13BF0">
              <w:rPr>
                <w:rStyle w:val="Hipercze"/>
                <w:rFonts w:ascii="Times New Roman" w:hAnsi="Times New Roman" w:cs="Times New Roman"/>
                <w:noProof/>
                <w:color w:val="auto"/>
              </w:rPr>
              <w:t>7.1.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REALIZACJA CELÓW STRATEGICZNYCH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_Toc44930272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14</w:t>
            </w:r>
            <w:r w:rsidR="00B12710" w:rsidRPr="00F13BF0">
              <w:rPr>
                <w:rFonts w:ascii="Times New Roman" w:hAnsi="Times New Roman" w:cs="Times New Roman"/>
                <w:noProof/>
                <w:webHidden/>
              </w:rPr>
              <w:fldChar w:fldCharType="end"/>
            </w:r>
          </w:hyperlink>
        </w:p>
        <w:p w14:paraId="0D1EBF47" w14:textId="77777777" w:rsidR="00B12710" w:rsidRPr="00F13BF0" w:rsidRDefault="00C22D8B">
          <w:pPr>
            <w:pStyle w:val="Spistreci1"/>
            <w:rPr>
              <w:rFonts w:ascii="Times New Roman" w:eastAsiaTheme="minorEastAsia" w:hAnsi="Times New Roman" w:cs="Times New Roman"/>
              <w:noProof/>
              <w:lang w:eastAsia="pl-PL"/>
            </w:rPr>
          </w:pPr>
          <w:hyperlink w:anchor="_Toc44930273" w:history="1">
            <w:r w:rsidR="00B12710" w:rsidRPr="00F13BF0">
              <w:rPr>
                <w:rStyle w:val="Hipercze"/>
                <w:rFonts w:ascii="Times New Roman" w:hAnsi="Times New Roman" w:cs="Times New Roman"/>
                <w:noProof/>
                <w:color w:val="auto"/>
              </w:rPr>
              <w:t>8.</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RYZYKO BRAKU ZGODNOŚCI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_Toc44930273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14</w:t>
            </w:r>
            <w:r w:rsidR="00B12710" w:rsidRPr="00F13BF0">
              <w:rPr>
                <w:rFonts w:ascii="Times New Roman" w:hAnsi="Times New Roman" w:cs="Times New Roman"/>
                <w:noProof/>
                <w:webHidden/>
              </w:rPr>
              <w:fldChar w:fldCharType="end"/>
            </w:r>
          </w:hyperlink>
        </w:p>
        <w:p w14:paraId="6F9CC26F" w14:textId="77777777" w:rsidR="00B12710" w:rsidRPr="00F13BF0" w:rsidRDefault="00C22D8B">
          <w:pPr>
            <w:pStyle w:val="Spistreci1"/>
            <w:rPr>
              <w:rFonts w:ascii="Times New Roman" w:eastAsiaTheme="minorEastAsia" w:hAnsi="Times New Roman" w:cs="Times New Roman"/>
              <w:noProof/>
              <w:lang w:eastAsia="pl-PL"/>
            </w:rPr>
          </w:pPr>
          <w:hyperlink w:anchor="_Toc44930274" w:history="1">
            <w:r w:rsidR="00B12710" w:rsidRPr="00F13BF0">
              <w:rPr>
                <w:rStyle w:val="Hipercze"/>
                <w:rFonts w:ascii="Times New Roman" w:hAnsi="Times New Roman" w:cs="Times New Roman"/>
                <w:noProof/>
                <w:color w:val="auto"/>
              </w:rPr>
              <w:t xml:space="preserve">8.1 </w:t>
            </w:r>
            <w:r w:rsidR="003C42C9" w:rsidRPr="00F13BF0">
              <w:rPr>
                <w:rStyle w:val="Hipercze"/>
                <w:rFonts w:ascii="Times New Roman" w:hAnsi="Times New Roman" w:cs="Times New Roman"/>
                <w:noProof/>
                <w:color w:val="auto"/>
              </w:rPr>
              <w:t xml:space="preserve">       </w:t>
            </w:r>
            <w:r w:rsidR="00B12710" w:rsidRPr="00F13BF0">
              <w:rPr>
                <w:rStyle w:val="Hipercze"/>
                <w:rFonts w:ascii="Times New Roman" w:hAnsi="Times New Roman" w:cs="Times New Roman"/>
                <w:noProof/>
                <w:color w:val="auto"/>
              </w:rPr>
              <w:t>REALIZACJA CELÓW STRATEGICZNYCH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_Toc44930274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18</w:t>
            </w:r>
            <w:r w:rsidR="00B12710" w:rsidRPr="00F13BF0">
              <w:rPr>
                <w:rFonts w:ascii="Times New Roman" w:hAnsi="Times New Roman" w:cs="Times New Roman"/>
                <w:noProof/>
                <w:webHidden/>
              </w:rPr>
              <w:fldChar w:fldCharType="end"/>
            </w:r>
          </w:hyperlink>
        </w:p>
        <w:p w14:paraId="6BDC0CA4" w14:textId="77777777" w:rsidR="00B12710" w:rsidRPr="00F13BF0" w:rsidRDefault="00C22D8B">
          <w:pPr>
            <w:pStyle w:val="Spistreci1"/>
            <w:rPr>
              <w:rFonts w:ascii="Times New Roman" w:eastAsiaTheme="minorEastAsia" w:hAnsi="Times New Roman" w:cs="Times New Roman"/>
              <w:noProof/>
              <w:lang w:eastAsia="pl-PL"/>
            </w:rPr>
          </w:pPr>
          <w:hyperlink w:anchor="_Toc44930275" w:history="1">
            <w:r w:rsidR="00B12710" w:rsidRPr="00F13BF0">
              <w:rPr>
                <w:rStyle w:val="Hipercze"/>
                <w:rFonts w:ascii="Times New Roman" w:hAnsi="Times New Roman" w:cs="Times New Roman"/>
                <w:noProof/>
                <w:color w:val="auto"/>
              </w:rPr>
              <w:t>9.</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ADEKWATNOŚĆ KAPITAŁOWA</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_Toc44930275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18</w:t>
            </w:r>
            <w:r w:rsidR="00B12710" w:rsidRPr="00F13BF0">
              <w:rPr>
                <w:rFonts w:ascii="Times New Roman" w:hAnsi="Times New Roman" w:cs="Times New Roman"/>
                <w:noProof/>
                <w:webHidden/>
              </w:rPr>
              <w:fldChar w:fldCharType="end"/>
            </w:r>
          </w:hyperlink>
        </w:p>
        <w:p w14:paraId="73DDD434" w14:textId="77777777" w:rsidR="00B12710" w:rsidRPr="00F13BF0" w:rsidRDefault="00C22D8B">
          <w:pPr>
            <w:pStyle w:val="Spistreci1"/>
            <w:rPr>
              <w:rFonts w:ascii="Times New Roman" w:eastAsiaTheme="minorEastAsia" w:hAnsi="Times New Roman" w:cs="Times New Roman"/>
              <w:noProof/>
              <w:lang w:eastAsia="pl-PL"/>
            </w:rPr>
          </w:pPr>
          <w:hyperlink w:anchor="_Toc44930277" w:history="1">
            <w:r w:rsidR="00B12710" w:rsidRPr="00F13BF0">
              <w:rPr>
                <w:rStyle w:val="Hipercze"/>
                <w:rFonts w:ascii="Times New Roman" w:hAnsi="Times New Roman" w:cs="Times New Roman"/>
                <w:noProof/>
                <w:color w:val="auto"/>
              </w:rPr>
              <w:t>9.1.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REGULACYJNY</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_Toc44930277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20</w:t>
            </w:r>
            <w:r w:rsidR="00B12710" w:rsidRPr="00F13BF0">
              <w:rPr>
                <w:rFonts w:ascii="Times New Roman" w:hAnsi="Times New Roman" w:cs="Times New Roman"/>
                <w:noProof/>
                <w:webHidden/>
              </w:rPr>
              <w:fldChar w:fldCharType="end"/>
            </w:r>
          </w:hyperlink>
        </w:p>
        <w:p w14:paraId="2022CCFF" w14:textId="77777777" w:rsidR="00B12710" w:rsidRPr="00F13BF0" w:rsidRDefault="00C22D8B">
          <w:pPr>
            <w:pStyle w:val="Spistreci1"/>
            <w:rPr>
              <w:rFonts w:ascii="Times New Roman" w:eastAsiaTheme="minorEastAsia" w:hAnsi="Times New Roman" w:cs="Times New Roman"/>
              <w:noProof/>
              <w:lang w:eastAsia="pl-PL"/>
            </w:rPr>
          </w:pPr>
          <w:hyperlink w:anchor="_Toc44930278" w:history="1">
            <w:r w:rsidR="00B12710" w:rsidRPr="00F13BF0">
              <w:rPr>
                <w:rStyle w:val="Hipercze"/>
                <w:rFonts w:ascii="Times New Roman" w:hAnsi="Times New Roman" w:cs="Times New Roman"/>
                <w:noProof/>
                <w:color w:val="auto"/>
              </w:rPr>
              <w:t>9.2.</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I OCENA JEGO ADEKWATNOŚCI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_Toc44930278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20</w:t>
            </w:r>
            <w:r w:rsidR="00B12710" w:rsidRPr="00F13BF0">
              <w:rPr>
                <w:rFonts w:ascii="Times New Roman" w:hAnsi="Times New Roman" w:cs="Times New Roman"/>
                <w:noProof/>
                <w:webHidden/>
              </w:rPr>
              <w:fldChar w:fldCharType="end"/>
            </w:r>
          </w:hyperlink>
        </w:p>
        <w:p w14:paraId="721F2115" w14:textId="77777777" w:rsidR="00B12710" w:rsidRPr="00F13BF0" w:rsidRDefault="00C22D8B">
          <w:pPr>
            <w:pStyle w:val="Spistreci1"/>
            <w:rPr>
              <w:rFonts w:ascii="Times New Roman" w:eastAsiaTheme="minorEastAsia" w:hAnsi="Times New Roman" w:cs="Times New Roman"/>
              <w:noProof/>
              <w:lang w:eastAsia="pl-PL"/>
            </w:rPr>
          </w:pPr>
          <w:hyperlink w:anchor="_Toc44930279" w:history="1">
            <w:r w:rsidR="00B12710" w:rsidRPr="00F13BF0">
              <w:rPr>
                <w:rStyle w:val="Hipercze"/>
                <w:rFonts w:ascii="Times New Roman" w:hAnsi="Times New Roman" w:cs="Times New Roman"/>
                <w:noProof/>
                <w:color w:val="auto"/>
              </w:rPr>
              <w:t>9.2.1.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KREDYTOWE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_Toc44930279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20</w:t>
            </w:r>
            <w:r w:rsidR="00B12710" w:rsidRPr="00F13BF0">
              <w:rPr>
                <w:rFonts w:ascii="Times New Roman" w:hAnsi="Times New Roman" w:cs="Times New Roman"/>
                <w:noProof/>
                <w:webHidden/>
              </w:rPr>
              <w:fldChar w:fldCharType="end"/>
            </w:r>
          </w:hyperlink>
        </w:p>
        <w:p w14:paraId="2F4529A7" w14:textId="77777777" w:rsidR="00B12710" w:rsidRPr="00F13BF0" w:rsidRDefault="00C22D8B">
          <w:pPr>
            <w:pStyle w:val="Spistreci1"/>
            <w:rPr>
              <w:rFonts w:ascii="Times New Roman" w:eastAsiaTheme="minorEastAsia" w:hAnsi="Times New Roman" w:cs="Times New Roman"/>
              <w:noProof/>
              <w:lang w:eastAsia="pl-PL"/>
            </w:rPr>
          </w:pPr>
          <w:hyperlink w:anchor="_Toc44930280" w:history="1">
            <w:r w:rsidR="00B12710" w:rsidRPr="00F13BF0">
              <w:rPr>
                <w:rStyle w:val="Hipercze"/>
                <w:rFonts w:ascii="Times New Roman" w:hAnsi="Times New Roman" w:cs="Times New Roman"/>
                <w:noProof/>
                <w:color w:val="auto"/>
              </w:rPr>
              <w:t>9.2.2.</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OPERACYJNE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_Toc44930280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21</w:t>
            </w:r>
            <w:r w:rsidR="00B12710" w:rsidRPr="00F13BF0">
              <w:rPr>
                <w:rFonts w:ascii="Times New Roman" w:hAnsi="Times New Roman" w:cs="Times New Roman"/>
                <w:noProof/>
                <w:webHidden/>
              </w:rPr>
              <w:fldChar w:fldCharType="end"/>
            </w:r>
          </w:hyperlink>
        </w:p>
        <w:p w14:paraId="0B5BAB6F" w14:textId="77777777" w:rsidR="00B12710" w:rsidRPr="00F13BF0" w:rsidRDefault="00C22D8B">
          <w:pPr>
            <w:pStyle w:val="Spistreci1"/>
            <w:rPr>
              <w:rFonts w:ascii="Times New Roman" w:eastAsiaTheme="minorEastAsia" w:hAnsi="Times New Roman" w:cs="Times New Roman"/>
              <w:noProof/>
              <w:lang w:eastAsia="pl-PL"/>
            </w:rPr>
          </w:pPr>
          <w:hyperlink w:anchor="_Toc44930281" w:history="1">
            <w:r w:rsidR="00B12710" w:rsidRPr="00F13BF0">
              <w:rPr>
                <w:rStyle w:val="Hipercze"/>
                <w:rFonts w:ascii="Times New Roman" w:hAnsi="Times New Roman" w:cs="Times New Roman"/>
                <w:noProof/>
                <w:color w:val="auto"/>
              </w:rPr>
              <w:t>9.2.3.</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RYNKOWE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_Toc44930281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22</w:t>
            </w:r>
            <w:r w:rsidR="00B12710" w:rsidRPr="00F13BF0">
              <w:rPr>
                <w:rFonts w:ascii="Times New Roman" w:hAnsi="Times New Roman" w:cs="Times New Roman"/>
                <w:noProof/>
                <w:webHidden/>
              </w:rPr>
              <w:fldChar w:fldCharType="end"/>
            </w:r>
          </w:hyperlink>
        </w:p>
        <w:p w14:paraId="56CC8AE7" w14:textId="77777777" w:rsidR="00B12710" w:rsidRPr="00F13BF0" w:rsidRDefault="00C22D8B">
          <w:pPr>
            <w:pStyle w:val="Spistreci1"/>
            <w:rPr>
              <w:rFonts w:ascii="Times New Roman" w:eastAsiaTheme="minorEastAsia" w:hAnsi="Times New Roman" w:cs="Times New Roman"/>
              <w:noProof/>
              <w:lang w:eastAsia="pl-PL"/>
            </w:rPr>
          </w:pPr>
          <w:hyperlink w:anchor="_Toc44930282" w:history="1">
            <w:r w:rsidR="00B12710" w:rsidRPr="00F13BF0">
              <w:rPr>
                <w:rStyle w:val="Hipercze"/>
                <w:rFonts w:ascii="Times New Roman" w:hAnsi="Times New Roman" w:cs="Times New Roman"/>
                <w:noProof/>
                <w:color w:val="auto"/>
              </w:rPr>
              <w:t>9.2.4.</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KONCENTRACJI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_Toc44930282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22</w:t>
            </w:r>
            <w:r w:rsidR="00B12710" w:rsidRPr="00F13BF0">
              <w:rPr>
                <w:rFonts w:ascii="Times New Roman" w:hAnsi="Times New Roman" w:cs="Times New Roman"/>
                <w:noProof/>
                <w:webHidden/>
              </w:rPr>
              <w:fldChar w:fldCharType="end"/>
            </w:r>
          </w:hyperlink>
        </w:p>
        <w:p w14:paraId="7FF9A7FD" w14:textId="77777777" w:rsidR="00B12710" w:rsidRPr="00F13BF0" w:rsidRDefault="00C22D8B">
          <w:pPr>
            <w:pStyle w:val="Spistreci1"/>
            <w:rPr>
              <w:rFonts w:ascii="Times New Roman" w:eastAsiaTheme="minorEastAsia" w:hAnsi="Times New Roman" w:cs="Times New Roman"/>
              <w:noProof/>
              <w:lang w:eastAsia="pl-PL"/>
            </w:rPr>
          </w:pPr>
          <w:hyperlink w:anchor="_Toc44930283" w:history="1">
            <w:r w:rsidR="00B12710" w:rsidRPr="00F13BF0">
              <w:rPr>
                <w:rStyle w:val="Hipercze"/>
                <w:rFonts w:ascii="Times New Roman" w:hAnsi="Times New Roman" w:cs="Times New Roman"/>
                <w:noProof/>
                <w:color w:val="auto"/>
              </w:rPr>
              <w:t>9.2.5.</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KONCENTRACJI ZNACZNYCH ZAANGAŻOWAŃ KAPITAŁOWYCH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_Toc44930283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23</w:t>
            </w:r>
            <w:r w:rsidR="00B12710" w:rsidRPr="00F13BF0">
              <w:rPr>
                <w:rFonts w:ascii="Times New Roman" w:hAnsi="Times New Roman" w:cs="Times New Roman"/>
                <w:noProof/>
                <w:webHidden/>
              </w:rPr>
              <w:fldChar w:fldCharType="end"/>
            </w:r>
          </w:hyperlink>
        </w:p>
        <w:p w14:paraId="27AEA094" w14:textId="77777777" w:rsidR="00B12710" w:rsidRPr="00F13BF0" w:rsidRDefault="00C22D8B">
          <w:pPr>
            <w:pStyle w:val="Spistreci1"/>
            <w:rPr>
              <w:rFonts w:ascii="Times New Roman" w:eastAsiaTheme="minorEastAsia" w:hAnsi="Times New Roman" w:cs="Times New Roman"/>
              <w:noProof/>
              <w:lang w:eastAsia="pl-PL"/>
            </w:rPr>
          </w:pPr>
          <w:hyperlink w:anchor="_Toc44930284" w:history="1">
            <w:r w:rsidR="00B12710" w:rsidRPr="00F13BF0">
              <w:rPr>
                <w:rStyle w:val="Hipercze"/>
                <w:rFonts w:ascii="Times New Roman" w:hAnsi="Times New Roman" w:cs="Times New Roman"/>
                <w:noProof/>
                <w:color w:val="auto"/>
              </w:rPr>
              <w:t>9.2.6.</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STOPY PROCENTOWEJ W KSIĘDZE BANKOWEJ</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_Toc44930284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23</w:t>
            </w:r>
            <w:r w:rsidR="00B12710" w:rsidRPr="00F13BF0">
              <w:rPr>
                <w:rFonts w:ascii="Times New Roman" w:hAnsi="Times New Roman" w:cs="Times New Roman"/>
                <w:noProof/>
                <w:webHidden/>
              </w:rPr>
              <w:fldChar w:fldCharType="end"/>
            </w:r>
          </w:hyperlink>
        </w:p>
        <w:p w14:paraId="7153176B" w14:textId="77777777" w:rsidR="00B12710" w:rsidRPr="00F13BF0" w:rsidRDefault="00C22D8B">
          <w:pPr>
            <w:pStyle w:val="Spistreci1"/>
            <w:rPr>
              <w:rFonts w:ascii="Times New Roman" w:eastAsiaTheme="minorEastAsia" w:hAnsi="Times New Roman" w:cs="Times New Roman"/>
              <w:noProof/>
              <w:lang w:eastAsia="pl-PL"/>
            </w:rPr>
          </w:pPr>
          <w:hyperlink w:anchor="_Toc44930285" w:history="1">
            <w:r w:rsidR="00B12710" w:rsidRPr="00F13BF0">
              <w:rPr>
                <w:rStyle w:val="Hipercze"/>
                <w:rFonts w:ascii="Times New Roman" w:hAnsi="Times New Roman" w:cs="Times New Roman"/>
                <w:noProof/>
                <w:color w:val="auto"/>
              </w:rPr>
              <w:t>9.2.7.</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PŁYNNOŚCI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_Toc44930285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25</w:t>
            </w:r>
            <w:r w:rsidR="00B12710" w:rsidRPr="00F13BF0">
              <w:rPr>
                <w:rFonts w:ascii="Times New Roman" w:hAnsi="Times New Roman" w:cs="Times New Roman"/>
                <w:noProof/>
                <w:webHidden/>
              </w:rPr>
              <w:fldChar w:fldCharType="end"/>
            </w:r>
          </w:hyperlink>
        </w:p>
        <w:p w14:paraId="1BB652EB" w14:textId="77777777" w:rsidR="00B12710" w:rsidRPr="00F13BF0" w:rsidRDefault="00C22D8B">
          <w:pPr>
            <w:pStyle w:val="Spistreci1"/>
            <w:rPr>
              <w:rFonts w:ascii="Times New Roman" w:eastAsiaTheme="minorEastAsia" w:hAnsi="Times New Roman" w:cs="Times New Roman"/>
              <w:noProof/>
              <w:lang w:eastAsia="pl-PL"/>
            </w:rPr>
          </w:pPr>
          <w:hyperlink w:anchor="_Toc44930286" w:history="1">
            <w:r w:rsidR="00B12710" w:rsidRPr="00F13BF0">
              <w:rPr>
                <w:rStyle w:val="Hipercze"/>
                <w:rFonts w:ascii="Times New Roman" w:hAnsi="Times New Roman" w:cs="Times New Roman"/>
                <w:noProof/>
                <w:color w:val="auto"/>
              </w:rPr>
              <w:t>9.2.8.</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CYKLU GOSPODARCZEGO</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_Toc44930286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25</w:t>
            </w:r>
            <w:r w:rsidR="00B12710" w:rsidRPr="00F13BF0">
              <w:rPr>
                <w:rFonts w:ascii="Times New Roman" w:hAnsi="Times New Roman" w:cs="Times New Roman"/>
                <w:noProof/>
                <w:webHidden/>
              </w:rPr>
              <w:fldChar w:fldCharType="end"/>
            </w:r>
          </w:hyperlink>
        </w:p>
        <w:p w14:paraId="3C97BC57" w14:textId="77777777" w:rsidR="00B12710" w:rsidRPr="00F13BF0" w:rsidRDefault="00C22D8B">
          <w:pPr>
            <w:pStyle w:val="Spistreci1"/>
            <w:rPr>
              <w:rFonts w:ascii="Times New Roman" w:eastAsiaTheme="minorEastAsia" w:hAnsi="Times New Roman" w:cs="Times New Roman"/>
              <w:noProof/>
              <w:lang w:eastAsia="pl-PL"/>
            </w:rPr>
          </w:pPr>
          <w:hyperlink w:anchor="_Toc44930287" w:history="1">
            <w:r w:rsidR="00B12710" w:rsidRPr="00F13BF0">
              <w:rPr>
                <w:rStyle w:val="Hipercze"/>
                <w:rFonts w:ascii="Times New Roman" w:hAnsi="Times New Roman" w:cs="Times New Roman"/>
                <w:noProof/>
                <w:color w:val="auto"/>
              </w:rPr>
              <w:t>9.2.9.</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WYNIKU FINANSOWEGO</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_Toc44930287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26</w:t>
            </w:r>
            <w:r w:rsidR="00B12710" w:rsidRPr="00F13BF0">
              <w:rPr>
                <w:rFonts w:ascii="Times New Roman" w:hAnsi="Times New Roman" w:cs="Times New Roman"/>
                <w:noProof/>
                <w:webHidden/>
              </w:rPr>
              <w:fldChar w:fldCharType="end"/>
            </w:r>
          </w:hyperlink>
        </w:p>
        <w:p w14:paraId="24212D93"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88" w:history="1">
            <w:r w:rsidR="00B12710" w:rsidRPr="00F13BF0">
              <w:rPr>
                <w:rStyle w:val="Hipercze"/>
                <w:rFonts w:ascii="Times New Roman" w:hAnsi="Times New Roman" w:cs="Times New Roman"/>
                <w:noProof/>
                <w:color w:val="auto"/>
              </w:rPr>
              <w:t>9.2.10.</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KAPITAŁOWE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_Toc44930288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26</w:t>
            </w:r>
            <w:r w:rsidR="00B12710" w:rsidRPr="00F13BF0">
              <w:rPr>
                <w:rFonts w:ascii="Times New Roman" w:hAnsi="Times New Roman" w:cs="Times New Roman"/>
                <w:noProof/>
                <w:webHidden/>
              </w:rPr>
              <w:fldChar w:fldCharType="end"/>
            </w:r>
          </w:hyperlink>
        </w:p>
        <w:p w14:paraId="27DE1D52"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89" w:history="1">
            <w:r w:rsidR="00B12710" w:rsidRPr="00F13BF0">
              <w:rPr>
                <w:rStyle w:val="Hipercze"/>
                <w:rFonts w:ascii="Times New Roman" w:hAnsi="Times New Roman" w:cs="Times New Roman"/>
                <w:noProof/>
                <w:color w:val="auto"/>
              </w:rPr>
              <w:t>9.2.11.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STRATEGICZNE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_Toc44930289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27</w:t>
            </w:r>
            <w:r w:rsidR="00B12710" w:rsidRPr="00F13BF0">
              <w:rPr>
                <w:rFonts w:ascii="Times New Roman" w:hAnsi="Times New Roman" w:cs="Times New Roman"/>
                <w:noProof/>
                <w:webHidden/>
              </w:rPr>
              <w:fldChar w:fldCharType="end"/>
            </w:r>
          </w:hyperlink>
        </w:p>
        <w:p w14:paraId="0F17A01E"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90" w:history="1">
            <w:r w:rsidR="00B12710" w:rsidRPr="00F13BF0">
              <w:rPr>
                <w:rStyle w:val="Hipercze"/>
                <w:rFonts w:ascii="Times New Roman" w:hAnsi="Times New Roman" w:cs="Times New Roman"/>
                <w:noProof/>
                <w:color w:val="auto"/>
              </w:rPr>
              <w:t>9.2.12.</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UTRATY REPUTACJI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_Toc44930290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28</w:t>
            </w:r>
            <w:r w:rsidR="00B12710" w:rsidRPr="00F13BF0">
              <w:rPr>
                <w:rFonts w:ascii="Times New Roman" w:hAnsi="Times New Roman" w:cs="Times New Roman"/>
                <w:noProof/>
                <w:webHidden/>
              </w:rPr>
              <w:fldChar w:fldCharType="end"/>
            </w:r>
          </w:hyperlink>
        </w:p>
        <w:p w14:paraId="186663C3"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91" w:history="1">
            <w:r w:rsidR="00B12710" w:rsidRPr="00F13BF0">
              <w:rPr>
                <w:rStyle w:val="Hipercze"/>
                <w:rFonts w:ascii="Times New Roman" w:hAnsi="Times New Roman" w:cs="Times New Roman"/>
                <w:noProof/>
                <w:color w:val="auto"/>
              </w:rPr>
              <w:t>9.2.13.</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TRANSFEROWE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_Toc44930291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28</w:t>
            </w:r>
            <w:r w:rsidR="00B12710" w:rsidRPr="00F13BF0">
              <w:rPr>
                <w:rFonts w:ascii="Times New Roman" w:hAnsi="Times New Roman" w:cs="Times New Roman"/>
                <w:noProof/>
                <w:webHidden/>
              </w:rPr>
              <w:fldChar w:fldCharType="end"/>
            </w:r>
          </w:hyperlink>
        </w:p>
        <w:p w14:paraId="2B0DE08B"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92" w:history="1">
            <w:r w:rsidR="00B12710" w:rsidRPr="00F13BF0">
              <w:rPr>
                <w:rStyle w:val="Hipercze"/>
                <w:rFonts w:ascii="Times New Roman" w:hAnsi="Times New Roman" w:cs="Times New Roman"/>
                <w:noProof/>
                <w:color w:val="auto"/>
              </w:rPr>
              <w:t>9.2.14.</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REZYDUALNE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_Toc44930292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29</w:t>
            </w:r>
            <w:r w:rsidR="00B12710" w:rsidRPr="00F13BF0">
              <w:rPr>
                <w:rFonts w:ascii="Times New Roman" w:hAnsi="Times New Roman" w:cs="Times New Roman"/>
                <w:noProof/>
                <w:webHidden/>
              </w:rPr>
              <w:fldChar w:fldCharType="end"/>
            </w:r>
          </w:hyperlink>
        </w:p>
        <w:p w14:paraId="4E6C10E2"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93" w:history="1">
            <w:r w:rsidR="00B12710" w:rsidRPr="00F13BF0">
              <w:rPr>
                <w:rStyle w:val="Hipercze"/>
                <w:rFonts w:ascii="Times New Roman" w:hAnsi="Times New Roman" w:cs="Times New Roman"/>
                <w:noProof/>
                <w:color w:val="auto"/>
              </w:rPr>
              <w:t>9.2.15.</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PRAWNE</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_Toc44930293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29</w:t>
            </w:r>
            <w:r w:rsidR="00B12710" w:rsidRPr="00F13BF0">
              <w:rPr>
                <w:rFonts w:ascii="Times New Roman" w:hAnsi="Times New Roman" w:cs="Times New Roman"/>
                <w:noProof/>
                <w:webHidden/>
              </w:rPr>
              <w:fldChar w:fldCharType="end"/>
            </w:r>
          </w:hyperlink>
        </w:p>
        <w:p w14:paraId="22D08685"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94" w:history="1">
            <w:r w:rsidR="00B12710" w:rsidRPr="00F13BF0">
              <w:rPr>
                <w:rStyle w:val="Hipercze"/>
                <w:rFonts w:ascii="Times New Roman" w:hAnsi="Times New Roman" w:cs="Times New Roman"/>
                <w:noProof/>
                <w:color w:val="auto"/>
              </w:rPr>
              <w:t>9.2.16.</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MODELI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_Toc44930294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29</w:t>
            </w:r>
            <w:r w:rsidR="00B12710" w:rsidRPr="00F13BF0">
              <w:rPr>
                <w:rFonts w:ascii="Times New Roman" w:hAnsi="Times New Roman" w:cs="Times New Roman"/>
                <w:noProof/>
                <w:webHidden/>
              </w:rPr>
              <w:fldChar w:fldCharType="end"/>
            </w:r>
          </w:hyperlink>
        </w:p>
        <w:p w14:paraId="34C55CAE"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95" w:history="1">
            <w:r w:rsidR="00B12710" w:rsidRPr="00F13BF0">
              <w:rPr>
                <w:rStyle w:val="Hipercze"/>
                <w:rFonts w:ascii="Times New Roman" w:hAnsi="Times New Roman" w:cs="Times New Roman"/>
                <w:noProof/>
                <w:color w:val="auto"/>
              </w:rPr>
              <w:t>9.2.17.</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BRAKU ZGODNOŚCI</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_Toc44930295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29</w:t>
            </w:r>
            <w:r w:rsidR="00B12710" w:rsidRPr="00F13BF0">
              <w:rPr>
                <w:rFonts w:ascii="Times New Roman" w:hAnsi="Times New Roman" w:cs="Times New Roman"/>
                <w:noProof/>
                <w:webHidden/>
              </w:rPr>
              <w:fldChar w:fldCharType="end"/>
            </w:r>
          </w:hyperlink>
        </w:p>
        <w:p w14:paraId="12815A2D"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96" w:history="1">
            <w:r w:rsidR="00B12710" w:rsidRPr="00F13BF0">
              <w:rPr>
                <w:rStyle w:val="Hipercze"/>
                <w:rFonts w:ascii="Times New Roman" w:hAnsi="Times New Roman" w:cs="Times New Roman"/>
                <w:noProof/>
                <w:color w:val="auto"/>
              </w:rPr>
              <w:t>9.2.18.</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NADMIERNEJ DŹWIGNI FINANSOWEJ</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_Toc44930296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30</w:t>
            </w:r>
            <w:r w:rsidR="00B12710" w:rsidRPr="00F13BF0">
              <w:rPr>
                <w:rFonts w:ascii="Times New Roman" w:hAnsi="Times New Roman" w:cs="Times New Roman"/>
                <w:noProof/>
                <w:webHidden/>
              </w:rPr>
              <w:fldChar w:fldCharType="end"/>
            </w:r>
          </w:hyperlink>
        </w:p>
        <w:p w14:paraId="076D3775" w14:textId="77777777" w:rsidR="00B12710" w:rsidRPr="00F13BF0" w:rsidRDefault="00C22D8B">
          <w:pPr>
            <w:pStyle w:val="Spistreci1"/>
            <w:tabs>
              <w:tab w:val="left" w:pos="1100"/>
            </w:tabs>
            <w:rPr>
              <w:rFonts w:ascii="Times New Roman" w:eastAsiaTheme="minorEastAsia" w:hAnsi="Times New Roman" w:cs="Times New Roman"/>
              <w:noProof/>
              <w:lang w:eastAsia="pl-PL"/>
            </w:rPr>
          </w:pPr>
          <w:hyperlink w:anchor="_Toc44930297" w:history="1">
            <w:r w:rsidR="00B12710" w:rsidRPr="00F13BF0">
              <w:rPr>
                <w:rStyle w:val="Hipercze"/>
                <w:rFonts w:ascii="Times New Roman" w:hAnsi="Times New Roman" w:cs="Times New Roman"/>
                <w:noProof/>
                <w:color w:val="auto"/>
              </w:rPr>
              <w:t>9.2.19.</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KAPITAŁ WEWNĘTRZNY NA RYZYKO INWESTYCJI FINANSOWYCH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_Toc44930297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30</w:t>
            </w:r>
            <w:r w:rsidR="00B12710" w:rsidRPr="00F13BF0">
              <w:rPr>
                <w:rFonts w:ascii="Times New Roman" w:hAnsi="Times New Roman" w:cs="Times New Roman"/>
                <w:noProof/>
                <w:webHidden/>
              </w:rPr>
              <w:fldChar w:fldCharType="end"/>
            </w:r>
          </w:hyperlink>
        </w:p>
        <w:p w14:paraId="03F54572" w14:textId="77777777" w:rsidR="00B12710" w:rsidRPr="00F13BF0" w:rsidRDefault="00C22D8B">
          <w:pPr>
            <w:pStyle w:val="Spistreci1"/>
            <w:rPr>
              <w:rFonts w:ascii="Times New Roman" w:eastAsiaTheme="minorEastAsia" w:hAnsi="Times New Roman" w:cs="Times New Roman"/>
              <w:noProof/>
              <w:lang w:eastAsia="pl-PL"/>
            </w:rPr>
          </w:pPr>
          <w:hyperlink w:anchor="_Toc44930298" w:history="1">
            <w:r w:rsidR="00B12710" w:rsidRPr="00F13BF0">
              <w:rPr>
                <w:rStyle w:val="Hipercze"/>
                <w:rFonts w:ascii="Times New Roman" w:hAnsi="Times New Roman" w:cs="Times New Roman"/>
                <w:noProof/>
                <w:color w:val="auto"/>
              </w:rPr>
              <w:t>9.3.</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ZAGREGOWANY KAPITAŁ WEWNĘTRZNY I WEWNĘTRZNY WSPÓŁCZYNNIK KAPITAŁOWY</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_Toc44930298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31</w:t>
            </w:r>
            <w:r w:rsidR="00B12710" w:rsidRPr="00F13BF0">
              <w:rPr>
                <w:rFonts w:ascii="Times New Roman" w:hAnsi="Times New Roman" w:cs="Times New Roman"/>
                <w:noProof/>
                <w:webHidden/>
              </w:rPr>
              <w:fldChar w:fldCharType="end"/>
            </w:r>
          </w:hyperlink>
        </w:p>
        <w:p w14:paraId="7375D3E5" w14:textId="77777777" w:rsidR="00B12710" w:rsidRPr="00F13BF0" w:rsidRDefault="00C22D8B">
          <w:pPr>
            <w:pStyle w:val="Spistreci1"/>
            <w:rPr>
              <w:rFonts w:ascii="Times New Roman" w:eastAsiaTheme="minorEastAsia" w:hAnsi="Times New Roman" w:cs="Times New Roman"/>
              <w:b/>
              <w:noProof/>
              <w:lang w:eastAsia="pl-PL"/>
            </w:rPr>
          </w:pPr>
          <w:hyperlink w:anchor="_Toc44930299" w:history="1">
            <w:r w:rsidR="00B12710" w:rsidRPr="00F13BF0">
              <w:rPr>
                <w:rStyle w:val="Hipercze"/>
                <w:rFonts w:ascii="Times New Roman" w:hAnsi="Times New Roman" w:cs="Times New Roman"/>
                <w:noProof/>
                <w:color w:val="auto"/>
              </w:rPr>
              <w:t>9.3.1.</w:t>
            </w:r>
            <w:r w:rsidR="00B12710" w:rsidRPr="00F13BF0">
              <w:rPr>
                <w:rFonts w:ascii="Times New Roman" w:eastAsiaTheme="minorEastAsia" w:hAnsi="Times New Roman" w:cs="Times New Roman"/>
                <w:noProof/>
                <w:lang w:eastAsia="pl-PL"/>
              </w:rPr>
              <w:tab/>
            </w:r>
            <w:r w:rsidR="00B12710" w:rsidRPr="00F13BF0">
              <w:rPr>
                <w:rStyle w:val="Hipercze"/>
                <w:rFonts w:ascii="Times New Roman" w:hAnsi="Times New Roman" w:cs="Times New Roman"/>
                <w:noProof/>
                <w:color w:val="auto"/>
              </w:rPr>
              <w:t>REALIZACJA CELÓW STRATEGICZNYCH</w:t>
            </w:r>
            <w:r w:rsidR="00B12710" w:rsidRPr="00F13BF0">
              <w:rPr>
                <w:rFonts w:ascii="Times New Roman" w:hAnsi="Times New Roman" w:cs="Times New Roman"/>
                <w:noProof/>
                <w:webHidden/>
              </w:rPr>
              <w:tab/>
            </w:r>
            <w:r w:rsidR="00B12710" w:rsidRPr="00F13BF0">
              <w:rPr>
                <w:rFonts w:ascii="Times New Roman" w:hAnsi="Times New Roman" w:cs="Times New Roman"/>
                <w:noProof/>
                <w:webHidden/>
              </w:rPr>
              <w:fldChar w:fldCharType="begin"/>
            </w:r>
            <w:r w:rsidR="00B12710" w:rsidRPr="00F13BF0">
              <w:rPr>
                <w:rFonts w:ascii="Times New Roman" w:hAnsi="Times New Roman" w:cs="Times New Roman"/>
                <w:noProof/>
                <w:webHidden/>
              </w:rPr>
              <w:instrText xml:space="preserve"> PAGEREF _Toc44930299 \h </w:instrText>
            </w:r>
            <w:r w:rsidR="00B12710" w:rsidRPr="00F13BF0">
              <w:rPr>
                <w:rFonts w:ascii="Times New Roman" w:hAnsi="Times New Roman" w:cs="Times New Roman"/>
                <w:noProof/>
                <w:webHidden/>
              </w:rPr>
            </w:r>
            <w:r w:rsidR="00B12710" w:rsidRPr="00F13BF0">
              <w:rPr>
                <w:rFonts w:ascii="Times New Roman" w:hAnsi="Times New Roman" w:cs="Times New Roman"/>
                <w:noProof/>
                <w:webHidden/>
              </w:rPr>
              <w:fldChar w:fldCharType="separate"/>
            </w:r>
            <w:r w:rsidR="00FD4209">
              <w:rPr>
                <w:rFonts w:ascii="Times New Roman" w:hAnsi="Times New Roman" w:cs="Times New Roman"/>
                <w:noProof/>
                <w:webHidden/>
              </w:rPr>
              <w:t>31</w:t>
            </w:r>
            <w:r w:rsidR="00B12710" w:rsidRPr="00F13BF0">
              <w:rPr>
                <w:rFonts w:ascii="Times New Roman" w:hAnsi="Times New Roman" w:cs="Times New Roman"/>
                <w:noProof/>
                <w:webHidden/>
              </w:rPr>
              <w:fldChar w:fldCharType="end"/>
            </w:r>
          </w:hyperlink>
        </w:p>
        <w:p w14:paraId="0A4EDBDA" w14:textId="77777777" w:rsidR="008D144F" w:rsidRPr="000E3272" w:rsidRDefault="008D144F">
          <w:pPr>
            <w:rPr>
              <w:color w:val="FF0000"/>
            </w:rPr>
          </w:pPr>
          <w:r w:rsidRPr="00F13BF0">
            <w:rPr>
              <w:rFonts w:ascii="Times New Roman" w:hAnsi="Times New Roman" w:cs="Times New Roman"/>
              <w:b/>
              <w:bCs/>
            </w:rPr>
            <w:fldChar w:fldCharType="end"/>
          </w:r>
        </w:p>
      </w:sdtContent>
    </w:sdt>
    <w:p w14:paraId="0E54DDCA" w14:textId="77777777" w:rsidR="008D144F" w:rsidRPr="000E3272" w:rsidRDefault="008D144F" w:rsidP="00174CA0">
      <w:pPr>
        <w:spacing w:after="0" w:line="264" w:lineRule="auto"/>
        <w:rPr>
          <w:rFonts w:ascii="Times New Roman" w:hAnsi="Times New Roman" w:cs="Times New Roman"/>
          <w:color w:val="FF0000"/>
          <w:sz w:val="24"/>
          <w:szCs w:val="24"/>
        </w:rPr>
      </w:pPr>
    </w:p>
    <w:p w14:paraId="68CD4C92" w14:textId="77777777" w:rsidR="008D144F" w:rsidRPr="000E3272" w:rsidRDefault="008D144F" w:rsidP="00174CA0">
      <w:pPr>
        <w:spacing w:after="0" w:line="264" w:lineRule="auto"/>
        <w:rPr>
          <w:rFonts w:ascii="Times New Roman" w:hAnsi="Times New Roman" w:cs="Times New Roman"/>
          <w:color w:val="FF0000"/>
          <w:sz w:val="24"/>
          <w:szCs w:val="24"/>
        </w:rPr>
      </w:pPr>
    </w:p>
    <w:p w14:paraId="26FF741A" w14:textId="77777777" w:rsidR="006E22EC" w:rsidRPr="000E3272" w:rsidRDefault="006E22EC" w:rsidP="00174CA0">
      <w:pPr>
        <w:spacing w:after="0" w:line="264" w:lineRule="auto"/>
        <w:rPr>
          <w:rFonts w:ascii="Times New Roman" w:hAnsi="Times New Roman" w:cs="Times New Roman"/>
          <w:b/>
          <w:color w:val="FF0000"/>
          <w:sz w:val="24"/>
          <w:szCs w:val="24"/>
        </w:rPr>
      </w:pPr>
    </w:p>
    <w:p w14:paraId="3115D4F9" w14:textId="77777777" w:rsidR="008D144F" w:rsidRPr="000E3272" w:rsidRDefault="008D144F" w:rsidP="00174CA0">
      <w:pPr>
        <w:spacing w:after="0" w:line="264" w:lineRule="auto"/>
        <w:rPr>
          <w:rFonts w:ascii="Times New Roman" w:hAnsi="Times New Roman" w:cs="Times New Roman"/>
          <w:b/>
          <w:color w:val="FF0000"/>
          <w:sz w:val="24"/>
          <w:szCs w:val="24"/>
        </w:rPr>
      </w:pPr>
    </w:p>
    <w:p w14:paraId="2D9831E5" w14:textId="77777777" w:rsidR="008D144F" w:rsidRPr="000E3272" w:rsidRDefault="008D144F" w:rsidP="00174CA0">
      <w:pPr>
        <w:spacing w:after="0" w:line="264" w:lineRule="auto"/>
        <w:rPr>
          <w:rFonts w:ascii="Times New Roman" w:hAnsi="Times New Roman" w:cs="Times New Roman"/>
          <w:b/>
          <w:color w:val="FF0000"/>
          <w:sz w:val="24"/>
          <w:szCs w:val="24"/>
        </w:rPr>
      </w:pPr>
    </w:p>
    <w:p w14:paraId="42BEE513" w14:textId="77777777" w:rsidR="008D144F" w:rsidRPr="000E3272" w:rsidRDefault="008D144F" w:rsidP="00174CA0">
      <w:pPr>
        <w:spacing w:after="0" w:line="264" w:lineRule="auto"/>
        <w:rPr>
          <w:rFonts w:ascii="Times New Roman" w:hAnsi="Times New Roman" w:cs="Times New Roman"/>
          <w:b/>
          <w:color w:val="FF0000"/>
          <w:sz w:val="24"/>
          <w:szCs w:val="24"/>
        </w:rPr>
      </w:pPr>
    </w:p>
    <w:p w14:paraId="3066DD4C" w14:textId="77777777" w:rsidR="008D144F" w:rsidRPr="000E3272" w:rsidRDefault="008D144F" w:rsidP="00174CA0">
      <w:pPr>
        <w:spacing w:after="0" w:line="264" w:lineRule="auto"/>
        <w:rPr>
          <w:rFonts w:ascii="Times New Roman" w:hAnsi="Times New Roman" w:cs="Times New Roman"/>
          <w:b/>
          <w:color w:val="FF0000"/>
          <w:sz w:val="24"/>
          <w:szCs w:val="24"/>
        </w:rPr>
      </w:pPr>
    </w:p>
    <w:p w14:paraId="75448CD0" w14:textId="77777777" w:rsidR="008D144F" w:rsidRPr="000E3272" w:rsidRDefault="008D144F" w:rsidP="00174CA0">
      <w:pPr>
        <w:spacing w:after="0" w:line="264" w:lineRule="auto"/>
        <w:rPr>
          <w:rFonts w:ascii="Times New Roman" w:hAnsi="Times New Roman" w:cs="Times New Roman"/>
          <w:b/>
          <w:color w:val="FF0000"/>
          <w:sz w:val="24"/>
          <w:szCs w:val="24"/>
        </w:rPr>
      </w:pPr>
    </w:p>
    <w:p w14:paraId="61DB1074" w14:textId="77777777" w:rsidR="008D144F" w:rsidRPr="000E3272" w:rsidRDefault="008D144F" w:rsidP="00174CA0">
      <w:pPr>
        <w:spacing w:after="0" w:line="264" w:lineRule="auto"/>
        <w:rPr>
          <w:rFonts w:ascii="Times New Roman" w:hAnsi="Times New Roman" w:cs="Times New Roman"/>
          <w:b/>
          <w:color w:val="FF0000"/>
          <w:sz w:val="24"/>
          <w:szCs w:val="24"/>
        </w:rPr>
      </w:pPr>
    </w:p>
    <w:p w14:paraId="2C132CF3" w14:textId="77777777" w:rsidR="008D144F" w:rsidRPr="000E3272" w:rsidRDefault="008D144F" w:rsidP="00174CA0">
      <w:pPr>
        <w:spacing w:after="0" w:line="264" w:lineRule="auto"/>
        <w:rPr>
          <w:rFonts w:ascii="Times New Roman" w:hAnsi="Times New Roman" w:cs="Times New Roman"/>
          <w:b/>
          <w:color w:val="FF0000"/>
          <w:sz w:val="24"/>
          <w:szCs w:val="24"/>
        </w:rPr>
      </w:pPr>
    </w:p>
    <w:p w14:paraId="76B034F3" w14:textId="77777777" w:rsidR="008D144F" w:rsidRPr="000E3272" w:rsidRDefault="008D144F" w:rsidP="00174CA0">
      <w:pPr>
        <w:spacing w:after="0" w:line="264" w:lineRule="auto"/>
        <w:rPr>
          <w:rFonts w:ascii="Times New Roman" w:hAnsi="Times New Roman" w:cs="Times New Roman"/>
          <w:b/>
          <w:color w:val="FF0000"/>
          <w:sz w:val="24"/>
          <w:szCs w:val="24"/>
        </w:rPr>
      </w:pPr>
    </w:p>
    <w:p w14:paraId="60EC43D7" w14:textId="77777777" w:rsidR="008D144F" w:rsidRPr="000E3272" w:rsidRDefault="008D144F" w:rsidP="00174CA0">
      <w:pPr>
        <w:spacing w:after="0" w:line="264" w:lineRule="auto"/>
        <w:rPr>
          <w:rFonts w:ascii="Times New Roman" w:hAnsi="Times New Roman" w:cs="Times New Roman"/>
          <w:b/>
          <w:color w:val="FF0000"/>
          <w:sz w:val="24"/>
          <w:szCs w:val="24"/>
        </w:rPr>
      </w:pPr>
    </w:p>
    <w:p w14:paraId="62F368CB" w14:textId="77777777" w:rsidR="008D144F" w:rsidRPr="000E3272" w:rsidRDefault="008D144F" w:rsidP="00174CA0">
      <w:pPr>
        <w:spacing w:after="0" w:line="264" w:lineRule="auto"/>
        <w:rPr>
          <w:rFonts w:ascii="Times New Roman" w:hAnsi="Times New Roman" w:cs="Times New Roman"/>
          <w:b/>
          <w:color w:val="FF0000"/>
          <w:sz w:val="24"/>
          <w:szCs w:val="24"/>
        </w:rPr>
      </w:pPr>
    </w:p>
    <w:p w14:paraId="2F081DD9" w14:textId="77777777" w:rsidR="008D144F" w:rsidRPr="000E3272" w:rsidRDefault="008D144F" w:rsidP="00174CA0">
      <w:pPr>
        <w:spacing w:after="0" w:line="264" w:lineRule="auto"/>
        <w:rPr>
          <w:rFonts w:ascii="Times New Roman" w:hAnsi="Times New Roman" w:cs="Times New Roman"/>
          <w:b/>
          <w:color w:val="FF0000"/>
          <w:sz w:val="24"/>
          <w:szCs w:val="24"/>
        </w:rPr>
      </w:pPr>
    </w:p>
    <w:p w14:paraId="656DC919" w14:textId="77777777" w:rsidR="008D144F" w:rsidRPr="000E3272" w:rsidRDefault="008D144F" w:rsidP="00174CA0">
      <w:pPr>
        <w:spacing w:after="0" w:line="264" w:lineRule="auto"/>
        <w:rPr>
          <w:rFonts w:ascii="Times New Roman" w:hAnsi="Times New Roman" w:cs="Times New Roman"/>
          <w:b/>
          <w:color w:val="FF0000"/>
          <w:sz w:val="24"/>
          <w:szCs w:val="24"/>
        </w:rPr>
      </w:pPr>
    </w:p>
    <w:p w14:paraId="3FC8B7EC" w14:textId="77777777" w:rsidR="008D144F" w:rsidRPr="000E3272" w:rsidRDefault="008D144F" w:rsidP="00174CA0">
      <w:pPr>
        <w:spacing w:after="0" w:line="264" w:lineRule="auto"/>
        <w:rPr>
          <w:rFonts w:ascii="Times New Roman" w:hAnsi="Times New Roman" w:cs="Times New Roman"/>
          <w:b/>
          <w:color w:val="FF0000"/>
          <w:sz w:val="24"/>
          <w:szCs w:val="24"/>
        </w:rPr>
      </w:pPr>
    </w:p>
    <w:p w14:paraId="1244AB89" w14:textId="77777777" w:rsidR="008D144F" w:rsidRPr="000E3272" w:rsidRDefault="008D144F" w:rsidP="00174CA0">
      <w:pPr>
        <w:spacing w:after="0" w:line="264" w:lineRule="auto"/>
        <w:rPr>
          <w:rFonts w:ascii="Times New Roman" w:hAnsi="Times New Roman" w:cs="Times New Roman"/>
          <w:b/>
          <w:color w:val="FF0000"/>
          <w:sz w:val="24"/>
          <w:szCs w:val="24"/>
        </w:rPr>
      </w:pPr>
    </w:p>
    <w:p w14:paraId="6F754F3A" w14:textId="77777777" w:rsidR="008D144F" w:rsidRPr="000E3272" w:rsidRDefault="008D144F" w:rsidP="00174CA0">
      <w:pPr>
        <w:spacing w:after="0" w:line="264" w:lineRule="auto"/>
        <w:rPr>
          <w:rFonts w:ascii="Times New Roman" w:hAnsi="Times New Roman" w:cs="Times New Roman"/>
          <w:b/>
          <w:color w:val="FF0000"/>
          <w:sz w:val="24"/>
          <w:szCs w:val="24"/>
        </w:rPr>
      </w:pPr>
    </w:p>
    <w:p w14:paraId="026D6793" w14:textId="77777777" w:rsidR="006E22EC" w:rsidRPr="000E3272" w:rsidRDefault="006E22EC" w:rsidP="00174CA0">
      <w:pPr>
        <w:spacing w:after="0" w:line="264" w:lineRule="auto"/>
        <w:rPr>
          <w:rFonts w:ascii="Times New Roman" w:hAnsi="Times New Roman" w:cs="Times New Roman"/>
          <w:b/>
          <w:color w:val="FF0000"/>
          <w:sz w:val="24"/>
          <w:szCs w:val="24"/>
        </w:rPr>
      </w:pPr>
    </w:p>
    <w:p w14:paraId="3A2B1D7D" w14:textId="77777777" w:rsidR="00B356AC" w:rsidRPr="000E3272" w:rsidRDefault="00B356AC" w:rsidP="00174CA0">
      <w:pPr>
        <w:spacing w:after="0" w:line="264" w:lineRule="auto"/>
        <w:rPr>
          <w:rFonts w:ascii="Times New Roman" w:hAnsi="Times New Roman" w:cs="Times New Roman"/>
          <w:b/>
          <w:color w:val="FF0000"/>
          <w:sz w:val="24"/>
          <w:szCs w:val="24"/>
        </w:rPr>
      </w:pPr>
    </w:p>
    <w:p w14:paraId="231708E6" w14:textId="77777777" w:rsidR="00B356AC" w:rsidRPr="000E3272" w:rsidRDefault="00B356AC" w:rsidP="00174CA0">
      <w:pPr>
        <w:spacing w:after="0" w:line="264" w:lineRule="auto"/>
        <w:rPr>
          <w:rFonts w:ascii="Times New Roman" w:hAnsi="Times New Roman" w:cs="Times New Roman"/>
          <w:b/>
          <w:color w:val="FF0000"/>
          <w:sz w:val="24"/>
          <w:szCs w:val="24"/>
        </w:rPr>
      </w:pPr>
    </w:p>
    <w:p w14:paraId="45BD2AC8" w14:textId="77777777" w:rsidR="00B356AC" w:rsidRPr="000E3272" w:rsidRDefault="00B356AC" w:rsidP="00174CA0">
      <w:pPr>
        <w:spacing w:after="0" w:line="264" w:lineRule="auto"/>
        <w:rPr>
          <w:rFonts w:ascii="Times New Roman" w:hAnsi="Times New Roman" w:cs="Times New Roman"/>
          <w:b/>
          <w:color w:val="FF0000"/>
          <w:sz w:val="24"/>
          <w:szCs w:val="24"/>
        </w:rPr>
      </w:pPr>
    </w:p>
    <w:p w14:paraId="051F2296" w14:textId="77777777" w:rsidR="00B356AC" w:rsidRPr="000E3272" w:rsidRDefault="00B356AC" w:rsidP="00174CA0">
      <w:pPr>
        <w:spacing w:after="0" w:line="264" w:lineRule="auto"/>
        <w:rPr>
          <w:rFonts w:ascii="Times New Roman" w:hAnsi="Times New Roman" w:cs="Times New Roman"/>
          <w:b/>
          <w:color w:val="FF0000"/>
          <w:sz w:val="24"/>
          <w:szCs w:val="24"/>
        </w:rPr>
      </w:pPr>
    </w:p>
    <w:p w14:paraId="167E8580" w14:textId="77777777" w:rsidR="00B356AC" w:rsidRPr="000E3272" w:rsidRDefault="00B356AC" w:rsidP="00174CA0">
      <w:pPr>
        <w:spacing w:after="0" w:line="264" w:lineRule="auto"/>
        <w:rPr>
          <w:rFonts w:ascii="Times New Roman" w:hAnsi="Times New Roman" w:cs="Times New Roman"/>
          <w:b/>
          <w:color w:val="FF0000"/>
          <w:sz w:val="24"/>
          <w:szCs w:val="24"/>
        </w:rPr>
      </w:pPr>
    </w:p>
    <w:p w14:paraId="0ED42B09" w14:textId="77777777" w:rsidR="00B356AC" w:rsidRPr="000E3272" w:rsidRDefault="00B356AC" w:rsidP="00174CA0">
      <w:pPr>
        <w:spacing w:after="0" w:line="264" w:lineRule="auto"/>
        <w:rPr>
          <w:rFonts w:ascii="Times New Roman" w:hAnsi="Times New Roman" w:cs="Times New Roman"/>
          <w:b/>
          <w:color w:val="FF0000"/>
          <w:sz w:val="24"/>
          <w:szCs w:val="24"/>
        </w:rPr>
      </w:pPr>
    </w:p>
    <w:p w14:paraId="7C83C033" w14:textId="77777777" w:rsidR="003C42C9" w:rsidRPr="000E3272" w:rsidRDefault="003C42C9" w:rsidP="00174CA0">
      <w:pPr>
        <w:spacing w:after="0" w:line="264" w:lineRule="auto"/>
        <w:rPr>
          <w:rFonts w:ascii="Times New Roman" w:hAnsi="Times New Roman" w:cs="Times New Roman"/>
          <w:b/>
          <w:color w:val="FF0000"/>
          <w:sz w:val="24"/>
          <w:szCs w:val="24"/>
        </w:rPr>
      </w:pPr>
    </w:p>
    <w:p w14:paraId="65714CC0" w14:textId="77777777" w:rsidR="00A94A86" w:rsidRPr="000E3272" w:rsidRDefault="00A94A86" w:rsidP="00174CA0">
      <w:pPr>
        <w:spacing w:after="0" w:line="264" w:lineRule="auto"/>
        <w:rPr>
          <w:rFonts w:ascii="Times New Roman" w:hAnsi="Times New Roman" w:cs="Times New Roman"/>
          <w:b/>
          <w:color w:val="FF0000"/>
          <w:sz w:val="24"/>
          <w:szCs w:val="24"/>
        </w:rPr>
      </w:pPr>
    </w:p>
    <w:p w14:paraId="469A5511" w14:textId="77777777" w:rsidR="00993749" w:rsidRPr="000E3272" w:rsidRDefault="00993749" w:rsidP="00174CA0">
      <w:pPr>
        <w:spacing w:after="0" w:line="264" w:lineRule="auto"/>
        <w:rPr>
          <w:rFonts w:ascii="Times New Roman" w:hAnsi="Times New Roman" w:cs="Times New Roman"/>
          <w:b/>
          <w:color w:val="FF0000"/>
          <w:sz w:val="24"/>
          <w:szCs w:val="24"/>
        </w:rPr>
      </w:pPr>
    </w:p>
    <w:p w14:paraId="29BE358F" w14:textId="77777777" w:rsidR="006C34F1" w:rsidRPr="00FF3184" w:rsidRDefault="006C34F1" w:rsidP="008D144F">
      <w:pPr>
        <w:pStyle w:val="Nagwek1"/>
        <w:rPr>
          <w:rFonts w:ascii="Times New Roman" w:hAnsi="Times New Roman" w:cs="Times New Roman"/>
          <w:b/>
          <w:color w:val="auto"/>
          <w:sz w:val="24"/>
          <w:szCs w:val="24"/>
        </w:rPr>
      </w:pPr>
      <w:bookmarkStart w:id="1" w:name="_Toc44930253"/>
      <w:r w:rsidRPr="00FF3184">
        <w:rPr>
          <w:rFonts w:ascii="Times New Roman" w:hAnsi="Times New Roman" w:cs="Times New Roman"/>
          <w:b/>
          <w:color w:val="auto"/>
          <w:sz w:val="24"/>
          <w:szCs w:val="24"/>
        </w:rPr>
        <w:lastRenderedPageBreak/>
        <w:t>WSTĘP</w:t>
      </w:r>
      <w:bookmarkEnd w:id="1"/>
      <w:r w:rsidRPr="00FF3184">
        <w:rPr>
          <w:rFonts w:ascii="Times New Roman" w:hAnsi="Times New Roman" w:cs="Times New Roman"/>
          <w:b/>
          <w:color w:val="auto"/>
          <w:sz w:val="24"/>
          <w:szCs w:val="24"/>
        </w:rPr>
        <w:t xml:space="preserve"> </w:t>
      </w:r>
    </w:p>
    <w:p w14:paraId="01197443" w14:textId="77777777" w:rsidR="00174CA0" w:rsidRPr="00FF3184" w:rsidRDefault="00174CA0" w:rsidP="00174CA0">
      <w:pPr>
        <w:spacing w:after="0" w:line="264" w:lineRule="auto"/>
        <w:rPr>
          <w:rFonts w:ascii="Times New Roman" w:hAnsi="Times New Roman" w:cs="Times New Roman"/>
          <w:b/>
          <w:sz w:val="24"/>
          <w:szCs w:val="24"/>
        </w:rPr>
      </w:pPr>
    </w:p>
    <w:p w14:paraId="488DE27D" w14:textId="77777777" w:rsidR="006C34F1" w:rsidRPr="00FF3184" w:rsidRDefault="006C34F1" w:rsidP="00174CA0">
      <w:pPr>
        <w:spacing w:after="0" w:line="264" w:lineRule="auto"/>
        <w:ind w:firstLine="709"/>
        <w:jc w:val="both"/>
        <w:rPr>
          <w:rFonts w:ascii="Times New Roman" w:hAnsi="Times New Roman" w:cs="Times New Roman"/>
          <w:sz w:val="24"/>
          <w:szCs w:val="24"/>
        </w:rPr>
      </w:pPr>
      <w:r w:rsidRPr="00FF3184">
        <w:rPr>
          <w:rFonts w:ascii="Times New Roman" w:hAnsi="Times New Roman" w:cs="Times New Roman"/>
          <w:sz w:val="24"/>
          <w:szCs w:val="24"/>
        </w:rPr>
        <w:t xml:space="preserve">Zarządzanie ryzykiem w </w:t>
      </w:r>
      <w:r w:rsidR="006206D9" w:rsidRPr="00FF3184">
        <w:rPr>
          <w:rFonts w:ascii="Times New Roman" w:hAnsi="Times New Roman" w:cs="Times New Roman"/>
          <w:sz w:val="24"/>
          <w:szCs w:val="24"/>
        </w:rPr>
        <w:t>Warmińsko-Mazurskim Banku Spółdzielczym</w:t>
      </w:r>
      <w:r w:rsidR="001C3B07" w:rsidRPr="00FF3184">
        <w:rPr>
          <w:rFonts w:ascii="Times New Roman" w:hAnsi="Times New Roman" w:cs="Times New Roman"/>
          <w:sz w:val="24"/>
          <w:szCs w:val="24"/>
        </w:rPr>
        <w:t xml:space="preserve"> zwanym dalej Bankiem</w:t>
      </w:r>
      <w:r w:rsidR="006206D9" w:rsidRPr="00FF3184">
        <w:rPr>
          <w:rFonts w:ascii="Times New Roman" w:hAnsi="Times New Roman" w:cs="Times New Roman"/>
          <w:sz w:val="24"/>
          <w:szCs w:val="24"/>
        </w:rPr>
        <w:t xml:space="preserve"> </w:t>
      </w:r>
      <w:r w:rsidRPr="00FF3184">
        <w:rPr>
          <w:rFonts w:ascii="Times New Roman" w:hAnsi="Times New Roman" w:cs="Times New Roman"/>
          <w:sz w:val="24"/>
          <w:szCs w:val="24"/>
        </w:rPr>
        <w:t xml:space="preserve">odbywa się w oparciu o zatwierdzoną przez Radę </w:t>
      </w:r>
      <w:r w:rsidR="00AD0919" w:rsidRPr="00FF3184">
        <w:rPr>
          <w:rFonts w:ascii="Times New Roman" w:hAnsi="Times New Roman" w:cs="Times New Roman"/>
          <w:sz w:val="24"/>
          <w:szCs w:val="24"/>
        </w:rPr>
        <w:t>Nadzorcz</w:t>
      </w:r>
      <w:r w:rsidR="00430D06" w:rsidRPr="00FF3184">
        <w:rPr>
          <w:rFonts w:ascii="Times New Roman" w:hAnsi="Times New Roman" w:cs="Times New Roman"/>
          <w:sz w:val="24"/>
          <w:szCs w:val="24"/>
        </w:rPr>
        <w:t>ą, Strategię Zarządzania Ry</w:t>
      </w:r>
      <w:r w:rsidR="001C3B07" w:rsidRPr="00FF3184">
        <w:rPr>
          <w:rFonts w:ascii="Times New Roman" w:hAnsi="Times New Roman" w:cs="Times New Roman"/>
          <w:sz w:val="24"/>
          <w:szCs w:val="24"/>
        </w:rPr>
        <w:t>zykiem</w:t>
      </w:r>
      <w:r w:rsidR="007B6480" w:rsidRPr="00FF3184">
        <w:rPr>
          <w:rFonts w:ascii="Times New Roman" w:hAnsi="Times New Roman" w:cs="Times New Roman"/>
          <w:sz w:val="24"/>
          <w:szCs w:val="24"/>
        </w:rPr>
        <w:t>, s</w:t>
      </w:r>
      <w:r w:rsidR="00AD0919" w:rsidRPr="00FF3184">
        <w:rPr>
          <w:rFonts w:ascii="Times New Roman" w:hAnsi="Times New Roman" w:cs="Times New Roman"/>
          <w:sz w:val="24"/>
          <w:szCs w:val="24"/>
        </w:rPr>
        <w:t>trategie</w:t>
      </w:r>
      <w:r w:rsidR="007B6480" w:rsidRPr="00FF3184">
        <w:rPr>
          <w:rFonts w:ascii="Times New Roman" w:hAnsi="Times New Roman" w:cs="Times New Roman"/>
          <w:sz w:val="24"/>
          <w:szCs w:val="24"/>
        </w:rPr>
        <w:t>/polityki</w:t>
      </w:r>
      <w:r w:rsidRPr="00FF3184">
        <w:rPr>
          <w:rFonts w:ascii="Times New Roman" w:hAnsi="Times New Roman" w:cs="Times New Roman"/>
          <w:sz w:val="24"/>
          <w:szCs w:val="24"/>
        </w:rPr>
        <w:t xml:space="preserve"> zarządzania p</w:t>
      </w:r>
      <w:r w:rsidR="007B6480" w:rsidRPr="00FF3184">
        <w:rPr>
          <w:rFonts w:ascii="Times New Roman" w:hAnsi="Times New Roman" w:cs="Times New Roman"/>
          <w:sz w:val="24"/>
          <w:szCs w:val="24"/>
        </w:rPr>
        <w:t xml:space="preserve">oszczególnymi rodzajami ryzyka, </w:t>
      </w:r>
      <w:r w:rsidRPr="00FF3184">
        <w:rPr>
          <w:rFonts w:ascii="Times New Roman" w:hAnsi="Times New Roman" w:cs="Times New Roman"/>
          <w:sz w:val="24"/>
          <w:szCs w:val="24"/>
        </w:rPr>
        <w:t>instrukcje, procedury szczegółowe oraz sporządzane w formie pisemnej analizy, z uwzględnieniem Zasad Ładu Korporacyjnego. W celu dywersyfikacji ryzyk</w:t>
      </w:r>
      <w:r w:rsidR="004A4DCC" w:rsidRPr="00FF3184">
        <w:rPr>
          <w:rFonts w:ascii="Times New Roman" w:hAnsi="Times New Roman" w:cs="Times New Roman"/>
          <w:sz w:val="24"/>
          <w:szCs w:val="24"/>
        </w:rPr>
        <w:t>a</w:t>
      </w:r>
      <w:r w:rsidRPr="00FF3184">
        <w:rPr>
          <w:rFonts w:ascii="Times New Roman" w:hAnsi="Times New Roman" w:cs="Times New Roman"/>
          <w:sz w:val="24"/>
          <w:szCs w:val="24"/>
        </w:rPr>
        <w:t xml:space="preserve"> Bank wprowadził limity wewnętrzne</w:t>
      </w:r>
      <w:r w:rsidR="006206D9" w:rsidRPr="00FF3184">
        <w:rPr>
          <w:rFonts w:ascii="Times New Roman" w:hAnsi="Times New Roman" w:cs="Times New Roman"/>
          <w:sz w:val="24"/>
          <w:szCs w:val="24"/>
        </w:rPr>
        <w:t xml:space="preserve"> </w:t>
      </w:r>
      <w:r w:rsidRPr="00FF3184">
        <w:rPr>
          <w:rFonts w:ascii="Times New Roman" w:hAnsi="Times New Roman" w:cs="Times New Roman"/>
          <w:sz w:val="24"/>
          <w:szCs w:val="24"/>
        </w:rPr>
        <w:t xml:space="preserve">ograniczające jego poziom oraz przeprowadza testy warunków skrajnych. </w:t>
      </w:r>
    </w:p>
    <w:p w14:paraId="0636BF70" w14:textId="77777777" w:rsidR="006C34F1" w:rsidRPr="000E3272" w:rsidRDefault="006C34F1" w:rsidP="00174CA0">
      <w:pPr>
        <w:spacing w:after="0" w:line="264" w:lineRule="auto"/>
        <w:rPr>
          <w:rFonts w:ascii="Times New Roman" w:hAnsi="Times New Roman" w:cs="Times New Roman"/>
          <w:color w:val="FF0000"/>
          <w:sz w:val="24"/>
          <w:szCs w:val="24"/>
        </w:rPr>
      </w:pPr>
    </w:p>
    <w:p w14:paraId="7D5AEB73" w14:textId="77777777" w:rsidR="006C34F1" w:rsidRPr="00FF3184" w:rsidRDefault="006C34F1" w:rsidP="00993749">
      <w:pPr>
        <w:pStyle w:val="Nagwek1"/>
        <w:numPr>
          <w:ilvl w:val="0"/>
          <w:numId w:val="21"/>
        </w:numPr>
        <w:rPr>
          <w:rFonts w:ascii="Times New Roman" w:hAnsi="Times New Roman" w:cs="Times New Roman"/>
          <w:b/>
          <w:color w:val="auto"/>
          <w:sz w:val="24"/>
          <w:szCs w:val="24"/>
        </w:rPr>
      </w:pPr>
      <w:bookmarkStart w:id="2" w:name="_Toc44930254"/>
      <w:r w:rsidRPr="00FF3184">
        <w:rPr>
          <w:rFonts w:ascii="Times New Roman" w:hAnsi="Times New Roman" w:cs="Times New Roman"/>
          <w:b/>
          <w:color w:val="auto"/>
          <w:sz w:val="24"/>
          <w:szCs w:val="24"/>
        </w:rPr>
        <w:t>ŁAD KORPORACYJNY</w:t>
      </w:r>
      <w:bookmarkEnd w:id="2"/>
      <w:r w:rsidRPr="00FF3184">
        <w:rPr>
          <w:rFonts w:ascii="Times New Roman" w:hAnsi="Times New Roman" w:cs="Times New Roman"/>
          <w:b/>
          <w:color w:val="auto"/>
          <w:sz w:val="24"/>
          <w:szCs w:val="24"/>
        </w:rPr>
        <w:t xml:space="preserve"> </w:t>
      </w:r>
    </w:p>
    <w:p w14:paraId="24078AB9" w14:textId="77777777" w:rsidR="00174CA0" w:rsidRPr="00FF3184" w:rsidRDefault="00174CA0" w:rsidP="00174CA0">
      <w:pPr>
        <w:pStyle w:val="Akapitzlist"/>
        <w:spacing w:after="0" w:line="264" w:lineRule="auto"/>
        <w:rPr>
          <w:rFonts w:ascii="Times New Roman" w:hAnsi="Times New Roman" w:cs="Times New Roman"/>
          <w:b/>
          <w:sz w:val="24"/>
          <w:szCs w:val="24"/>
        </w:rPr>
      </w:pPr>
    </w:p>
    <w:p w14:paraId="50619D11" w14:textId="77777777" w:rsidR="006C34F1" w:rsidRPr="00FF3184" w:rsidRDefault="006C34F1" w:rsidP="00174CA0">
      <w:pPr>
        <w:spacing w:after="0" w:line="264" w:lineRule="auto"/>
        <w:ind w:firstLine="709"/>
        <w:jc w:val="both"/>
        <w:rPr>
          <w:rFonts w:ascii="Times New Roman" w:hAnsi="Times New Roman" w:cs="Times New Roman"/>
          <w:sz w:val="24"/>
          <w:szCs w:val="24"/>
        </w:rPr>
      </w:pPr>
      <w:r w:rsidRPr="00FF3184">
        <w:rPr>
          <w:rFonts w:ascii="Times New Roman" w:hAnsi="Times New Roman" w:cs="Times New Roman"/>
          <w:sz w:val="24"/>
          <w:szCs w:val="24"/>
        </w:rPr>
        <w:t xml:space="preserve">Prowadząc działalność bankową </w:t>
      </w:r>
      <w:r w:rsidR="001C3B07" w:rsidRPr="00FF3184">
        <w:rPr>
          <w:rFonts w:ascii="Times New Roman" w:hAnsi="Times New Roman" w:cs="Times New Roman"/>
          <w:sz w:val="24"/>
          <w:szCs w:val="24"/>
        </w:rPr>
        <w:t>Bank</w:t>
      </w:r>
      <w:r w:rsidR="006206D9" w:rsidRPr="00FF3184">
        <w:rPr>
          <w:rFonts w:ascii="Times New Roman" w:hAnsi="Times New Roman" w:cs="Times New Roman"/>
          <w:sz w:val="24"/>
          <w:szCs w:val="24"/>
        </w:rPr>
        <w:t xml:space="preserve"> </w:t>
      </w:r>
      <w:r w:rsidRPr="00FF3184">
        <w:rPr>
          <w:rFonts w:ascii="Times New Roman" w:hAnsi="Times New Roman" w:cs="Times New Roman"/>
          <w:sz w:val="24"/>
          <w:szCs w:val="24"/>
        </w:rPr>
        <w:t xml:space="preserve"> – jako instytucja zaufania publicznego -</w:t>
      </w:r>
      <w:r w:rsidR="00430D06" w:rsidRPr="00FF3184">
        <w:rPr>
          <w:rFonts w:ascii="Times New Roman" w:hAnsi="Times New Roman" w:cs="Times New Roman"/>
          <w:sz w:val="24"/>
          <w:szCs w:val="24"/>
        </w:rPr>
        <w:t xml:space="preserve"> </w:t>
      </w:r>
      <w:r w:rsidRPr="00FF3184">
        <w:rPr>
          <w:rFonts w:ascii="Times New Roman" w:hAnsi="Times New Roman" w:cs="Times New Roman"/>
          <w:sz w:val="24"/>
          <w:szCs w:val="24"/>
        </w:rPr>
        <w:t xml:space="preserve">zawsze kierował się dobrymi relacjami z Udziałowcami i Klientami Banku. </w:t>
      </w:r>
    </w:p>
    <w:p w14:paraId="4BD3886A" w14:textId="77777777" w:rsidR="006C34F1" w:rsidRPr="00FF3184" w:rsidRDefault="006C34F1" w:rsidP="00174CA0">
      <w:pPr>
        <w:spacing w:after="0" w:line="264" w:lineRule="auto"/>
        <w:ind w:firstLine="709"/>
        <w:rPr>
          <w:rFonts w:ascii="Times New Roman" w:hAnsi="Times New Roman" w:cs="Times New Roman"/>
          <w:sz w:val="24"/>
          <w:szCs w:val="24"/>
        </w:rPr>
      </w:pPr>
      <w:r w:rsidRPr="00FF3184">
        <w:rPr>
          <w:rFonts w:ascii="Times New Roman" w:hAnsi="Times New Roman" w:cs="Times New Roman"/>
          <w:sz w:val="24"/>
          <w:szCs w:val="24"/>
        </w:rPr>
        <w:t xml:space="preserve">Dbałość o dobro Klienta i rzetelna informacja w zakresie oferowanych usług to jeden z nadrzędnych celów naszego Banku. </w:t>
      </w:r>
    </w:p>
    <w:p w14:paraId="0D253249" w14:textId="77777777" w:rsidR="006C34F1" w:rsidRPr="00FF3184" w:rsidRDefault="006C34F1" w:rsidP="00174CA0">
      <w:pPr>
        <w:spacing w:after="0" w:line="264" w:lineRule="auto"/>
        <w:ind w:firstLine="709"/>
        <w:jc w:val="both"/>
        <w:rPr>
          <w:rFonts w:ascii="Times New Roman" w:hAnsi="Times New Roman" w:cs="Times New Roman"/>
          <w:sz w:val="24"/>
          <w:szCs w:val="24"/>
        </w:rPr>
      </w:pPr>
      <w:r w:rsidRPr="00FF3184">
        <w:rPr>
          <w:rFonts w:ascii="Times New Roman" w:hAnsi="Times New Roman" w:cs="Times New Roman"/>
          <w:sz w:val="24"/>
          <w:szCs w:val="24"/>
        </w:rPr>
        <w:t xml:space="preserve">Relacje z Udziałowcami i Klientami Banku oraz organami Banku takimi jak: </w:t>
      </w:r>
      <w:r w:rsidR="00563377" w:rsidRPr="00FF3184">
        <w:rPr>
          <w:rFonts w:ascii="Times New Roman" w:hAnsi="Times New Roman" w:cs="Times New Roman"/>
          <w:sz w:val="24"/>
          <w:szCs w:val="24"/>
        </w:rPr>
        <w:t>W</w:t>
      </w:r>
      <w:r w:rsidR="006206D9" w:rsidRPr="00FF3184">
        <w:rPr>
          <w:rFonts w:ascii="Times New Roman" w:hAnsi="Times New Roman" w:cs="Times New Roman"/>
          <w:sz w:val="24"/>
          <w:szCs w:val="24"/>
        </w:rPr>
        <w:t xml:space="preserve">alne </w:t>
      </w:r>
      <w:r w:rsidR="00563377" w:rsidRPr="00FF3184">
        <w:rPr>
          <w:rFonts w:ascii="Times New Roman" w:hAnsi="Times New Roman" w:cs="Times New Roman"/>
          <w:sz w:val="24"/>
          <w:szCs w:val="24"/>
        </w:rPr>
        <w:t>Z</w:t>
      </w:r>
      <w:r w:rsidR="006206D9" w:rsidRPr="00FF3184">
        <w:rPr>
          <w:rFonts w:ascii="Times New Roman" w:hAnsi="Times New Roman" w:cs="Times New Roman"/>
          <w:sz w:val="24"/>
          <w:szCs w:val="24"/>
        </w:rPr>
        <w:t>gromadzenie,</w:t>
      </w:r>
      <w:r w:rsidRPr="00FF3184">
        <w:rPr>
          <w:rFonts w:ascii="Times New Roman" w:hAnsi="Times New Roman" w:cs="Times New Roman"/>
          <w:sz w:val="24"/>
          <w:szCs w:val="24"/>
        </w:rPr>
        <w:t xml:space="preserve"> Rada Nadzorcza i Zarząd, zostały sformalizowane </w:t>
      </w:r>
      <w:r w:rsidR="006206D9" w:rsidRPr="00FF3184">
        <w:rPr>
          <w:rFonts w:ascii="Times New Roman" w:hAnsi="Times New Roman" w:cs="Times New Roman"/>
          <w:sz w:val="24"/>
          <w:szCs w:val="24"/>
        </w:rPr>
        <w:t xml:space="preserve">w Zasadach Ładu Korporacyjnego dla Warmińsko-Mazurskiego Banku Spółdzielczego. </w:t>
      </w:r>
      <w:r w:rsidRPr="00FF3184">
        <w:rPr>
          <w:rFonts w:ascii="Times New Roman" w:hAnsi="Times New Roman" w:cs="Times New Roman"/>
          <w:sz w:val="24"/>
          <w:szCs w:val="24"/>
        </w:rPr>
        <w:t xml:space="preserve"> </w:t>
      </w:r>
    </w:p>
    <w:p w14:paraId="6706E3F2" w14:textId="77777777" w:rsidR="006C34F1" w:rsidRPr="00FF3184" w:rsidRDefault="006C34F1" w:rsidP="00174CA0">
      <w:pPr>
        <w:spacing w:after="0" w:line="264" w:lineRule="auto"/>
        <w:ind w:firstLine="709"/>
        <w:jc w:val="both"/>
        <w:rPr>
          <w:rFonts w:ascii="Times New Roman" w:hAnsi="Times New Roman" w:cs="Times New Roman"/>
          <w:sz w:val="24"/>
          <w:szCs w:val="24"/>
        </w:rPr>
      </w:pPr>
      <w:r w:rsidRPr="00FF3184">
        <w:rPr>
          <w:rFonts w:ascii="Times New Roman" w:hAnsi="Times New Roman" w:cs="Times New Roman"/>
          <w:sz w:val="24"/>
          <w:szCs w:val="24"/>
        </w:rPr>
        <w:t>Rada Nadzorcza dokonała szcz</w:t>
      </w:r>
      <w:r w:rsidR="00D35521" w:rsidRPr="00FF3184">
        <w:rPr>
          <w:rFonts w:ascii="Times New Roman" w:hAnsi="Times New Roman" w:cs="Times New Roman"/>
          <w:sz w:val="24"/>
          <w:szCs w:val="24"/>
        </w:rPr>
        <w:t xml:space="preserve">egółowej oceny stosowania w </w:t>
      </w:r>
      <w:r w:rsidR="00924C32" w:rsidRPr="00FF3184">
        <w:rPr>
          <w:rFonts w:ascii="Times New Roman" w:hAnsi="Times New Roman" w:cs="Times New Roman"/>
          <w:sz w:val="24"/>
          <w:szCs w:val="24"/>
        </w:rPr>
        <w:t>20</w:t>
      </w:r>
      <w:r w:rsidR="00FF3184" w:rsidRPr="00FF3184">
        <w:rPr>
          <w:rFonts w:ascii="Times New Roman" w:hAnsi="Times New Roman" w:cs="Times New Roman"/>
          <w:sz w:val="24"/>
          <w:szCs w:val="24"/>
        </w:rPr>
        <w:t>20</w:t>
      </w:r>
      <w:r w:rsidRPr="00FF3184">
        <w:rPr>
          <w:rFonts w:ascii="Times New Roman" w:hAnsi="Times New Roman" w:cs="Times New Roman"/>
          <w:sz w:val="24"/>
          <w:szCs w:val="24"/>
        </w:rPr>
        <w:t xml:space="preserve"> r. w </w:t>
      </w:r>
      <w:r w:rsidR="006206D9" w:rsidRPr="00FF3184">
        <w:rPr>
          <w:rFonts w:ascii="Times New Roman" w:hAnsi="Times New Roman" w:cs="Times New Roman"/>
          <w:sz w:val="24"/>
          <w:szCs w:val="24"/>
        </w:rPr>
        <w:t xml:space="preserve">Warmińsko-Mazurskim Banku Spółdzielczym </w:t>
      </w:r>
      <w:r w:rsidRPr="00FF3184">
        <w:rPr>
          <w:rFonts w:ascii="Times New Roman" w:hAnsi="Times New Roman" w:cs="Times New Roman"/>
          <w:sz w:val="24"/>
          <w:szCs w:val="24"/>
        </w:rPr>
        <w:t xml:space="preserve">Zasad Ładu Korporacyjnego i stwierdziła, że Bank realizował wszystkie określone w </w:t>
      </w:r>
      <w:r w:rsidR="006206D9" w:rsidRPr="00FF3184">
        <w:rPr>
          <w:rFonts w:ascii="Times New Roman" w:hAnsi="Times New Roman" w:cs="Times New Roman"/>
          <w:sz w:val="24"/>
          <w:szCs w:val="24"/>
        </w:rPr>
        <w:t>n</w:t>
      </w:r>
      <w:r w:rsidRPr="00FF3184">
        <w:rPr>
          <w:rFonts w:ascii="Times New Roman" w:hAnsi="Times New Roman" w:cs="Times New Roman"/>
          <w:sz w:val="24"/>
          <w:szCs w:val="24"/>
        </w:rPr>
        <w:t>ich cele i wymogi. Bank wprowadził</w:t>
      </w:r>
      <w:r w:rsidR="00430D06" w:rsidRPr="00FF3184">
        <w:rPr>
          <w:rFonts w:ascii="Times New Roman" w:hAnsi="Times New Roman" w:cs="Times New Roman"/>
          <w:sz w:val="24"/>
          <w:szCs w:val="24"/>
        </w:rPr>
        <w:t xml:space="preserve"> odpowiednie regulacje, systemy  </w:t>
      </w:r>
      <w:r w:rsidRPr="00FF3184">
        <w:rPr>
          <w:rFonts w:ascii="Times New Roman" w:hAnsi="Times New Roman" w:cs="Times New Roman"/>
          <w:sz w:val="24"/>
          <w:szCs w:val="24"/>
        </w:rPr>
        <w:t xml:space="preserve">i narzędzia, które w sposób kompleksowy zapewniły realizację tych zadań. </w:t>
      </w:r>
    </w:p>
    <w:p w14:paraId="0E63BB6B" w14:textId="77777777" w:rsidR="006C34F1" w:rsidRPr="000E3272" w:rsidRDefault="006C34F1" w:rsidP="00174CA0">
      <w:pPr>
        <w:spacing w:after="0" w:line="264" w:lineRule="auto"/>
        <w:rPr>
          <w:rFonts w:ascii="Times New Roman" w:hAnsi="Times New Roman" w:cs="Times New Roman"/>
          <w:color w:val="FF0000"/>
          <w:sz w:val="24"/>
          <w:szCs w:val="24"/>
        </w:rPr>
      </w:pPr>
    </w:p>
    <w:p w14:paraId="2319BF0E" w14:textId="77777777" w:rsidR="006C34F1" w:rsidRPr="00402443" w:rsidRDefault="006C34F1" w:rsidP="00993749">
      <w:pPr>
        <w:pStyle w:val="Nagwek1"/>
        <w:numPr>
          <w:ilvl w:val="0"/>
          <w:numId w:val="21"/>
        </w:numPr>
        <w:rPr>
          <w:rFonts w:ascii="Times New Roman" w:hAnsi="Times New Roman" w:cs="Times New Roman"/>
          <w:b/>
          <w:color w:val="auto"/>
          <w:sz w:val="24"/>
          <w:szCs w:val="24"/>
        </w:rPr>
      </w:pPr>
      <w:bookmarkStart w:id="3" w:name="_Toc44930255"/>
      <w:r w:rsidRPr="00402443">
        <w:rPr>
          <w:rFonts w:ascii="Times New Roman" w:hAnsi="Times New Roman" w:cs="Times New Roman"/>
          <w:b/>
          <w:color w:val="auto"/>
          <w:sz w:val="24"/>
          <w:szCs w:val="24"/>
        </w:rPr>
        <w:t>OBECNY I DOCELOWY PROFIL RYZYKA BANKU</w:t>
      </w:r>
      <w:bookmarkEnd w:id="3"/>
      <w:r w:rsidRPr="00402443">
        <w:rPr>
          <w:rFonts w:ascii="Times New Roman" w:hAnsi="Times New Roman" w:cs="Times New Roman"/>
          <w:b/>
          <w:color w:val="auto"/>
          <w:sz w:val="24"/>
          <w:szCs w:val="24"/>
        </w:rPr>
        <w:t xml:space="preserve"> </w:t>
      </w:r>
    </w:p>
    <w:p w14:paraId="2DC344FE" w14:textId="77777777" w:rsidR="00174CA0" w:rsidRPr="000E3272" w:rsidRDefault="00174CA0" w:rsidP="00174CA0">
      <w:pPr>
        <w:pStyle w:val="Akapitzlist"/>
        <w:spacing w:after="0" w:line="264" w:lineRule="auto"/>
        <w:rPr>
          <w:rFonts w:ascii="Times New Roman" w:hAnsi="Times New Roman" w:cs="Times New Roman"/>
          <w:b/>
          <w:color w:val="FF0000"/>
          <w:sz w:val="24"/>
          <w:szCs w:val="24"/>
        </w:rPr>
      </w:pPr>
    </w:p>
    <w:p w14:paraId="373A93FF" w14:textId="77777777" w:rsidR="00517DFB" w:rsidRPr="00A564D2" w:rsidRDefault="00174CA0" w:rsidP="00174CA0">
      <w:pPr>
        <w:pStyle w:val="Tekstpodstawowy"/>
        <w:tabs>
          <w:tab w:val="left" w:pos="851"/>
        </w:tabs>
        <w:spacing w:after="0" w:line="264" w:lineRule="auto"/>
        <w:jc w:val="both"/>
        <w:rPr>
          <w:rFonts w:ascii="Times New Roman" w:hAnsi="Times New Roman" w:cs="Times New Roman"/>
          <w:sz w:val="24"/>
          <w:szCs w:val="24"/>
        </w:rPr>
      </w:pPr>
      <w:r w:rsidRPr="000E3272">
        <w:rPr>
          <w:rFonts w:ascii="Times New Roman" w:hAnsi="Times New Roman" w:cs="Times New Roman"/>
          <w:color w:val="FF0000"/>
          <w:sz w:val="24"/>
          <w:szCs w:val="24"/>
        </w:rPr>
        <w:tab/>
      </w:r>
      <w:r w:rsidR="00426951" w:rsidRPr="00A564D2">
        <w:rPr>
          <w:rFonts w:ascii="Times New Roman" w:hAnsi="Times New Roman" w:cs="Times New Roman"/>
          <w:sz w:val="24"/>
          <w:szCs w:val="24"/>
        </w:rPr>
        <w:t xml:space="preserve">Bank dokonuje kwantyfikacji bieżącego i przewidywanego profilu ryzyka </w:t>
      </w:r>
      <w:r w:rsidR="00430D06" w:rsidRPr="00A564D2">
        <w:rPr>
          <w:rFonts w:ascii="Times New Roman" w:hAnsi="Times New Roman" w:cs="Times New Roman"/>
          <w:sz w:val="24"/>
          <w:szCs w:val="24"/>
        </w:rPr>
        <w:t xml:space="preserve">                           </w:t>
      </w:r>
      <w:r w:rsidR="00426951" w:rsidRPr="00A564D2">
        <w:rPr>
          <w:rFonts w:ascii="Times New Roman" w:hAnsi="Times New Roman" w:cs="Times New Roman"/>
          <w:sz w:val="24"/>
          <w:szCs w:val="24"/>
        </w:rPr>
        <w:t>na podstawie zapisów zawartych w</w:t>
      </w:r>
      <w:r w:rsidR="00517DFB" w:rsidRPr="00A564D2">
        <w:rPr>
          <w:rFonts w:ascii="Times New Roman" w:hAnsi="Times New Roman" w:cs="Times New Roman"/>
          <w:sz w:val="24"/>
          <w:szCs w:val="24"/>
        </w:rPr>
        <w:t xml:space="preserve"> Strategii zarządzania ryzykiem, Strategii </w:t>
      </w:r>
      <w:r w:rsidR="00924C32" w:rsidRPr="00A564D2">
        <w:rPr>
          <w:rFonts w:ascii="Times New Roman" w:hAnsi="Times New Roman" w:cs="Times New Roman"/>
          <w:sz w:val="24"/>
          <w:szCs w:val="24"/>
        </w:rPr>
        <w:t>zarządzania</w:t>
      </w:r>
      <w:r w:rsidR="00517DFB" w:rsidRPr="00A564D2">
        <w:rPr>
          <w:rFonts w:ascii="Times New Roman" w:hAnsi="Times New Roman" w:cs="Times New Roman"/>
          <w:sz w:val="24"/>
          <w:szCs w:val="24"/>
        </w:rPr>
        <w:t xml:space="preserve"> </w:t>
      </w:r>
      <w:r w:rsidR="00924C32" w:rsidRPr="00A564D2">
        <w:rPr>
          <w:rFonts w:ascii="Times New Roman" w:hAnsi="Times New Roman" w:cs="Times New Roman"/>
          <w:sz w:val="24"/>
          <w:szCs w:val="24"/>
        </w:rPr>
        <w:t>Bankiem</w:t>
      </w:r>
      <w:r w:rsidR="00517DFB" w:rsidRPr="00A564D2">
        <w:rPr>
          <w:rFonts w:ascii="Times New Roman" w:hAnsi="Times New Roman" w:cs="Times New Roman"/>
          <w:sz w:val="24"/>
          <w:szCs w:val="24"/>
        </w:rPr>
        <w:t xml:space="preserve"> na lata </w:t>
      </w:r>
      <w:r w:rsidR="00924C32" w:rsidRPr="00A564D2">
        <w:rPr>
          <w:rFonts w:ascii="Times New Roman" w:hAnsi="Times New Roman" w:cs="Times New Roman"/>
          <w:sz w:val="24"/>
          <w:szCs w:val="24"/>
        </w:rPr>
        <w:t>2019</w:t>
      </w:r>
      <w:r w:rsidR="00517DFB" w:rsidRPr="00A564D2">
        <w:rPr>
          <w:rFonts w:ascii="Times New Roman" w:hAnsi="Times New Roman" w:cs="Times New Roman"/>
          <w:sz w:val="24"/>
          <w:szCs w:val="24"/>
        </w:rPr>
        <w:t>-20</w:t>
      </w:r>
      <w:r w:rsidR="00924C32" w:rsidRPr="00A564D2">
        <w:rPr>
          <w:rFonts w:ascii="Times New Roman" w:hAnsi="Times New Roman" w:cs="Times New Roman"/>
          <w:sz w:val="24"/>
          <w:szCs w:val="24"/>
        </w:rPr>
        <w:t>23</w:t>
      </w:r>
      <w:r w:rsidR="00517DFB" w:rsidRPr="00A564D2">
        <w:rPr>
          <w:rFonts w:ascii="Times New Roman" w:hAnsi="Times New Roman" w:cs="Times New Roman"/>
          <w:sz w:val="24"/>
          <w:szCs w:val="24"/>
        </w:rPr>
        <w:t xml:space="preserve"> oraz </w:t>
      </w:r>
      <w:r w:rsidR="00426951" w:rsidRPr="00A564D2">
        <w:rPr>
          <w:rFonts w:ascii="Times New Roman" w:hAnsi="Times New Roman" w:cs="Times New Roman"/>
          <w:sz w:val="24"/>
          <w:szCs w:val="24"/>
        </w:rPr>
        <w:t>Strategii</w:t>
      </w:r>
      <w:r w:rsidR="007B6480" w:rsidRPr="00A564D2">
        <w:rPr>
          <w:rFonts w:ascii="Times New Roman" w:hAnsi="Times New Roman" w:cs="Times New Roman"/>
          <w:sz w:val="24"/>
          <w:szCs w:val="24"/>
        </w:rPr>
        <w:t>/Polityk</w:t>
      </w:r>
      <w:r w:rsidR="00426951" w:rsidRPr="00A564D2">
        <w:rPr>
          <w:rFonts w:ascii="Times New Roman" w:hAnsi="Times New Roman" w:cs="Times New Roman"/>
          <w:sz w:val="24"/>
          <w:szCs w:val="24"/>
        </w:rPr>
        <w:t xml:space="preserve"> zarządzania poszczególnymi ryzykami</w:t>
      </w:r>
      <w:r w:rsidR="00517DFB" w:rsidRPr="00A564D2">
        <w:rPr>
          <w:rFonts w:ascii="Times New Roman" w:hAnsi="Times New Roman" w:cs="Times New Roman"/>
          <w:sz w:val="24"/>
          <w:szCs w:val="24"/>
        </w:rPr>
        <w:t xml:space="preserve">. Kwantyfikacja profilu ryzyka dokonywana jest dla wszystkich ryzyk uznanych przez Bank za istotne i podlegających zarządzaniu. </w:t>
      </w:r>
    </w:p>
    <w:p w14:paraId="5D4C81AA" w14:textId="77777777" w:rsidR="00426951" w:rsidRPr="00A564D2" w:rsidRDefault="00174CA0" w:rsidP="00174CA0">
      <w:pPr>
        <w:pStyle w:val="Tekstpodstawowy"/>
        <w:tabs>
          <w:tab w:val="left" w:pos="851"/>
        </w:tabs>
        <w:spacing w:after="0" w:line="264" w:lineRule="auto"/>
        <w:jc w:val="both"/>
        <w:rPr>
          <w:rFonts w:ascii="Times New Roman" w:hAnsi="Times New Roman" w:cs="Times New Roman"/>
          <w:sz w:val="24"/>
          <w:szCs w:val="24"/>
        </w:rPr>
      </w:pPr>
      <w:r w:rsidRPr="00A564D2">
        <w:rPr>
          <w:rFonts w:ascii="Times New Roman" w:hAnsi="Times New Roman" w:cs="Times New Roman"/>
          <w:sz w:val="24"/>
          <w:szCs w:val="24"/>
        </w:rPr>
        <w:tab/>
      </w:r>
      <w:r w:rsidR="00517DFB" w:rsidRPr="00A564D2">
        <w:rPr>
          <w:rFonts w:ascii="Times New Roman" w:hAnsi="Times New Roman" w:cs="Times New Roman"/>
          <w:sz w:val="24"/>
          <w:szCs w:val="24"/>
        </w:rPr>
        <w:t>Przy określaniu istności danego ryzyka uwzględniany jest jego wpływ na działalność Banku. Zgodnie z zapisami Strategii zarządzania ryzykiem, ryzyko istotne – to ryzyko kredytowe, rynkowe, operacyjne, koncentracj</w:t>
      </w:r>
      <w:r w:rsidR="004A4DCC" w:rsidRPr="00A564D2">
        <w:rPr>
          <w:rFonts w:ascii="Times New Roman" w:hAnsi="Times New Roman" w:cs="Times New Roman"/>
          <w:sz w:val="24"/>
          <w:szCs w:val="24"/>
        </w:rPr>
        <w:t>i, płynności, stopy procentowej</w:t>
      </w:r>
      <w:r w:rsidR="00517DFB" w:rsidRPr="00A564D2">
        <w:rPr>
          <w:rFonts w:ascii="Times New Roman" w:hAnsi="Times New Roman" w:cs="Times New Roman"/>
          <w:sz w:val="24"/>
          <w:szCs w:val="24"/>
        </w:rPr>
        <w:t xml:space="preserve"> oraz inne ryzyka, które spełniły przyjęte w Instrukcji funkcjonowania procesu oceny adekwatności poziomu kapitału wewnętrznego (ICAAP) kryterium istotności. </w:t>
      </w:r>
    </w:p>
    <w:p w14:paraId="5B174367" w14:textId="77777777" w:rsidR="00174CA0" w:rsidRPr="00A564D2" w:rsidRDefault="00174CA0" w:rsidP="00174CA0">
      <w:pPr>
        <w:pStyle w:val="Tekstpodstawowy"/>
        <w:tabs>
          <w:tab w:val="left" w:pos="851"/>
        </w:tabs>
        <w:spacing w:after="0" w:line="264" w:lineRule="auto"/>
        <w:jc w:val="both"/>
        <w:rPr>
          <w:rFonts w:ascii="Times New Roman" w:hAnsi="Times New Roman" w:cs="Times New Roman"/>
        </w:rPr>
      </w:pPr>
    </w:p>
    <w:p w14:paraId="2681AECC" w14:textId="77777777" w:rsidR="00C84804" w:rsidRPr="00A564D2" w:rsidRDefault="00C84804" w:rsidP="00174CA0">
      <w:pPr>
        <w:pStyle w:val="Tekstpodstawowy"/>
        <w:tabs>
          <w:tab w:val="left" w:pos="851"/>
        </w:tabs>
        <w:spacing w:after="0" w:line="264" w:lineRule="auto"/>
        <w:jc w:val="both"/>
        <w:rPr>
          <w:rFonts w:ascii="Times New Roman" w:hAnsi="Times New Roman" w:cs="Times New Roman"/>
          <w:i/>
        </w:rPr>
      </w:pPr>
      <w:r w:rsidRPr="00A564D2">
        <w:rPr>
          <w:rFonts w:ascii="Times New Roman" w:hAnsi="Times New Roman" w:cs="Times New Roman"/>
          <w:i/>
        </w:rPr>
        <w:t>Tabela – bieżący i docelowy profil ryzyka Banku</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529"/>
        <w:gridCol w:w="3402"/>
      </w:tblGrid>
      <w:tr w:rsidR="00A564D2" w:rsidRPr="00A564D2" w14:paraId="0A23B43B" w14:textId="77777777" w:rsidTr="00F96B3F">
        <w:trPr>
          <w:trHeight w:val="433"/>
        </w:trPr>
        <w:tc>
          <w:tcPr>
            <w:tcW w:w="5529" w:type="dxa"/>
            <w:shd w:val="clear" w:color="auto" w:fill="auto"/>
            <w:vAlign w:val="center"/>
          </w:tcPr>
          <w:p w14:paraId="581B7C8F" w14:textId="77777777" w:rsidR="00C84804" w:rsidRPr="00A564D2" w:rsidRDefault="00C84804" w:rsidP="00174CA0">
            <w:pPr>
              <w:spacing w:after="0" w:line="264" w:lineRule="auto"/>
              <w:jc w:val="center"/>
              <w:rPr>
                <w:rFonts w:ascii="Times New Roman" w:hAnsi="Times New Roman" w:cs="Times New Roman"/>
                <w:sz w:val="18"/>
                <w:szCs w:val="20"/>
              </w:rPr>
            </w:pPr>
            <w:r w:rsidRPr="00A564D2">
              <w:rPr>
                <w:rFonts w:ascii="Times New Roman" w:hAnsi="Times New Roman" w:cs="Times New Roman"/>
                <w:b/>
                <w:sz w:val="18"/>
                <w:szCs w:val="20"/>
              </w:rPr>
              <w:t>RODZAJ/PODRODZAJ RYZYKA</w:t>
            </w:r>
          </w:p>
        </w:tc>
        <w:tc>
          <w:tcPr>
            <w:tcW w:w="3402" w:type="dxa"/>
            <w:shd w:val="clear" w:color="auto" w:fill="auto"/>
            <w:vAlign w:val="center"/>
          </w:tcPr>
          <w:p w14:paraId="3186597C" w14:textId="77777777" w:rsidR="00C84804" w:rsidRPr="00A564D2" w:rsidRDefault="00C84804" w:rsidP="00FF3184">
            <w:pPr>
              <w:spacing w:after="0" w:line="264" w:lineRule="auto"/>
              <w:jc w:val="center"/>
              <w:rPr>
                <w:rFonts w:ascii="Times New Roman" w:hAnsi="Times New Roman" w:cs="Times New Roman"/>
                <w:b/>
                <w:sz w:val="18"/>
                <w:szCs w:val="18"/>
              </w:rPr>
            </w:pPr>
            <w:r w:rsidRPr="00A564D2">
              <w:rPr>
                <w:rFonts w:ascii="Times New Roman" w:hAnsi="Times New Roman" w:cs="Times New Roman"/>
                <w:b/>
                <w:sz w:val="18"/>
                <w:szCs w:val="18"/>
              </w:rPr>
              <w:t>OKR</w:t>
            </w:r>
            <w:r w:rsidR="00D35521" w:rsidRPr="00A564D2">
              <w:rPr>
                <w:rFonts w:ascii="Times New Roman" w:hAnsi="Times New Roman" w:cs="Times New Roman"/>
                <w:b/>
                <w:sz w:val="18"/>
                <w:szCs w:val="18"/>
              </w:rPr>
              <w:t>EŚLENIE ISTOTNOŚCI NA 31.12.</w:t>
            </w:r>
            <w:r w:rsidR="00924C32" w:rsidRPr="00A564D2">
              <w:rPr>
                <w:rFonts w:ascii="Times New Roman" w:hAnsi="Times New Roman" w:cs="Times New Roman"/>
                <w:b/>
                <w:sz w:val="18"/>
                <w:szCs w:val="18"/>
              </w:rPr>
              <w:t>20</w:t>
            </w:r>
            <w:r w:rsidR="00FF3184" w:rsidRPr="00A564D2">
              <w:rPr>
                <w:rFonts w:ascii="Times New Roman" w:hAnsi="Times New Roman" w:cs="Times New Roman"/>
                <w:b/>
                <w:sz w:val="18"/>
                <w:szCs w:val="18"/>
              </w:rPr>
              <w:t>20</w:t>
            </w:r>
            <w:r w:rsidR="00F96B3F" w:rsidRPr="00A564D2">
              <w:rPr>
                <w:rFonts w:ascii="Times New Roman" w:hAnsi="Times New Roman" w:cs="Times New Roman"/>
                <w:b/>
                <w:sz w:val="18"/>
                <w:szCs w:val="18"/>
              </w:rPr>
              <w:t xml:space="preserve"> </w:t>
            </w:r>
            <w:r w:rsidRPr="00A564D2">
              <w:rPr>
                <w:rFonts w:ascii="Times New Roman" w:hAnsi="Times New Roman" w:cs="Times New Roman"/>
                <w:b/>
                <w:sz w:val="18"/>
                <w:szCs w:val="18"/>
              </w:rPr>
              <w:t>r.</w:t>
            </w:r>
          </w:p>
        </w:tc>
      </w:tr>
      <w:tr w:rsidR="00A564D2" w:rsidRPr="00A564D2" w14:paraId="60B4ECA7" w14:textId="77777777" w:rsidTr="00F96B3F">
        <w:trPr>
          <w:trHeight w:val="315"/>
        </w:trPr>
        <w:tc>
          <w:tcPr>
            <w:tcW w:w="5529" w:type="dxa"/>
            <w:shd w:val="clear" w:color="auto" w:fill="auto"/>
          </w:tcPr>
          <w:p w14:paraId="16C5E82B" w14:textId="77777777" w:rsidR="00C84804" w:rsidRPr="00A564D2" w:rsidRDefault="00C84804" w:rsidP="00174CA0">
            <w:pPr>
              <w:spacing w:after="0" w:line="264" w:lineRule="auto"/>
              <w:rPr>
                <w:rFonts w:ascii="Times New Roman" w:hAnsi="Times New Roman" w:cs="Times New Roman"/>
                <w:sz w:val="20"/>
              </w:rPr>
            </w:pPr>
            <w:r w:rsidRPr="00A564D2">
              <w:rPr>
                <w:rFonts w:ascii="Times New Roman" w:hAnsi="Times New Roman" w:cs="Times New Roman"/>
                <w:sz w:val="20"/>
              </w:rPr>
              <w:t>Kredytowe, w tym koncentracji zaangażowań</w:t>
            </w:r>
          </w:p>
        </w:tc>
        <w:tc>
          <w:tcPr>
            <w:tcW w:w="3402" w:type="dxa"/>
            <w:shd w:val="clear" w:color="auto" w:fill="auto"/>
          </w:tcPr>
          <w:p w14:paraId="41687DF5" w14:textId="77777777" w:rsidR="00C84804" w:rsidRPr="00A564D2" w:rsidRDefault="00D35521"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I</w:t>
            </w:r>
            <w:r w:rsidR="00C84804" w:rsidRPr="00A564D2">
              <w:rPr>
                <w:rFonts w:ascii="Times New Roman" w:hAnsi="Times New Roman" w:cs="Times New Roman"/>
                <w:sz w:val="18"/>
                <w:szCs w:val="18"/>
              </w:rPr>
              <w:t>stotne</w:t>
            </w:r>
          </w:p>
        </w:tc>
      </w:tr>
      <w:tr w:rsidR="00A564D2" w:rsidRPr="00A564D2" w14:paraId="6577B921" w14:textId="77777777" w:rsidTr="00F96B3F">
        <w:trPr>
          <w:trHeight w:val="315"/>
        </w:trPr>
        <w:tc>
          <w:tcPr>
            <w:tcW w:w="5529" w:type="dxa"/>
            <w:shd w:val="clear" w:color="auto" w:fill="FFFFFF"/>
          </w:tcPr>
          <w:p w14:paraId="17E7BBE8" w14:textId="77777777" w:rsidR="00C84804" w:rsidRPr="00A564D2" w:rsidRDefault="00C84804" w:rsidP="00174CA0">
            <w:pPr>
              <w:spacing w:after="0" w:line="264" w:lineRule="auto"/>
              <w:rPr>
                <w:rFonts w:ascii="Times New Roman" w:hAnsi="Times New Roman" w:cs="Times New Roman"/>
                <w:sz w:val="20"/>
              </w:rPr>
            </w:pPr>
            <w:r w:rsidRPr="00A564D2">
              <w:rPr>
                <w:rFonts w:ascii="Times New Roman" w:hAnsi="Times New Roman" w:cs="Times New Roman"/>
                <w:sz w:val="20"/>
              </w:rPr>
              <w:t>Rynkowe (walutowe)</w:t>
            </w:r>
          </w:p>
        </w:tc>
        <w:tc>
          <w:tcPr>
            <w:tcW w:w="3402" w:type="dxa"/>
            <w:shd w:val="clear" w:color="auto" w:fill="FFFFFF"/>
          </w:tcPr>
          <w:p w14:paraId="302062B6" w14:textId="77777777" w:rsidR="00C84804" w:rsidRPr="00A564D2" w:rsidRDefault="00D35521"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I</w:t>
            </w:r>
            <w:r w:rsidR="00C84804" w:rsidRPr="00A564D2">
              <w:rPr>
                <w:rFonts w:ascii="Times New Roman" w:hAnsi="Times New Roman" w:cs="Times New Roman"/>
                <w:sz w:val="18"/>
                <w:szCs w:val="18"/>
              </w:rPr>
              <w:t>stotne</w:t>
            </w:r>
          </w:p>
        </w:tc>
      </w:tr>
      <w:tr w:rsidR="00A564D2" w:rsidRPr="00A564D2" w14:paraId="7772D327" w14:textId="77777777" w:rsidTr="00F96B3F">
        <w:trPr>
          <w:trHeight w:val="315"/>
        </w:trPr>
        <w:tc>
          <w:tcPr>
            <w:tcW w:w="5529" w:type="dxa"/>
            <w:shd w:val="clear" w:color="auto" w:fill="FFFFFF"/>
          </w:tcPr>
          <w:p w14:paraId="3D061F19" w14:textId="77777777" w:rsidR="00C84804" w:rsidRPr="00A564D2" w:rsidRDefault="00C84804" w:rsidP="00174CA0">
            <w:pPr>
              <w:spacing w:after="0" w:line="264" w:lineRule="auto"/>
              <w:rPr>
                <w:rFonts w:ascii="Times New Roman" w:hAnsi="Times New Roman" w:cs="Times New Roman"/>
                <w:sz w:val="20"/>
              </w:rPr>
            </w:pPr>
            <w:r w:rsidRPr="00A564D2">
              <w:rPr>
                <w:rFonts w:ascii="Times New Roman" w:hAnsi="Times New Roman" w:cs="Times New Roman"/>
                <w:sz w:val="20"/>
              </w:rPr>
              <w:t>Operacyjne</w:t>
            </w:r>
          </w:p>
        </w:tc>
        <w:tc>
          <w:tcPr>
            <w:tcW w:w="3402" w:type="dxa"/>
            <w:shd w:val="clear" w:color="auto" w:fill="FFFFFF"/>
          </w:tcPr>
          <w:p w14:paraId="2EE3E271" w14:textId="77777777" w:rsidR="00C84804" w:rsidRPr="00A564D2" w:rsidRDefault="00D35521"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I</w:t>
            </w:r>
            <w:r w:rsidR="00C84804" w:rsidRPr="00A564D2">
              <w:rPr>
                <w:rFonts w:ascii="Times New Roman" w:hAnsi="Times New Roman" w:cs="Times New Roman"/>
                <w:sz w:val="18"/>
                <w:szCs w:val="18"/>
              </w:rPr>
              <w:t>stotne</w:t>
            </w:r>
          </w:p>
        </w:tc>
      </w:tr>
      <w:tr w:rsidR="000E3272" w:rsidRPr="000E3272" w14:paraId="69FFFF78" w14:textId="77777777" w:rsidTr="00F96B3F">
        <w:trPr>
          <w:trHeight w:val="315"/>
        </w:trPr>
        <w:tc>
          <w:tcPr>
            <w:tcW w:w="5529" w:type="dxa"/>
            <w:shd w:val="clear" w:color="auto" w:fill="FFFFFF"/>
          </w:tcPr>
          <w:p w14:paraId="0B1B71A9" w14:textId="77777777" w:rsidR="00C84804" w:rsidRPr="00A564D2" w:rsidRDefault="00C84804" w:rsidP="00174CA0">
            <w:pPr>
              <w:spacing w:after="0" w:line="264" w:lineRule="auto"/>
              <w:rPr>
                <w:rFonts w:ascii="Times New Roman" w:hAnsi="Times New Roman" w:cs="Times New Roman"/>
                <w:sz w:val="20"/>
              </w:rPr>
            </w:pPr>
            <w:r w:rsidRPr="00A564D2">
              <w:rPr>
                <w:rFonts w:ascii="Times New Roman" w:hAnsi="Times New Roman" w:cs="Times New Roman"/>
                <w:sz w:val="20"/>
              </w:rPr>
              <w:lastRenderedPageBreak/>
              <w:t>Stopy procentowej w księdze bankowej</w:t>
            </w:r>
          </w:p>
        </w:tc>
        <w:tc>
          <w:tcPr>
            <w:tcW w:w="3402" w:type="dxa"/>
            <w:shd w:val="clear" w:color="auto" w:fill="FFFFFF"/>
          </w:tcPr>
          <w:p w14:paraId="36E428DA" w14:textId="77777777" w:rsidR="00C84804" w:rsidRPr="00A564D2" w:rsidRDefault="00D35521"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I</w:t>
            </w:r>
            <w:r w:rsidR="00C84804" w:rsidRPr="00A564D2">
              <w:rPr>
                <w:rFonts w:ascii="Times New Roman" w:hAnsi="Times New Roman" w:cs="Times New Roman"/>
                <w:sz w:val="18"/>
                <w:szCs w:val="18"/>
              </w:rPr>
              <w:t>stotne</w:t>
            </w:r>
          </w:p>
        </w:tc>
      </w:tr>
      <w:tr w:rsidR="000E3272" w:rsidRPr="000E3272" w14:paraId="47D2D013" w14:textId="77777777" w:rsidTr="00F96B3F">
        <w:trPr>
          <w:trHeight w:val="255"/>
        </w:trPr>
        <w:tc>
          <w:tcPr>
            <w:tcW w:w="5529" w:type="dxa"/>
            <w:shd w:val="clear" w:color="auto" w:fill="FFFFFF"/>
          </w:tcPr>
          <w:p w14:paraId="1CF89B5A" w14:textId="77777777" w:rsidR="00C84804" w:rsidRPr="00A564D2" w:rsidRDefault="00C84804" w:rsidP="00174CA0">
            <w:pPr>
              <w:spacing w:after="0" w:line="264" w:lineRule="auto"/>
              <w:rPr>
                <w:rFonts w:ascii="Times New Roman" w:hAnsi="Times New Roman" w:cs="Times New Roman"/>
                <w:sz w:val="20"/>
              </w:rPr>
            </w:pPr>
            <w:r w:rsidRPr="00A564D2">
              <w:rPr>
                <w:rFonts w:ascii="Times New Roman" w:hAnsi="Times New Roman" w:cs="Times New Roman"/>
                <w:position w:val="-8"/>
                <w:sz w:val="20"/>
              </w:rPr>
              <w:t>Płynności</w:t>
            </w:r>
          </w:p>
        </w:tc>
        <w:tc>
          <w:tcPr>
            <w:tcW w:w="3402" w:type="dxa"/>
            <w:shd w:val="clear" w:color="auto" w:fill="FFFFFF"/>
          </w:tcPr>
          <w:p w14:paraId="086C8FBC" w14:textId="77777777" w:rsidR="00C84804" w:rsidRPr="00A564D2" w:rsidRDefault="00D35521"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I</w:t>
            </w:r>
            <w:r w:rsidR="00C84804" w:rsidRPr="00A564D2">
              <w:rPr>
                <w:rFonts w:ascii="Times New Roman" w:hAnsi="Times New Roman" w:cs="Times New Roman"/>
                <w:sz w:val="18"/>
                <w:szCs w:val="18"/>
              </w:rPr>
              <w:t>stotne</w:t>
            </w:r>
          </w:p>
        </w:tc>
      </w:tr>
      <w:tr w:rsidR="000E3272" w:rsidRPr="000E3272" w14:paraId="7C6CC23D" w14:textId="77777777" w:rsidTr="00F96B3F">
        <w:trPr>
          <w:trHeight w:val="315"/>
        </w:trPr>
        <w:tc>
          <w:tcPr>
            <w:tcW w:w="5529" w:type="dxa"/>
            <w:shd w:val="clear" w:color="auto" w:fill="auto"/>
          </w:tcPr>
          <w:p w14:paraId="7D854C41"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Wyniku finansowego</w:t>
            </w:r>
          </w:p>
        </w:tc>
        <w:tc>
          <w:tcPr>
            <w:tcW w:w="3402" w:type="dxa"/>
            <w:shd w:val="clear" w:color="auto" w:fill="auto"/>
          </w:tcPr>
          <w:p w14:paraId="7DCB5444"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6633120F" w14:textId="77777777" w:rsidTr="00F96B3F">
        <w:trPr>
          <w:trHeight w:val="335"/>
        </w:trPr>
        <w:tc>
          <w:tcPr>
            <w:tcW w:w="5529" w:type="dxa"/>
            <w:shd w:val="clear" w:color="auto" w:fill="FFFFFF"/>
          </w:tcPr>
          <w:p w14:paraId="7364A301"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Kapitałowe:</w:t>
            </w:r>
          </w:p>
        </w:tc>
        <w:tc>
          <w:tcPr>
            <w:tcW w:w="3402" w:type="dxa"/>
            <w:shd w:val="clear" w:color="auto" w:fill="FFFFFF"/>
          </w:tcPr>
          <w:p w14:paraId="76CE5F83"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56FCA2C3" w14:textId="77777777" w:rsidTr="00F96B3F">
        <w:trPr>
          <w:trHeight w:val="302"/>
        </w:trPr>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5048B1D3"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 xml:space="preserve">     1.  kapitałowe dot. współczynników kapitałowych</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FDAC678"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2C502C5D" w14:textId="77777777" w:rsidTr="00F96B3F">
        <w:trPr>
          <w:trHeight w:val="315"/>
        </w:trPr>
        <w:tc>
          <w:tcPr>
            <w:tcW w:w="5529" w:type="dxa"/>
            <w:shd w:val="clear" w:color="auto" w:fill="FFFFFF"/>
          </w:tcPr>
          <w:p w14:paraId="34FD0362" w14:textId="77777777" w:rsidR="00C84804" w:rsidRPr="00A564D2" w:rsidRDefault="00C84804" w:rsidP="00174CA0">
            <w:pPr>
              <w:snapToGrid w:val="0"/>
              <w:spacing w:after="0" w:line="264" w:lineRule="auto"/>
              <w:rPr>
                <w:rFonts w:ascii="Times New Roman" w:hAnsi="Times New Roman" w:cs="Times New Roman"/>
                <w:position w:val="-7"/>
                <w:sz w:val="20"/>
              </w:rPr>
            </w:pPr>
            <w:r w:rsidRPr="00A564D2">
              <w:rPr>
                <w:rFonts w:ascii="Times New Roman" w:hAnsi="Times New Roman" w:cs="Times New Roman"/>
                <w:position w:val="-7"/>
                <w:sz w:val="20"/>
              </w:rPr>
              <w:t xml:space="preserve">     2.  Koncentracji Funduszu  udziałowego</w:t>
            </w:r>
          </w:p>
        </w:tc>
        <w:tc>
          <w:tcPr>
            <w:tcW w:w="3402" w:type="dxa"/>
            <w:shd w:val="clear" w:color="auto" w:fill="FFFFFF"/>
          </w:tcPr>
          <w:p w14:paraId="697799B2"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66A00ABD" w14:textId="77777777" w:rsidTr="00F96B3F">
        <w:trPr>
          <w:trHeight w:val="315"/>
        </w:trPr>
        <w:tc>
          <w:tcPr>
            <w:tcW w:w="5529" w:type="dxa"/>
            <w:shd w:val="clear" w:color="auto" w:fill="auto"/>
          </w:tcPr>
          <w:p w14:paraId="1AC2B870" w14:textId="77777777" w:rsidR="00C84804" w:rsidRPr="00A564D2" w:rsidRDefault="00C84804" w:rsidP="00174CA0">
            <w:pPr>
              <w:snapToGrid w:val="0"/>
              <w:spacing w:after="0" w:line="264" w:lineRule="auto"/>
              <w:rPr>
                <w:rFonts w:ascii="Times New Roman" w:hAnsi="Times New Roman" w:cs="Times New Roman"/>
                <w:position w:val="-7"/>
                <w:sz w:val="20"/>
              </w:rPr>
            </w:pPr>
            <w:r w:rsidRPr="00A564D2">
              <w:rPr>
                <w:rFonts w:ascii="Times New Roman" w:hAnsi="Times New Roman" w:cs="Times New Roman"/>
                <w:position w:val="-7"/>
                <w:sz w:val="20"/>
              </w:rPr>
              <w:t xml:space="preserve">     3.  Koncentracji   „dużych”  udziałów</w:t>
            </w:r>
          </w:p>
        </w:tc>
        <w:tc>
          <w:tcPr>
            <w:tcW w:w="3402" w:type="dxa"/>
            <w:shd w:val="clear" w:color="auto" w:fill="auto"/>
          </w:tcPr>
          <w:p w14:paraId="3B2A738F"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59406A98" w14:textId="77777777" w:rsidTr="00F96B3F">
        <w:trPr>
          <w:trHeight w:val="335"/>
        </w:trPr>
        <w:tc>
          <w:tcPr>
            <w:tcW w:w="5529" w:type="dxa"/>
            <w:shd w:val="clear" w:color="auto" w:fill="auto"/>
          </w:tcPr>
          <w:p w14:paraId="24C8F40A"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Cyklu gospodarczego</w:t>
            </w:r>
          </w:p>
        </w:tc>
        <w:tc>
          <w:tcPr>
            <w:tcW w:w="3402" w:type="dxa"/>
            <w:shd w:val="clear" w:color="auto" w:fill="auto"/>
          </w:tcPr>
          <w:p w14:paraId="4C46F561"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6E0A11A1" w14:textId="77777777" w:rsidTr="00F96B3F">
        <w:trPr>
          <w:trHeight w:val="335"/>
        </w:trPr>
        <w:tc>
          <w:tcPr>
            <w:tcW w:w="5529" w:type="dxa"/>
            <w:shd w:val="clear" w:color="auto" w:fill="auto"/>
          </w:tcPr>
          <w:p w14:paraId="174639B0"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Strategiczne</w:t>
            </w:r>
          </w:p>
        </w:tc>
        <w:tc>
          <w:tcPr>
            <w:tcW w:w="3402" w:type="dxa"/>
            <w:shd w:val="clear" w:color="auto" w:fill="auto"/>
          </w:tcPr>
          <w:p w14:paraId="7C1FE110" w14:textId="77777777" w:rsidR="00C84804" w:rsidRPr="00A564D2" w:rsidRDefault="00924C32"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w:t>
            </w:r>
            <w:r w:rsidR="00C84804" w:rsidRPr="00A564D2">
              <w:rPr>
                <w:rFonts w:ascii="Times New Roman" w:hAnsi="Times New Roman" w:cs="Times New Roman"/>
                <w:sz w:val="18"/>
                <w:szCs w:val="18"/>
              </w:rPr>
              <w:t>istotne</w:t>
            </w:r>
          </w:p>
        </w:tc>
      </w:tr>
      <w:tr w:rsidR="000E3272" w:rsidRPr="000E3272" w14:paraId="6527A565" w14:textId="77777777" w:rsidTr="00F96B3F">
        <w:trPr>
          <w:trHeight w:val="335"/>
        </w:trPr>
        <w:tc>
          <w:tcPr>
            <w:tcW w:w="5529" w:type="dxa"/>
            <w:shd w:val="clear" w:color="auto" w:fill="FFFFFF"/>
          </w:tcPr>
          <w:p w14:paraId="13534035"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Utraty reputacji</w:t>
            </w:r>
          </w:p>
        </w:tc>
        <w:tc>
          <w:tcPr>
            <w:tcW w:w="3402" w:type="dxa"/>
            <w:shd w:val="clear" w:color="auto" w:fill="FFFFFF"/>
          </w:tcPr>
          <w:p w14:paraId="7BD2E853" w14:textId="77777777" w:rsidR="00C84804" w:rsidRPr="00A564D2" w:rsidRDefault="00FC0C9D"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w:t>
            </w:r>
            <w:r w:rsidR="00C84804" w:rsidRPr="00A564D2">
              <w:rPr>
                <w:rFonts w:ascii="Times New Roman" w:hAnsi="Times New Roman" w:cs="Times New Roman"/>
                <w:sz w:val="18"/>
                <w:szCs w:val="18"/>
              </w:rPr>
              <w:t>ieistotne</w:t>
            </w:r>
          </w:p>
        </w:tc>
      </w:tr>
      <w:tr w:rsidR="000E3272" w:rsidRPr="000E3272" w14:paraId="291D7DDC" w14:textId="77777777" w:rsidTr="00F96B3F">
        <w:trPr>
          <w:trHeight w:val="335"/>
        </w:trPr>
        <w:tc>
          <w:tcPr>
            <w:tcW w:w="5529" w:type="dxa"/>
            <w:shd w:val="clear" w:color="auto" w:fill="FFFFFF"/>
          </w:tcPr>
          <w:p w14:paraId="3D010D9A"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Transferowe</w:t>
            </w:r>
          </w:p>
        </w:tc>
        <w:tc>
          <w:tcPr>
            <w:tcW w:w="3402" w:type="dxa"/>
            <w:shd w:val="clear" w:color="auto" w:fill="FFFFFF"/>
          </w:tcPr>
          <w:p w14:paraId="6C7394B9"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795601C1" w14:textId="77777777" w:rsidTr="00F96B3F">
        <w:trPr>
          <w:trHeight w:val="335"/>
        </w:trPr>
        <w:tc>
          <w:tcPr>
            <w:tcW w:w="5529" w:type="dxa"/>
            <w:shd w:val="clear" w:color="auto" w:fill="FFFFFF"/>
          </w:tcPr>
          <w:p w14:paraId="6B72361D"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Rezydualne</w:t>
            </w:r>
          </w:p>
        </w:tc>
        <w:tc>
          <w:tcPr>
            <w:tcW w:w="3402" w:type="dxa"/>
            <w:shd w:val="clear" w:color="auto" w:fill="auto"/>
          </w:tcPr>
          <w:p w14:paraId="1792E488"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240F1B27" w14:textId="77777777" w:rsidTr="00F96B3F">
        <w:trPr>
          <w:trHeight w:val="335"/>
        </w:trPr>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738E4CD6"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Prawne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26942C" w14:textId="77777777" w:rsidR="00C84804" w:rsidRPr="00A564D2" w:rsidRDefault="00C84804"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nieistotne</w:t>
            </w:r>
          </w:p>
        </w:tc>
      </w:tr>
      <w:tr w:rsidR="000E3272" w:rsidRPr="000E3272" w14:paraId="174F989D" w14:textId="77777777" w:rsidTr="00F96B3F">
        <w:trPr>
          <w:trHeight w:val="335"/>
        </w:trPr>
        <w:tc>
          <w:tcPr>
            <w:tcW w:w="5529" w:type="dxa"/>
            <w:shd w:val="clear" w:color="auto" w:fill="FFFFFF"/>
          </w:tcPr>
          <w:p w14:paraId="72915F5D"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Modeli</w:t>
            </w:r>
          </w:p>
        </w:tc>
        <w:tc>
          <w:tcPr>
            <w:tcW w:w="3402" w:type="dxa"/>
            <w:shd w:val="clear" w:color="auto" w:fill="auto"/>
          </w:tcPr>
          <w:p w14:paraId="4E045577" w14:textId="77777777" w:rsidR="00C84804" w:rsidRPr="00A564D2" w:rsidRDefault="004A4DCC"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 xml:space="preserve"> (Bank nie stosuje modeli)</w:t>
            </w:r>
          </w:p>
        </w:tc>
      </w:tr>
      <w:tr w:rsidR="000E3272" w:rsidRPr="000E3272" w14:paraId="021AD312" w14:textId="77777777" w:rsidTr="00F96B3F">
        <w:trPr>
          <w:trHeight w:val="335"/>
        </w:trPr>
        <w:tc>
          <w:tcPr>
            <w:tcW w:w="5529" w:type="dxa"/>
            <w:shd w:val="clear" w:color="auto" w:fill="FFFFFF"/>
          </w:tcPr>
          <w:p w14:paraId="639E8577"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Braku zgodności</w:t>
            </w:r>
          </w:p>
        </w:tc>
        <w:tc>
          <w:tcPr>
            <w:tcW w:w="3402" w:type="dxa"/>
            <w:shd w:val="clear" w:color="auto" w:fill="FFFFFF"/>
          </w:tcPr>
          <w:p w14:paraId="53731C8B" w14:textId="77777777" w:rsidR="00C84804" w:rsidRPr="00A564D2" w:rsidRDefault="00D35521"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I</w:t>
            </w:r>
            <w:r w:rsidR="00C84804" w:rsidRPr="00A564D2">
              <w:rPr>
                <w:rFonts w:ascii="Times New Roman" w:hAnsi="Times New Roman" w:cs="Times New Roman"/>
                <w:sz w:val="18"/>
                <w:szCs w:val="18"/>
              </w:rPr>
              <w:t>stotne</w:t>
            </w:r>
          </w:p>
        </w:tc>
      </w:tr>
      <w:tr w:rsidR="000E3272" w:rsidRPr="000E3272" w14:paraId="183E629E" w14:textId="77777777" w:rsidTr="00F96B3F">
        <w:trPr>
          <w:trHeight w:val="335"/>
        </w:trPr>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5A201375" w14:textId="77777777" w:rsidR="00C84804" w:rsidRPr="00A564D2" w:rsidRDefault="00C84804" w:rsidP="00174CA0">
            <w:pPr>
              <w:snapToGrid w:val="0"/>
              <w:spacing w:after="0" w:line="264" w:lineRule="auto"/>
              <w:rPr>
                <w:rFonts w:ascii="Times New Roman" w:hAnsi="Times New Roman" w:cs="Times New Roman"/>
                <w:position w:val="-8"/>
                <w:sz w:val="20"/>
              </w:rPr>
            </w:pPr>
            <w:r w:rsidRPr="00A564D2">
              <w:rPr>
                <w:rFonts w:ascii="Times New Roman" w:hAnsi="Times New Roman" w:cs="Times New Roman"/>
                <w:position w:val="-8"/>
                <w:sz w:val="20"/>
              </w:rPr>
              <w:t>Ryzyko nadmiernej dźwigni finansowej</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1B975902" w14:textId="77777777" w:rsidR="00C84804" w:rsidRPr="00A564D2" w:rsidRDefault="00D35521" w:rsidP="00174CA0">
            <w:pPr>
              <w:spacing w:after="0" w:line="264" w:lineRule="auto"/>
              <w:jc w:val="center"/>
              <w:rPr>
                <w:rFonts w:ascii="Times New Roman" w:hAnsi="Times New Roman" w:cs="Times New Roman"/>
                <w:sz w:val="18"/>
                <w:szCs w:val="18"/>
              </w:rPr>
            </w:pPr>
            <w:r w:rsidRPr="00A564D2">
              <w:rPr>
                <w:rFonts w:ascii="Times New Roman" w:hAnsi="Times New Roman" w:cs="Times New Roman"/>
                <w:sz w:val="18"/>
                <w:szCs w:val="18"/>
              </w:rPr>
              <w:t>N</w:t>
            </w:r>
            <w:r w:rsidR="00C84804" w:rsidRPr="00A564D2">
              <w:rPr>
                <w:rFonts w:ascii="Times New Roman" w:hAnsi="Times New Roman" w:cs="Times New Roman"/>
                <w:sz w:val="18"/>
                <w:szCs w:val="18"/>
              </w:rPr>
              <w:t>ieistotne</w:t>
            </w:r>
          </w:p>
        </w:tc>
      </w:tr>
    </w:tbl>
    <w:p w14:paraId="2C5A066A" w14:textId="77777777" w:rsidR="00426951" w:rsidRPr="00A564D2" w:rsidRDefault="00426951" w:rsidP="00174CA0">
      <w:pPr>
        <w:pStyle w:val="Tekstpodstawowy"/>
        <w:tabs>
          <w:tab w:val="left" w:pos="851"/>
        </w:tabs>
        <w:spacing w:after="0" w:line="264" w:lineRule="auto"/>
        <w:jc w:val="both"/>
        <w:rPr>
          <w:rFonts w:ascii="Times New Roman" w:hAnsi="Times New Roman" w:cs="Times New Roman"/>
          <w:sz w:val="24"/>
          <w:szCs w:val="24"/>
        </w:rPr>
      </w:pPr>
    </w:p>
    <w:p w14:paraId="14B4E122" w14:textId="77777777" w:rsidR="00C84804" w:rsidRPr="00A564D2" w:rsidRDefault="00174CA0" w:rsidP="00174CA0">
      <w:pPr>
        <w:pStyle w:val="Tekstpodstawowy"/>
        <w:tabs>
          <w:tab w:val="left" w:pos="851"/>
        </w:tabs>
        <w:spacing w:after="0" w:line="264" w:lineRule="auto"/>
        <w:jc w:val="both"/>
        <w:rPr>
          <w:rFonts w:ascii="Times New Roman" w:hAnsi="Times New Roman" w:cs="Times New Roman"/>
          <w:sz w:val="24"/>
          <w:szCs w:val="24"/>
        </w:rPr>
      </w:pPr>
      <w:r w:rsidRPr="00A564D2">
        <w:rPr>
          <w:rFonts w:ascii="Times New Roman" w:hAnsi="Times New Roman" w:cs="Times New Roman"/>
          <w:sz w:val="24"/>
          <w:szCs w:val="24"/>
        </w:rPr>
        <w:tab/>
      </w:r>
      <w:r w:rsidR="00C84804" w:rsidRPr="00A564D2">
        <w:rPr>
          <w:rFonts w:ascii="Times New Roman" w:hAnsi="Times New Roman" w:cs="Times New Roman"/>
          <w:sz w:val="24"/>
          <w:szCs w:val="24"/>
        </w:rPr>
        <w:t xml:space="preserve">W zakresie oceny profilu </w:t>
      </w:r>
      <w:r w:rsidR="00D35521" w:rsidRPr="00A564D2">
        <w:rPr>
          <w:rFonts w:ascii="Times New Roman" w:hAnsi="Times New Roman" w:cs="Times New Roman"/>
          <w:sz w:val="24"/>
          <w:szCs w:val="24"/>
        </w:rPr>
        <w:t>ryzyka Banku na dzień 31.12.</w:t>
      </w:r>
      <w:r w:rsidR="00924C32" w:rsidRPr="00A564D2">
        <w:rPr>
          <w:rFonts w:ascii="Times New Roman" w:hAnsi="Times New Roman" w:cs="Times New Roman"/>
          <w:sz w:val="24"/>
          <w:szCs w:val="24"/>
        </w:rPr>
        <w:t>20</w:t>
      </w:r>
      <w:r w:rsidR="00FF3184" w:rsidRPr="00A564D2">
        <w:rPr>
          <w:rFonts w:ascii="Times New Roman" w:hAnsi="Times New Roman" w:cs="Times New Roman"/>
          <w:sz w:val="24"/>
          <w:szCs w:val="24"/>
        </w:rPr>
        <w:t>20</w:t>
      </w:r>
      <w:r w:rsidR="00430D06" w:rsidRPr="00A564D2">
        <w:rPr>
          <w:rFonts w:ascii="Times New Roman" w:hAnsi="Times New Roman" w:cs="Times New Roman"/>
          <w:sz w:val="24"/>
          <w:szCs w:val="24"/>
        </w:rPr>
        <w:t xml:space="preserve"> r. stwierdzono</w:t>
      </w:r>
      <w:r w:rsidR="00C84804" w:rsidRPr="00A564D2">
        <w:rPr>
          <w:rFonts w:ascii="Times New Roman" w:hAnsi="Times New Roman" w:cs="Times New Roman"/>
          <w:sz w:val="24"/>
          <w:szCs w:val="24"/>
        </w:rPr>
        <w:t xml:space="preserve">, że jest on zgodny z docelowym profilem ryzyka określonym w Strategii. </w:t>
      </w:r>
    </w:p>
    <w:p w14:paraId="7A2D99E8" w14:textId="77777777" w:rsidR="00C84804" w:rsidRPr="00A564D2" w:rsidRDefault="00C84804" w:rsidP="00174CA0">
      <w:pPr>
        <w:pStyle w:val="Tekstpodstawowy"/>
        <w:tabs>
          <w:tab w:val="left" w:pos="851"/>
        </w:tabs>
        <w:spacing w:after="0" w:line="264" w:lineRule="auto"/>
        <w:jc w:val="both"/>
        <w:rPr>
          <w:rFonts w:ascii="Times New Roman" w:hAnsi="Times New Roman" w:cs="Times New Roman"/>
          <w:sz w:val="24"/>
          <w:szCs w:val="24"/>
        </w:rPr>
      </w:pPr>
      <w:r w:rsidRPr="00A564D2">
        <w:rPr>
          <w:rFonts w:ascii="Times New Roman" w:hAnsi="Times New Roman" w:cs="Times New Roman"/>
          <w:sz w:val="24"/>
          <w:szCs w:val="24"/>
        </w:rPr>
        <w:t xml:space="preserve">  </w:t>
      </w:r>
    </w:p>
    <w:p w14:paraId="42766134" w14:textId="77777777" w:rsidR="001C3B07" w:rsidRPr="00A564D2" w:rsidRDefault="00174CA0" w:rsidP="00174CA0">
      <w:pPr>
        <w:pStyle w:val="Tekstpodstawowy"/>
        <w:tabs>
          <w:tab w:val="left" w:pos="851"/>
        </w:tabs>
        <w:spacing w:after="0" w:line="264" w:lineRule="auto"/>
        <w:jc w:val="both"/>
        <w:rPr>
          <w:rFonts w:ascii="Times New Roman" w:eastAsia="Calibri" w:hAnsi="Times New Roman" w:cs="Times New Roman"/>
          <w:sz w:val="24"/>
          <w:szCs w:val="24"/>
        </w:rPr>
      </w:pPr>
      <w:r w:rsidRPr="00A564D2">
        <w:rPr>
          <w:rFonts w:ascii="Times New Roman" w:hAnsi="Times New Roman" w:cs="Times New Roman"/>
          <w:sz w:val="24"/>
          <w:szCs w:val="24"/>
        </w:rPr>
        <w:tab/>
      </w:r>
      <w:r w:rsidR="001C3B07" w:rsidRPr="00A564D2">
        <w:rPr>
          <w:rFonts w:ascii="Times New Roman" w:hAnsi="Times New Roman" w:cs="Times New Roman"/>
          <w:sz w:val="24"/>
          <w:szCs w:val="24"/>
        </w:rPr>
        <w:t xml:space="preserve">Główne cele strategiczne wynikają z realizacji misji Banku, którą jest </w:t>
      </w:r>
      <w:r w:rsidR="001C3B07" w:rsidRPr="00A564D2">
        <w:rPr>
          <w:rFonts w:ascii="Times New Roman" w:eastAsia="Calibri" w:hAnsi="Times New Roman" w:cs="Times New Roman"/>
          <w:sz w:val="24"/>
          <w:szCs w:val="24"/>
        </w:rPr>
        <w:t>zrównoważony</w:t>
      </w:r>
      <w:r w:rsidR="00430D06" w:rsidRPr="00A564D2">
        <w:rPr>
          <w:rFonts w:ascii="Times New Roman" w:eastAsia="Calibri" w:hAnsi="Times New Roman" w:cs="Times New Roman"/>
          <w:sz w:val="24"/>
          <w:szCs w:val="24"/>
        </w:rPr>
        <w:t xml:space="preserve">  </w:t>
      </w:r>
      <w:r w:rsidR="001C3B07" w:rsidRPr="00A564D2">
        <w:rPr>
          <w:rFonts w:ascii="Times New Roman" w:eastAsia="Calibri" w:hAnsi="Times New Roman" w:cs="Times New Roman"/>
          <w:sz w:val="24"/>
          <w:szCs w:val="24"/>
        </w:rPr>
        <w:t xml:space="preserve"> i bezpieczny jego rozwój dzięki zapewnieniu swoim klientom kompleksowych, nowoczesnych, konkurencyjnych cenowo usług finansowych oraz skupienie działalności na budowaniu długookresowych relacji z klientami rynku lokalnego, poprzez rozpoznanie i zaspokajanie ich potrzeb. W związku z podjęciem </w:t>
      </w:r>
      <w:r w:rsidR="004A4DCC" w:rsidRPr="00A564D2">
        <w:rPr>
          <w:rFonts w:ascii="Times New Roman" w:eastAsia="Calibri" w:hAnsi="Times New Roman" w:cs="Times New Roman"/>
          <w:sz w:val="24"/>
          <w:szCs w:val="24"/>
        </w:rPr>
        <w:t>przez Bank</w:t>
      </w:r>
      <w:r w:rsidR="001C3B07" w:rsidRPr="00A564D2">
        <w:rPr>
          <w:rFonts w:ascii="Times New Roman" w:eastAsia="Calibri" w:hAnsi="Times New Roman" w:cs="Times New Roman"/>
          <w:sz w:val="24"/>
          <w:szCs w:val="24"/>
        </w:rPr>
        <w:t xml:space="preserve"> </w:t>
      </w:r>
      <w:r w:rsidR="004A4DCC" w:rsidRPr="00A564D2">
        <w:rPr>
          <w:rFonts w:ascii="Times New Roman" w:eastAsia="Calibri" w:hAnsi="Times New Roman" w:cs="Times New Roman"/>
          <w:sz w:val="24"/>
          <w:szCs w:val="24"/>
        </w:rPr>
        <w:t xml:space="preserve">decyzji </w:t>
      </w:r>
      <w:r w:rsidR="001C3B07" w:rsidRPr="00A564D2">
        <w:rPr>
          <w:rFonts w:ascii="Times New Roman" w:eastAsia="Calibri" w:hAnsi="Times New Roman" w:cs="Times New Roman"/>
          <w:sz w:val="24"/>
          <w:szCs w:val="24"/>
        </w:rPr>
        <w:t xml:space="preserve">o </w:t>
      </w:r>
      <w:r w:rsidR="002B3C20" w:rsidRPr="00A564D2">
        <w:rPr>
          <w:rFonts w:ascii="Times New Roman" w:eastAsia="Calibri" w:hAnsi="Times New Roman" w:cs="Times New Roman"/>
          <w:sz w:val="24"/>
          <w:szCs w:val="24"/>
        </w:rPr>
        <w:t xml:space="preserve">nie </w:t>
      </w:r>
      <w:r w:rsidR="001C3B07" w:rsidRPr="00A564D2">
        <w:rPr>
          <w:rFonts w:ascii="Times New Roman" w:eastAsia="Calibri" w:hAnsi="Times New Roman" w:cs="Times New Roman"/>
          <w:sz w:val="24"/>
          <w:szCs w:val="24"/>
        </w:rPr>
        <w:t>przystąpieniu do Systemu Ochrony</w:t>
      </w:r>
      <w:r w:rsidR="00430D06" w:rsidRPr="00A564D2">
        <w:rPr>
          <w:rFonts w:ascii="Times New Roman" w:eastAsia="Calibri" w:hAnsi="Times New Roman" w:cs="Times New Roman"/>
          <w:sz w:val="24"/>
          <w:szCs w:val="24"/>
        </w:rPr>
        <w:t xml:space="preserve">                </w:t>
      </w:r>
      <w:r w:rsidR="001C3B07" w:rsidRPr="00A564D2">
        <w:rPr>
          <w:rFonts w:ascii="Times New Roman" w:eastAsia="Calibri" w:hAnsi="Times New Roman" w:cs="Times New Roman"/>
          <w:sz w:val="24"/>
          <w:szCs w:val="24"/>
        </w:rPr>
        <w:t xml:space="preserve"> i brakiem oferty działania w zrzeszeniu poza systemem ochrony, podstawowym celem </w:t>
      </w:r>
      <w:r w:rsidR="00D35521" w:rsidRPr="00A564D2">
        <w:rPr>
          <w:rFonts w:ascii="Times New Roman" w:eastAsia="Calibri" w:hAnsi="Times New Roman" w:cs="Times New Roman"/>
          <w:sz w:val="24"/>
          <w:szCs w:val="24"/>
        </w:rPr>
        <w:t xml:space="preserve">strategicznym Banku na lata </w:t>
      </w:r>
      <w:r w:rsidR="00C4068D" w:rsidRPr="00A564D2">
        <w:rPr>
          <w:rFonts w:ascii="Times New Roman" w:eastAsia="Calibri" w:hAnsi="Times New Roman" w:cs="Times New Roman"/>
          <w:sz w:val="24"/>
          <w:szCs w:val="24"/>
        </w:rPr>
        <w:t>2019-2023</w:t>
      </w:r>
      <w:r w:rsidR="001C3B07" w:rsidRPr="00A564D2">
        <w:rPr>
          <w:rFonts w:ascii="Times New Roman" w:eastAsia="Calibri" w:hAnsi="Times New Roman" w:cs="Times New Roman"/>
          <w:sz w:val="24"/>
          <w:szCs w:val="24"/>
        </w:rPr>
        <w:t xml:space="preserve"> </w:t>
      </w:r>
      <w:r w:rsidR="00430D06" w:rsidRPr="00A564D2">
        <w:rPr>
          <w:rFonts w:ascii="Times New Roman" w:eastAsia="Calibri" w:hAnsi="Times New Roman" w:cs="Times New Roman"/>
          <w:sz w:val="24"/>
          <w:szCs w:val="24"/>
        </w:rPr>
        <w:t>jest</w:t>
      </w:r>
      <w:r w:rsidR="001C3B07" w:rsidRPr="00A564D2">
        <w:rPr>
          <w:rFonts w:ascii="Times New Roman" w:eastAsia="Calibri" w:hAnsi="Times New Roman" w:cs="Times New Roman"/>
          <w:sz w:val="24"/>
          <w:szCs w:val="24"/>
        </w:rPr>
        <w:t xml:space="preserve"> przeprowadzenie procesu usamodzielnienia Banku umożliwiającego działanie Banku poza zrzeszeniem. Bank posiada potencjał kapitałowy i organizacyjny pozwalający na samodzielne działanie, które umożliwi stabilny i bezpieczny jego rozwój, ograniczając jednocześnie ryzyka wynikające z uczestniczenia w Systemie Ochrony Zrzeszenia BPS związane przede wszystkim z odpowiedzialnością za nieakceptowalne z punktu widzenia Banku działania podmiotów trzecich (niektórych banków pozostających</w:t>
      </w:r>
      <w:r w:rsidR="00A564D2" w:rsidRPr="00A564D2">
        <w:rPr>
          <w:rFonts w:ascii="Times New Roman" w:eastAsia="Calibri" w:hAnsi="Times New Roman" w:cs="Times New Roman"/>
          <w:sz w:val="24"/>
          <w:szCs w:val="24"/>
        </w:rPr>
        <w:t xml:space="preserve"> </w:t>
      </w:r>
      <w:r w:rsidR="001C3B07" w:rsidRPr="00A564D2">
        <w:rPr>
          <w:rFonts w:ascii="Times New Roman" w:eastAsia="Calibri" w:hAnsi="Times New Roman" w:cs="Times New Roman"/>
          <w:sz w:val="24"/>
          <w:szCs w:val="24"/>
        </w:rPr>
        <w:t>w systemie ochrony), na które Bank nie ma wpływu.</w:t>
      </w:r>
    </w:p>
    <w:p w14:paraId="527BCE8C" w14:textId="77777777" w:rsidR="00E44C86" w:rsidRPr="000E3272" w:rsidRDefault="00E44C86" w:rsidP="00174CA0">
      <w:pPr>
        <w:spacing w:after="0" w:line="264" w:lineRule="auto"/>
        <w:rPr>
          <w:rFonts w:ascii="Times New Roman" w:hAnsi="Times New Roman" w:cs="Times New Roman"/>
          <w:color w:val="FF0000"/>
          <w:sz w:val="24"/>
          <w:szCs w:val="24"/>
        </w:rPr>
      </w:pPr>
    </w:p>
    <w:p w14:paraId="72AFB5B6" w14:textId="77777777" w:rsidR="006C34F1" w:rsidRPr="00A564D2" w:rsidRDefault="006C34F1" w:rsidP="00993749">
      <w:pPr>
        <w:pStyle w:val="Nagwek1"/>
        <w:numPr>
          <w:ilvl w:val="0"/>
          <w:numId w:val="21"/>
        </w:numPr>
        <w:rPr>
          <w:rFonts w:ascii="Times New Roman" w:hAnsi="Times New Roman" w:cs="Times New Roman"/>
          <w:b/>
          <w:color w:val="auto"/>
          <w:sz w:val="24"/>
          <w:szCs w:val="24"/>
        </w:rPr>
      </w:pPr>
      <w:bookmarkStart w:id="4" w:name="_Toc44930256"/>
      <w:r w:rsidRPr="00A564D2">
        <w:rPr>
          <w:rFonts w:ascii="Times New Roman" w:hAnsi="Times New Roman" w:cs="Times New Roman"/>
          <w:b/>
          <w:color w:val="auto"/>
          <w:sz w:val="24"/>
          <w:szCs w:val="24"/>
        </w:rPr>
        <w:t>RYZYKO PŁYNNOŚCI</w:t>
      </w:r>
      <w:bookmarkEnd w:id="4"/>
      <w:r w:rsidRPr="00A564D2">
        <w:rPr>
          <w:rFonts w:ascii="Times New Roman" w:hAnsi="Times New Roman" w:cs="Times New Roman"/>
          <w:b/>
          <w:color w:val="auto"/>
          <w:sz w:val="24"/>
          <w:szCs w:val="24"/>
        </w:rPr>
        <w:t xml:space="preserve"> </w:t>
      </w:r>
    </w:p>
    <w:p w14:paraId="59DAF3B0" w14:textId="77777777" w:rsidR="00F9182B" w:rsidRPr="00A564D2" w:rsidRDefault="00F9182B" w:rsidP="00F9182B">
      <w:pPr>
        <w:pStyle w:val="Akapitzlist"/>
        <w:spacing w:after="0" w:line="264" w:lineRule="auto"/>
        <w:rPr>
          <w:rFonts w:ascii="Times New Roman" w:hAnsi="Times New Roman" w:cs="Times New Roman"/>
          <w:b/>
          <w:sz w:val="24"/>
          <w:szCs w:val="24"/>
        </w:rPr>
      </w:pPr>
    </w:p>
    <w:p w14:paraId="3FC3886B" w14:textId="77777777" w:rsidR="006C34F1" w:rsidRPr="00A564D2" w:rsidRDefault="006C34F1" w:rsidP="00174CA0">
      <w:pPr>
        <w:spacing w:after="0" w:line="264" w:lineRule="auto"/>
        <w:ind w:firstLine="708"/>
        <w:jc w:val="both"/>
        <w:rPr>
          <w:rFonts w:ascii="Times New Roman" w:hAnsi="Times New Roman" w:cs="Times New Roman"/>
          <w:sz w:val="24"/>
          <w:szCs w:val="24"/>
        </w:rPr>
      </w:pPr>
      <w:r w:rsidRPr="00A564D2">
        <w:rPr>
          <w:rFonts w:ascii="Times New Roman" w:hAnsi="Times New Roman" w:cs="Times New Roman"/>
          <w:sz w:val="24"/>
          <w:szCs w:val="24"/>
        </w:rPr>
        <w:t xml:space="preserve">Zarządzanie ryzykiem płynności prowadzone jest w oparciu o Strategię zarządzania </w:t>
      </w:r>
      <w:r w:rsidR="00AD0919" w:rsidRPr="00A564D2">
        <w:rPr>
          <w:rFonts w:ascii="Times New Roman" w:hAnsi="Times New Roman" w:cs="Times New Roman"/>
          <w:sz w:val="24"/>
          <w:szCs w:val="24"/>
        </w:rPr>
        <w:t>ryzyk</w:t>
      </w:r>
      <w:r w:rsidR="0036385B" w:rsidRPr="00A564D2">
        <w:rPr>
          <w:rFonts w:ascii="Times New Roman" w:hAnsi="Times New Roman" w:cs="Times New Roman"/>
          <w:sz w:val="24"/>
          <w:szCs w:val="24"/>
        </w:rPr>
        <w:t>iem</w:t>
      </w:r>
      <w:r w:rsidR="00AD0919" w:rsidRPr="00A564D2">
        <w:rPr>
          <w:rFonts w:ascii="Times New Roman" w:hAnsi="Times New Roman" w:cs="Times New Roman"/>
          <w:sz w:val="24"/>
          <w:szCs w:val="24"/>
        </w:rPr>
        <w:t xml:space="preserve">, </w:t>
      </w:r>
      <w:r w:rsidRPr="00A564D2">
        <w:rPr>
          <w:rFonts w:ascii="Times New Roman" w:hAnsi="Times New Roman" w:cs="Times New Roman"/>
          <w:sz w:val="24"/>
          <w:szCs w:val="24"/>
        </w:rPr>
        <w:t xml:space="preserve">Politykę zarządzania ryzykiem płynności oraz Instrukcję </w:t>
      </w:r>
      <w:r w:rsidR="007E6CCD" w:rsidRPr="00A564D2">
        <w:rPr>
          <w:rFonts w:ascii="Times New Roman" w:hAnsi="Times New Roman" w:cs="Times New Roman"/>
          <w:sz w:val="24"/>
          <w:szCs w:val="24"/>
        </w:rPr>
        <w:t xml:space="preserve">Zasady </w:t>
      </w:r>
      <w:r w:rsidR="00E44C86" w:rsidRPr="00A564D2">
        <w:rPr>
          <w:rFonts w:ascii="Times New Roman" w:hAnsi="Times New Roman" w:cs="Times New Roman"/>
          <w:sz w:val="24"/>
          <w:szCs w:val="24"/>
        </w:rPr>
        <w:t>za</w:t>
      </w:r>
      <w:r w:rsidR="004A4DCC" w:rsidRPr="00A564D2">
        <w:rPr>
          <w:rFonts w:ascii="Times New Roman" w:hAnsi="Times New Roman" w:cs="Times New Roman"/>
          <w:sz w:val="24"/>
          <w:szCs w:val="24"/>
        </w:rPr>
        <w:t>rządzania ryzykiem płynności</w:t>
      </w:r>
      <w:r w:rsidR="00E44C86" w:rsidRPr="00A564D2">
        <w:rPr>
          <w:rFonts w:ascii="Times New Roman" w:hAnsi="Times New Roman" w:cs="Times New Roman"/>
          <w:sz w:val="24"/>
          <w:szCs w:val="24"/>
        </w:rPr>
        <w:t>.</w:t>
      </w:r>
      <w:r w:rsidRPr="00A564D2">
        <w:rPr>
          <w:rFonts w:ascii="Times New Roman" w:hAnsi="Times New Roman" w:cs="Times New Roman"/>
          <w:sz w:val="24"/>
          <w:szCs w:val="24"/>
        </w:rPr>
        <w:t xml:space="preserve"> Bank posiada system limitów, przeprowadza testy warunków skrajnych oraz posiada plany awaryjne na wypadek wystąpienia sytuacji zachwiania płynności. </w:t>
      </w:r>
    </w:p>
    <w:p w14:paraId="4B5556C6" w14:textId="77777777" w:rsidR="00573D65" w:rsidRPr="00A564D2" w:rsidRDefault="006C34F1" w:rsidP="00174CA0">
      <w:pPr>
        <w:spacing w:after="0" w:line="264" w:lineRule="auto"/>
        <w:ind w:firstLine="708"/>
        <w:jc w:val="both"/>
        <w:rPr>
          <w:rFonts w:ascii="Times New Roman" w:hAnsi="Times New Roman" w:cs="Times New Roman"/>
          <w:sz w:val="24"/>
          <w:szCs w:val="24"/>
        </w:rPr>
      </w:pPr>
      <w:r w:rsidRPr="00A564D2">
        <w:rPr>
          <w:rFonts w:ascii="Times New Roman" w:hAnsi="Times New Roman" w:cs="Times New Roman"/>
          <w:sz w:val="24"/>
          <w:szCs w:val="24"/>
        </w:rPr>
        <w:lastRenderedPageBreak/>
        <w:t>Główny</w:t>
      </w:r>
      <w:r w:rsidR="000258AD" w:rsidRPr="00A564D2">
        <w:rPr>
          <w:rFonts w:ascii="Times New Roman" w:hAnsi="Times New Roman" w:cs="Times New Roman"/>
          <w:sz w:val="24"/>
          <w:szCs w:val="24"/>
        </w:rPr>
        <w:t>m</w:t>
      </w:r>
      <w:r w:rsidRPr="00A564D2">
        <w:rPr>
          <w:rFonts w:ascii="Times New Roman" w:hAnsi="Times New Roman" w:cs="Times New Roman"/>
          <w:sz w:val="24"/>
          <w:szCs w:val="24"/>
        </w:rPr>
        <w:t xml:space="preserve"> celem zarządzania ryzykiem płynności w Banku jest </w:t>
      </w:r>
      <w:r w:rsidR="00573D65" w:rsidRPr="00A564D2">
        <w:rPr>
          <w:rFonts w:ascii="Times New Roman" w:hAnsi="Times New Roman" w:cs="Times New Roman"/>
          <w:sz w:val="24"/>
          <w:szCs w:val="24"/>
        </w:rPr>
        <w:t xml:space="preserve">zapobieganie wystąpieniu sytuacji kryzysowej poprzez utrzymywanie odpowiedniej struktury aktywów </w:t>
      </w:r>
      <w:r w:rsidR="000258AD" w:rsidRPr="00A564D2">
        <w:rPr>
          <w:rFonts w:ascii="Times New Roman" w:hAnsi="Times New Roman" w:cs="Times New Roman"/>
          <w:sz w:val="24"/>
          <w:szCs w:val="24"/>
        </w:rPr>
        <w:br/>
      </w:r>
      <w:r w:rsidR="00573D65" w:rsidRPr="00A564D2">
        <w:rPr>
          <w:rFonts w:ascii="Times New Roman" w:hAnsi="Times New Roman" w:cs="Times New Roman"/>
          <w:sz w:val="24"/>
          <w:szCs w:val="24"/>
        </w:rPr>
        <w:t>i pasywów</w:t>
      </w:r>
      <w:r w:rsidR="00430D06" w:rsidRPr="00A564D2">
        <w:rPr>
          <w:rFonts w:ascii="Times New Roman" w:hAnsi="Times New Roman" w:cs="Times New Roman"/>
          <w:sz w:val="24"/>
          <w:szCs w:val="24"/>
        </w:rPr>
        <w:t>,</w:t>
      </w:r>
      <w:r w:rsidR="00573D65" w:rsidRPr="00A564D2">
        <w:rPr>
          <w:rFonts w:ascii="Times New Roman" w:hAnsi="Times New Roman" w:cs="Times New Roman"/>
          <w:sz w:val="24"/>
          <w:szCs w:val="24"/>
        </w:rPr>
        <w:t xml:space="preserve"> mającej na celu osiągnięcie założonej rentowności / stałego i rosnącego wyniku finansowego oraz zapewnienie zdolności do terminowego wywiązania się z bieżących </w:t>
      </w:r>
      <w:r w:rsidR="000258AD" w:rsidRPr="00A564D2">
        <w:rPr>
          <w:rFonts w:ascii="Times New Roman" w:hAnsi="Times New Roman" w:cs="Times New Roman"/>
          <w:sz w:val="24"/>
          <w:szCs w:val="24"/>
        </w:rPr>
        <w:br/>
      </w:r>
      <w:r w:rsidR="00573D65" w:rsidRPr="00A564D2">
        <w:rPr>
          <w:rFonts w:ascii="Times New Roman" w:hAnsi="Times New Roman" w:cs="Times New Roman"/>
          <w:sz w:val="24"/>
          <w:szCs w:val="24"/>
        </w:rPr>
        <w:t>i przyszłych zobowiązań.</w:t>
      </w:r>
    </w:p>
    <w:p w14:paraId="23EEC4F8" w14:textId="77777777" w:rsidR="00573D65" w:rsidRPr="00A564D2" w:rsidRDefault="00573D65" w:rsidP="00174CA0">
      <w:pPr>
        <w:spacing w:after="0" w:line="264" w:lineRule="auto"/>
        <w:ind w:firstLine="708"/>
        <w:jc w:val="both"/>
        <w:rPr>
          <w:rFonts w:ascii="Times New Roman" w:hAnsi="Times New Roman" w:cs="Times New Roman"/>
          <w:sz w:val="24"/>
          <w:szCs w:val="24"/>
        </w:rPr>
      </w:pPr>
      <w:r w:rsidRPr="00A564D2">
        <w:rPr>
          <w:rFonts w:ascii="Times New Roman" w:hAnsi="Times New Roman" w:cs="Times New Roman"/>
          <w:sz w:val="24"/>
          <w:szCs w:val="24"/>
        </w:rPr>
        <w:t>Ocena płynności prowadzona jest w Banku dla pozycji złotowych i walutowych, przy czym ze względu na dominujący w bilansie udział pozycji w złotych, podstawowe znaczenie dla utrzymania całościowej płynności Banku pełni płynność złotowa. Ze względu na niewielką skalę działalności walutowej</w:t>
      </w:r>
      <w:r w:rsidR="00430D06" w:rsidRPr="00A564D2">
        <w:rPr>
          <w:rFonts w:ascii="Times New Roman" w:hAnsi="Times New Roman" w:cs="Times New Roman"/>
          <w:sz w:val="24"/>
          <w:szCs w:val="24"/>
        </w:rPr>
        <w:t>,</w:t>
      </w:r>
      <w:r w:rsidRPr="00A564D2">
        <w:rPr>
          <w:rFonts w:ascii="Times New Roman" w:hAnsi="Times New Roman" w:cs="Times New Roman"/>
          <w:sz w:val="24"/>
          <w:szCs w:val="24"/>
        </w:rPr>
        <w:t xml:space="preserve"> płynność analizowana jest dla wszystkich walut łącznie. </w:t>
      </w:r>
      <w:r w:rsidR="00430D06" w:rsidRPr="00A564D2">
        <w:rPr>
          <w:rFonts w:ascii="Times New Roman" w:hAnsi="Times New Roman" w:cs="Times New Roman"/>
          <w:sz w:val="24"/>
          <w:szCs w:val="24"/>
        </w:rPr>
        <w:t xml:space="preserve">                    </w:t>
      </w:r>
      <w:r w:rsidRPr="00A564D2">
        <w:rPr>
          <w:rFonts w:ascii="Times New Roman" w:hAnsi="Times New Roman" w:cs="Times New Roman"/>
          <w:sz w:val="24"/>
          <w:szCs w:val="24"/>
        </w:rPr>
        <w:t>W momencie osiągnięcia pozycji bilansowych odrębnie dla każdej waluty na poziomie minimum 5% sumy bilansowej ogółem, będzie konieczność prowadzenia pełnej</w:t>
      </w:r>
      <w:r w:rsidR="00430D06" w:rsidRPr="00A564D2">
        <w:rPr>
          <w:rFonts w:ascii="Times New Roman" w:hAnsi="Times New Roman" w:cs="Times New Roman"/>
          <w:sz w:val="24"/>
          <w:szCs w:val="24"/>
        </w:rPr>
        <w:t>,</w:t>
      </w:r>
      <w:r w:rsidRPr="00A564D2">
        <w:rPr>
          <w:rFonts w:ascii="Times New Roman" w:hAnsi="Times New Roman" w:cs="Times New Roman"/>
          <w:sz w:val="24"/>
          <w:szCs w:val="24"/>
        </w:rPr>
        <w:t xml:space="preserve"> odrębnej dla każdej waluty analizy płynności.</w:t>
      </w:r>
    </w:p>
    <w:p w14:paraId="1A072C2C" w14:textId="77777777" w:rsidR="006C34F1" w:rsidRPr="000E3272" w:rsidRDefault="006C34F1" w:rsidP="00174CA0">
      <w:pPr>
        <w:spacing w:after="0" w:line="264" w:lineRule="auto"/>
        <w:rPr>
          <w:rFonts w:ascii="Times New Roman" w:hAnsi="Times New Roman" w:cs="Times New Roman"/>
          <w:b/>
          <w:color w:val="FF0000"/>
          <w:sz w:val="24"/>
          <w:szCs w:val="24"/>
        </w:rPr>
      </w:pPr>
    </w:p>
    <w:p w14:paraId="203651CD" w14:textId="77777777" w:rsidR="006C34F1" w:rsidRPr="00A564D2" w:rsidRDefault="006C34F1" w:rsidP="008D144F">
      <w:pPr>
        <w:pStyle w:val="Nagwek1"/>
        <w:rPr>
          <w:rFonts w:ascii="Times New Roman" w:hAnsi="Times New Roman" w:cs="Times New Roman"/>
          <w:b/>
          <w:color w:val="auto"/>
          <w:sz w:val="24"/>
          <w:szCs w:val="24"/>
        </w:rPr>
      </w:pPr>
      <w:bookmarkStart w:id="5" w:name="_Toc44930257"/>
      <w:r w:rsidRPr="00A564D2">
        <w:rPr>
          <w:rFonts w:ascii="Times New Roman" w:hAnsi="Times New Roman" w:cs="Times New Roman"/>
          <w:b/>
          <w:color w:val="auto"/>
          <w:sz w:val="24"/>
          <w:szCs w:val="24"/>
        </w:rPr>
        <w:t xml:space="preserve">3.1. </w:t>
      </w:r>
      <w:r w:rsidRPr="00A564D2">
        <w:rPr>
          <w:rStyle w:val="Nagwek1Znak"/>
          <w:rFonts w:ascii="Times New Roman" w:hAnsi="Times New Roman" w:cs="Times New Roman"/>
          <w:b/>
          <w:color w:val="auto"/>
          <w:sz w:val="24"/>
          <w:szCs w:val="24"/>
        </w:rPr>
        <w:t>REALIZACJA CELÓW STRATEGICZNYCH</w:t>
      </w:r>
      <w:bookmarkEnd w:id="5"/>
      <w:r w:rsidRPr="00A564D2">
        <w:rPr>
          <w:rFonts w:ascii="Times New Roman" w:hAnsi="Times New Roman" w:cs="Times New Roman"/>
          <w:b/>
          <w:color w:val="auto"/>
          <w:sz w:val="24"/>
          <w:szCs w:val="24"/>
        </w:rPr>
        <w:t xml:space="preserve"> </w:t>
      </w:r>
    </w:p>
    <w:p w14:paraId="5EECF9B1" w14:textId="77777777" w:rsidR="007E6CCD" w:rsidRPr="00A564D2" w:rsidRDefault="00F9182B" w:rsidP="00F9182B">
      <w:pPr>
        <w:tabs>
          <w:tab w:val="num" w:pos="0"/>
        </w:tabs>
        <w:spacing w:after="0" w:line="264" w:lineRule="auto"/>
        <w:jc w:val="both"/>
        <w:rPr>
          <w:rFonts w:ascii="Times New Roman" w:hAnsi="Times New Roman" w:cs="Times New Roman"/>
          <w:sz w:val="24"/>
          <w:szCs w:val="24"/>
        </w:rPr>
      </w:pPr>
      <w:r w:rsidRPr="00A564D2">
        <w:rPr>
          <w:rFonts w:ascii="Times New Roman" w:hAnsi="Times New Roman" w:cs="Times New Roman"/>
          <w:sz w:val="24"/>
          <w:szCs w:val="24"/>
        </w:rPr>
        <w:tab/>
      </w:r>
      <w:r w:rsidRPr="00A564D2">
        <w:rPr>
          <w:rFonts w:ascii="Times New Roman" w:hAnsi="Times New Roman" w:cs="Times New Roman"/>
          <w:sz w:val="24"/>
          <w:szCs w:val="24"/>
        </w:rPr>
        <w:tab/>
      </w:r>
    </w:p>
    <w:p w14:paraId="4433DB6F" w14:textId="77777777" w:rsidR="00573D65" w:rsidRPr="00A564D2" w:rsidRDefault="00573D65" w:rsidP="00F9182B">
      <w:pPr>
        <w:tabs>
          <w:tab w:val="num" w:pos="0"/>
        </w:tabs>
        <w:spacing w:after="0" w:line="264" w:lineRule="auto"/>
        <w:jc w:val="both"/>
        <w:rPr>
          <w:rFonts w:ascii="Times New Roman" w:hAnsi="Times New Roman" w:cs="Times New Roman"/>
          <w:bCs/>
          <w:sz w:val="24"/>
          <w:szCs w:val="24"/>
        </w:rPr>
      </w:pPr>
      <w:r w:rsidRPr="00A564D2">
        <w:rPr>
          <w:rFonts w:ascii="Times New Roman" w:hAnsi="Times New Roman" w:cs="Times New Roman"/>
          <w:sz w:val="24"/>
          <w:szCs w:val="24"/>
        </w:rPr>
        <w:t>Cele strategiczne zarządz</w:t>
      </w:r>
      <w:r w:rsidR="00E97296" w:rsidRPr="00A564D2">
        <w:rPr>
          <w:rFonts w:ascii="Times New Roman" w:hAnsi="Times New Roman" w:cs="Times New Roman"/>
          <w:sz w:val="24"/>
          <w:szCs w:val="24"/>
        </w:rPr>
        <w:t>ania ryzykiem płynności w Warmińsko-Mazurskim Banku Spółdzielczym:</w:t>
      </w:r>
    </w:p>
    <w:p w14:paraId="14760CE4" w14:textId="77777777" w:rsidR="00573D65" w:rsidRPr="00A564D2" w:rsidRDefault="005E3560" w:rsidP="00993749">
      <w:pPr>
        <w:numPr>
          <w:ilvl w:val="0"/>
          <w:numId w:val="1"/>
        </w:numPr>
        <w:tabs>
          <w:tab w:val="clear" w:pos="720"/>
          <w:tab w:val="num" w:pos="426"/>
        </w:tabs>
        <w:spacing w:after="0" w:line="264" w:lineRule="auto"/>
        <w:ind w:left="567" w:hanging="283"/>
        <w:jc w:val="both"/>
        <w:rPr>
          <w:rFonts w:ascii="Times New Roman" w:hAnsi="Times New Roman" w:cs="Times New Roman"/>
          <w:sz w:val="24"/>
          <w:szCs w:val="24"/>
        </w:rPr>
      </w:pPr>
      <w:r w:rsidRPr="00A564D2">
        <w:rPr>
          <w:rFonts w:ascii="Times New Roman" w:hAnsi="Times New Roman" w:cs="Times New Roman"/>
          <w:sz w:val="24"/>
          <w:szCs w:val="24"/>
        </w:rPr>
        <w:t>u</w:t>
      </w:r>
      <w:r w:rsidR="00573D65" w:rsidRPr="00A564D2">
        <w:rPr>
          <w:rFonts w:ascii="Times New Roman" w:hAnsi="Times New Roman" w:cs="Times New Roman"/>
          <w:sz w:val="24"/>
          <w:szCs w:val="24"/>
        </w:rPr>
        <w:t>trzymywanie płynności Banku na poziomie adekwatnym do rozmiarów i rodzaju prowadzo</w:t>
      </w:r>
      <w:r w:rsidR="00E97296" w:rsidRPr="00A564D2">
        <w:rPr>
          <w:rFonts w:ascii="Times New Roman" w:hAnsi="Times New Roman" w:cs="Times New Roman"/>
          <w:sz w:val="24"/>
          <w:szCs w:val="24"/>
        </w:rPr>
        <w:t>nej działalności</w:t>
      </w:r>
      <w:r w:rsidR="00430D06" w:rsidRPr="00A564D2">
        <w:rPr>
          <w:rFonts w:ascii="Times New Roman" w:hAnsi="Times New Roman" w:cs="Times New Roman"/>
          <w:sz w:val="24"/>
          <w:szCs w:val="24"/>
        </w:rPr>
        <w:t>;</w:t>
      </w:r>
    </w:p>
    <w:p w14:paraId="0FD938F5" w14:textId="77777777" w:rsidR="00573D65" w:rsidRPr="00A564D2" w:rsidRDefault="005E3560" w:rsidP="00993749">
      <w:pPr>
        <w:numPr>
          <w:ilvl w:val="0"/>
          <w:numId w:val="1"/>
        </w:numPr>
        <w:tabs>
          <w:tab w:val="clear" w:pos="720"/>
          <w:tab w:val="num" w:pos="426"/>
        </w:tabs>
        <w:spacing w:after="0" w:line="264" w:lineRule="auto"/>
        <w:ind w:left="567" w:hanging="283"/>
        <w:jc w:val="both"/>
        <w:rPr>
          <w:rFonts w:ascii="Times New Roman" w:hAnsi="Times New Roman" w:cs="Times New Roman"/>
          <w:sz w:val="24"/>
          <w:szCs w:val="24"/>
        </w:rPr>
      </w:pPr>
      <w:r w:rsidRPr="00A564D2">
        <w:rPr>
          <w:rFonts w:ascii="Times New Roman" w:hAnsi="Times New Roman" w:cs="Times New Roman"/>
          <w:sz w:val="24"/>
          <w:szCs w:val="24"/>
        </w:rPr>
        <w:t>d</w:t>
      </w:r>
      <w:r w:rsidR="00573D65" w:rsidRPr="00A564D2">
        <w:rPr>
          <w:rFonts w:ascii="Times New Roman" w:hAnsi="Times New Roman" w:cs="Times New Roman"/>
          <w:sz w:val="24"/>
          <w:szCs w:val="24"/>
        </w:rPr>
        <w:t>otrzymywanie przez Bank  przyjętych limitów ograniczających ryzyko płynności</w:t>
      </w:r>
      <w:r w:rsidR="00430D06" w:rsidRPr="00A564D2">
        <w:rPr>
          <w:rFonts w:ascii="Times New Roman" w:hAnsi="Times New Roman" w:cs="Times New Roman"/>
          <w:sz w:val="24"/>
          <w:szCs w:val="24"/>
        </w:rPr>
        <w:t>;</w:t>
      </w:r>
    </w:p>
    <w:p w14:paraId="1B6AD657" w14:textId="77777777" w:rsidR="00573D65" w:rsidRPr="00A564D2" w:rsidRDefault="005E3560" w:rsidP="00993749">
      <w:pPr>
        <w:numPr>
          <w:ilvl w:val="0"/>
          <w:numId w:val="1"/>
        </w:numPr>
        <w:tabs>
          <w:tab w:val="num" w:pos="426"/>
        </w:tabs>
        <w:spacing w:after="0" w:line="264" w:lineRule="auto"/>
        <w:ind w:left="567" w:hanging="283"/>
        <w:jc w:val="both"/>
        <w:rPr>
          <w:rFonts w:ascii="Times New Roman" w:hAnsi="Times New Roman" w:cs="Times New Roman"/>
          <w:sz w:val="24"/>
          <w:szCs w:val="24"/>
        </w:rPr>
      </w:pPr>
      <w:r w:rsidRPr="00A564D2">
        <w:rPr>
          <w:rFonts w:ascii="Times New Roman" w:hAnsi="Times New Roman" w:cs="Times New Roman"/>
          <w:sz w:val="24"/>
          <w:szCs w:val="24"/>
        </w:rPr>
        <w:t>z</w:t>
      </w:r>
      <w:r w:rsidR="00573D65" w:rsidRPr="00A564D2">
        <w:rPr>
          <w:rFonts w:ascii="Times New Roman" w:hAnsi="Times New Roman" w:cs="Times New Roman"/>
          <w:sz w:val="24"/>
          <w:szCs w:val="24"/>
        </w:rPr>
        <w:t>arządzanie płynnością Banku w sposób pozwalający</w:t>
      </w:r>
      <w:r w:rsidR="004A4DCC" w:rsidRPr="00A564D2">
        <w:rPr>
          <w:rFonts w:ascii="Times New Roman" w:hAnsi="Times New Roman" w:cs="Times New Roman"/>
          <w:sz w:val="24"/>
          <w:szCs w:val="24"/>
        </w:rPr>
        <w:t>,</w:t>
      </w:r>
      <w:r w:rsidR="00573D65" w:rsidRPr="00A564D2">
        <w:rPr>
          <w:rFonts w:ascii="Times New Roman" w:hAnsi="Times New Roman" w:cs="Times New Roman"/>
          <w:sz w:val="24"/>
          <w:szCs w:val="24"/>
        </w:rPr>
        <w:t xml:space="preserve"> w ramach przyjętych założeń</w:t>
      </w:r>
      <w:r w:rsidR="00430D06" w:rsidRPr="00A564D2">
        <w:rPr>
          <w:rFonts w:ascii="Times New Roman" w:hAnsi="Times New Roman" w:cs="Times New Roman"/>
          <w:sz w:val="24"/>
          <w:szCs w:val="24"/>
        </w:rPr>
        <w:t xml:space="preserve">                i </w:t>
      </w:r>
      <w:r w:rsidR="00573D65" w:rsidRPr="00A564D2">
        <w:rPr>
          <w:rFonts w:ascii="Times New Roman" w:hAnsi="Times New Roman" w:cs="Times New Roman"/>
          <w:sz w:val="24"/>
          <w:szCs w:val="24"/>
        </w:rPr>
        <w:t>limitów</w:t>
      </w:r>
      <w:r w:rsidR="004A4DCC" w:rsidRPr="00A564D2">
        <w:rPr>
          <w:rFonts w:ascii="Times New Roman" w:hAnsi="Times New Roman" w:cs="Times New Roman"/>
          <w:sz w:val="24"/>
          <w:szCs w:val="24"/>
        </w:rPr>
        <w:t>, na maksymalizowanie</w:t>
      </w:r>
      <w:r w:rsidR="00573D65" w:rsidRPr="00A564D2">
        <w:rPr>
          <w:rFonts w:ascii="Times New Roman" w:hAnsi="Times New Roman" w:cs="Times New Roman"/>
          <w:sz w:val="24"/>
          <w:szCs w:val="24"/>
        </w:rPr>
        <w:t xml:space="preserve"> zysk</w:t>
      </w:r>
      <w:r w:rsidR="004A4DCC" w:rsidRPr="00A564D2">
        <w:rPr>
          <w:rFonts w:ascii="Times New Roman" w:hAnsi="Times New Roman" w:cs="Times New Roman"/>
          <w:sz w:val="24"/>
          <w:szCs w:val="24"/>
        </w:rPr>
        <w:t>ów</w:t>
      </w:r>
      <w:r w:rsidR="00573D65" w:rsidRPr="00A564D2">
        <w:rPr>
          <w:rFonts w:ascii="Times New Roman" w:hAnsi="Times New Roman" w:cs="Times New Roman"/>
          <w:sz w:val="24"/>
          <w:szCs w:val="24"/>
        </w:rPr>
        <w:t xml:space="preserve"> z posiadanych aktywów, przy równoczesnym minimalizowaniu kosztów związanych z utrzymywaniem płynności</w:t>
      </w:r>
      <w:r w:rsidR="00430D06" w:rsidRPr="00A564D2">
        <w:rPr>
          <w:rFonts w:ascii="Times New Roman" w:hAnsi="Times New Roman" w:cs="Times New Roman"/>
          <w:sz w:val="24"/>
          <w:szCs w:val="24"/>
        </w:rPr>
        <w:t>;</w:t>
      </w:r>
    </w:p>
    <w:p w14:paraId="6CAD7815" w14:textId="77777777" w:rsidR="00573D65" w:rsidRPr="00A564D2" w:rsidRDefault="005E3560" w:rsidP="00993749">
      <w:pPr>
        <w:numPr>
          <w:ilvl w:val="0"/>
          <w:numId w:val="1"/>
        </w:numPr>
        <w:tabs>
          <w:tab w:val="num" w:pos="426"/>
        </w:tabs>
        <w:spacing w:after="0" w:line="264" w:lineRule="auto"/>
        <w:ind w:left="567" w:hanging="283"/>
        <w:jc w:val="both"/>
        <w:rPr>
          <w:rFonts w:ascii="Times New Roman" w:hAnsi="Times New Roman" w:cs="Times New Roman"/>
          <w:sz w:val="24"/>
          <w:szCs w:val="24"/>
        </w:rPr>
      </w:pPr>
      <w:r w:rsidRPr="00A564D2">
        <w:rPr>
          <w:rFonts w:ascii="Times New Roman" w:hAnsi="Times New Roman" w:cs="Times New Roman"/>
          <w:sz w:val="24"/>
          <w:szCs w:val="24"/>
        </w:rPr>
        <w:t>r</w:t>
      </w:r>
      <w:r w:rsidR="00573D65" w:rsidRPr="00A564D2">
        <w:rPr>
          <w:rFonts w:ascii="Times New Roman" w:hAnsi="Times New Roman" w:cs="Times New Roman"/>
          <w:sz w:val="24"/>
          <w:szCs w:val="24"/>
        </w:rPr>
        <w:t xml:space="preserve">ozwijanie działalności handlowej oraz inwestycyjnej w granicach zatwierdzonych przez Zarząd i Radę Nadzorczą, przy założeniu zachowania bezpieczeństwa finansowego Banku, postanowień </w:t>
      </w:r>
      <w:r w:rsidR="004A4DCC" w:rsidRPr="00A564D2">
        <w:rPr>
          <w:rFonts w:ascii="Times New Roman" w:hAnsi="Times New Roman" w:cs="Times New Roman"/>
          <w:sz w:val="24"/>
          <w:szCs w:val="24"/>
        </w:rPr>
        <w:t xml:space="preserve">rekomendacji </w:t>
      </w:r>
      <w:r w:rsidR="00573D65" w:rsidRPr="00A564D2">
        <w:rPr>
          <w:rFonts w:ascii="Times New Roman" w:hAnsi="Times New Roman" w:cs="Times New Roman"/>
          <w:sz w:val="24"/>
          <w:szCs w:val="24"/>
        </w:rPr>
        <w:t>nadzorczych oraz norm płynno</w:t>
      </w:r>
      <w:r w:rsidR="00430D06" w:rsidRPr="00A564D2">
        <w:rPr>
          <w:rFonts w:ascii="Times New Roman" w:hAnsi="Times New Roman" w:cs="Times New Roman"/>
          <w:sz w:val="24"/>
          <w:szCs w:val="24"/>
        </w:rPr>
        <w:t>ści i adekwatności kapitałowej;</w:t>
      </w:r>
    </w:p>
    <w:p w14:paraId="55E4AB79" w14:textId="77777777" w:rsidR="00573D65" w:rsidRPr="00A564D2" w:rsidRDefault="005E3560" w:rsidP="00993749">
      <w:pPr>
        <w:numPr>
          <w:ilvl w:val="0"/>
          <w:numId w:val="1"/>
        </w:numPr>
        <w:tabs>
          <w:tab w:val="num" w:pos="426"/>
        </w:tabs>
        <w:spacing w:after="0" w:line="264" w:lineRule="auto"/>
        <w:ind w:left="567" w:hanging="283"/>
        <w:jc w:val="both"/>
        <w:rPr>
          <w:rFonts w:ascii="Times New Roman" w:hAnsi="Times New Roman" w:cs="Times New Roman"/>
          <w:sz w:val="24"/>
          <w:szCs w:val="24"/>
        </w:rPr>
      </w:pPr>
      <w:r w:rsidRPr="00A564D2">
        <w:rPr>
          <w:rFonts w:ascii="Times New Roman" w:hAnsi="Times New Roman" w:cs="Times New Roman"/>
          <w:sz w:val="24"/>
          <w:szCs w:val="24"/>
        </w:rPr>
        <w:t>z</w:t>
      </w:r>
      <w:r w:rsidR="00573D65" w:rsidRPr="00A564D2">
        <w:rPr>
          <w:rFonts w:ascii="Times New Roman" w:hAnsi="Times New Roman" w:cs="Times New Roman"/>
          <w:sz w:val="24"/>
          <w:szCs w:val="24"/>
        </w:rPr>
        <w:t>większanie potencjału operacyjnego na rynku międzybankowym w celu efektywnego  zarządzania kapitałem i płynnością Banku, w tym zapobiegania stratom w wyniku ponoszenia dodatkowych kosztów związanych z utrzymaniem płynności oraz wykorzystania możliwości osiągnięcia zysku w ramach przyjętych założeń i limitów</w:t>
      </w:r>
      <w:r w:rsidR="00430D06" w:rsidRPr="00A564D2">
        <w:rPr>
          <w:rFonts w:ascii="Times New Roman" w:hAnsi="Times New Roman" w:cs="Times New Roman"/>
          <w:sz w:val="24"/>
          <w:szCs w:val="24"/>
        </w:rPr>
        <w:t>;</w:t>
      </w:r>
      <w:r w:rsidR="00573D65" w:rsidRPr="00A564D2">
        <w:rPr>
          <w:rFonts w:ascii="Times New Roman" w:hAnsi="Times New Roman" w:cs="Times New Roman"/>
          <w:sz w:val="24"/>
          <w:szCs w:val="24"/>
        </w:rPr>
        <w:t xml:space="preserve"> </w:t>
      </w:r>
    </w:p>
    <w:p w14:paraId="409325E3" w14:textId="77777777" w:rsidR="00573D65" w:rsidRPr="00A564D2" w:rsidRDefault="005E3560" w:rsidP="00993749">
      <w:pPr>
        <w:numPr>
          <w:ilvl w:val="0"/>
          <w:numId w:val="1"/>
        </w:numPr>
        <w:tabs>
          <w:tab w:val="num" w:pos="426"/>
        </w:tabs>
        <w:spacing w:after="0" w:line="264" w:lineRule="auto"/>
        <w:ind w:left="567" w:hanging="283"/>
        <w:jc w:val="both"/>
        <w:rPr>
          <w:rFonts w:ascii="Times New Roman" w:hAnsi="Times New Roman" w:cs="Times New Roman"/>
          <w:sz w:val="24"/>
          <w:szCs w:val="24"/>
        </w:rPr>
      </w:pPr>
      <w:r w:rsidRPr="00A564D2">
        <w:rPr>
          <w:rFonts w:ascii="Times New Roman" w:hAnsi="Times New Roman" w:cs="Times New Roman"/>
          <w:sz w:val="24"/>
          <w:szCs w:val="24"/>
        </w:rPr>
        <w:t>f</w:t>
      </w:r>
      <w:r w:rsidR="00573D65" w:rsidRPr="00A564D2">
        <w:rPr>
          <w:rFonts w:ascii="Times New Roman" w:hAnsi="Times New Roman" w:cs="Times New Roman"/>
          <w:sz w:val="24"/>
          <w:szCs w:val="24"/>
        </w:rPr>
        <w:t>inansowanie należności Banku st</w:t>
      </w:r>
      <w:r w:rsidR="00430D06" w:rsidRPr="00A564D2">
        <w:rPr>
          <w:rFonts w:ascii="Times New Roman" w:hAnsi="Times New Roman" w:cs="Times New Roman"/>
          <w:sz w:val="24"/>
          <w:szCs w:val="24"/>
        </w:rPr>
        <w:t>abilną częścią bazy depozytowej;</w:t>
      </w:r>
    </w:p>
    <w:p w14:paraId="682142A4" w14:textId="77777777" w:rsidR="00573D65" w:rsidRPr="00A564D2" w:rsidRDefault="005E3560" w:rsidP="00993749">
      <w:pPr>
        <w:numPr>
          <w:ilvl w:val="0"/>
          <w:numId w:val="1"/>
        </w:numPr>
        <w:tabs>
          <w:tab w:val="num" w:pos="426"/>
        </w:tabs>
        <w:spacing w:after="0" w:line="264" w:lineRule="auto"/>
        <w:ind w:left="567" w:hanging="283"/>
        <w:jc w:val="both"/>
        <w:rPr>
          <w:rFonts w:ascii="Times New Roman" w:hAnsi="Times New Roman" w:cs="Times New Roman"/>
          <w:sz w:val="24"/>
          <w:szCs w:val="24"/>
        </w:rPr>
      </w:pPr>
      <w:r w:rsidRPr="00A564D2">
        <w:rPr>
          <w:rFonts w:ascii="Times New Roman" w:hAnsi="Times New Roman" w:cs="Times New Roman"/>
          <w:sz w:val="24"/>
          <w:szCs w:val="24"/>
        </w:rPr>
        <w:t>w</w:t>
      </w:r>
      <w:r w:rsidR="00573D65" w:rsidRPr="00A564D2">
        <w:rPr>
          <w:rFonts w:ascii="Times New Roman" w:hAnsi="Times New Roman" w:cs="Times New Roman"/>
          <w:sz w:val="24"/>
          <w:szCs w:val="24"/>
        </w:rPr>
        <w:t>drażanie rozwiązań wspomagających zarządzanie w sytuacjach kryzysowych zagrożenia płynności</w:t>
      </w:r>
      <w:r w:rsidR="00430D06" w:rsidRPr="00A564D2">
        <w:rPr>
          <w:rFonts w:ascii="Times New Roman" w:hAnsi="Times New Roman" w:cs="Times New Roman"/>
          <w:sz w:val="24"/>
          <w:szCs w:val="24"/>
        </w:rPr>
        <w:t>;</w:t>
      </w:r>
    </w:p>
    <w:p w14:paraId="5F066ADD" w14:textId="77777777" w:rsidR="00573D65" w:rsidRPr="00A564D2" w:rsidRDefault="005E3560" w:rsidP="00993749">
      <w:pPr>
        <w:numPr>
          <w:ilvl w:val="0"/>
          <w:numId w:val="1"/>
        </w:numPr>
        <w:tabs>
          <w:tab w:val="clear" w:pos="720"/>
          <w:tab w:val="num" w:pos="426"/>
        </w:tabs>
        <w:spacing w:after="0" w:line="264" w:lineRule="auto"/>
        <w:ind w:left="567" w:hanging="283"/>
        <w:jc w:val="both"/>
        <w:rPr>
          <w:rFonts w:ascii="Times New Roman" w:hAnsi="Times New Roman" w:cs="Times New Roman"/>
          <w:bCs/>
          <w:sz w:val="24"/>
          <w:szCs w:val="24"/>
        </w:rPr>
      </w:pPr>
      <w:r w:rsidRPr="00A564D2">
        <w:rPr>
          <w:rFonts w:ascii="Times New Roman" w:hAnsi="Times New Roman" w:cs="Times New Roman"/>
          <w:sz w:val="24"/>
          <w:szCs w:val="24"/>
        </w:rPr>
        <w:t>p</w:t>
      </w:r>
      <w:r w:rsidR="00573D65" w:rsidRPr="00A564D2">
        <w:rPr>
          <w:rFonts w:ascii="Times New Roman" w:hAnsi="Times New Roman" w:cs="Times New Roman"/>
          <w:sz w:val="24"/>
          <w:szCs w:val="24"/>
        </w:rPr>
        <w:t>rzygotowanie Banku do nowych wymagań w zakresie płynności</w:t>
      </w:r>
      <w:r w:rsidR="00430D06" w:rsidRPr="00A564D2">
        <w:rPr>
          <w:rFonts w:ascii="Times New Roman" w:hAnsi="Times New Roman" w:cs="Times New Roman"/>
          <w:sz w:val="24"/>
          <w:szCs w:val="24"/>
        </w:rPr>
        <w:t>.</w:t>
      </w:r>
      <w:r w:rsidR="00573D65" w:rsidRPr="00A564D2">
        <w:rPr>
          <w:rFonts w:ascii="Times New Roman" w:hAnsi="Times New Roman" w:cs="Times New Roman"/>
          <w:sz w:val="24"/>
          <w:szCs w:val="24"/>
        </w:rPr>
        <w:t xml:space="preserve"> </w:t>
      </w:r>
    </w:p>
    <w:p w14:paraId="143E7F99" w14:textId="77777777" w:rsidR="00573D65" w:rsidRPr="000E3272" w:rsidRDefault="00573D65" w:rsidP="00174CA0">
      <w:pPr>
        <w:spacing w:after="0" w:line="264" w:lineRule="auto"/>
        <w:rPr>
          <w:rFonts w:ascii="Times New Roman" w:hAnsi="Times New Roman" w:cs="Times New Roman"/>
          <w:color w:val="FF0000"/>
          <w:sz w:val="24"/>
          <w:szCs w:val="24"/>
        </w:rPr>
      </w:pPr>
    </w:p>
    <w:p w14:paraId="3CB1C5DB" w14:textId="77777777" w:rsidR="00573D65" w:rsidRPr="00402443" w:rsidRDefault="000258AD" w:rsidP="00174CA0">
      <w:pPr>
        <w:spacing w:after="0" w:line="264" w:lineRule="auto"/>
        <w:rPr>
          <w:rFonts w:ascii="Times New Roman" w:hAnsi="Times New Roman" w:cs="Times New Roman"/>
          <w:sz w:val="24"/>
          <w:szCs w:val="24"/>
        </w:rPr>
      </w:pPr>
      <w:r w:rsidRPr="00402443">
        <w:rPr>
          <w:rFonts w:ascii="Times New Roman" w:hAnsi="Times New Roman" w:cs="Times New Roman"/>
          <w:sz w:val="24"/>
          <w:szCs w:val="24"/>
        </w:rPr>
        <w:t xml:space="preserve">Na koniec </w:t>
      </w:r>
      <w:r w:rsidR="00F44B5F" w:rsidRPr="00402443">
        <w:rPr>
          <w:rFonts w:ascii="Times New Roman" w:hAnsi="Times New Roman" w:cs="Times New Roman"/>
          <w:sz w:val="24"/>
          <w:szCs w:val="24"/>
        </w:rPr>
        <w:t>20</w:t>
      </w:r>
      <w:r w:rsidR="00A564D2" w:rsidRPr="00402443">
        <w:rPr>
          <w:rFonts w:ascii="Times New Roman" w:hAnsi="Times New Roman" w:cs="Times New Roman"/>
          <w:sz w:val="24"/>
          <w:szCs w:val="24"/>
        </w:rPr>
        <w:t>20</w:t>
      </w:r>
      <w:r w:rsidR="00430D06" w:rsidRPr="00402443">
        <w:rPr>
          <w:rFonts w:ascii="Times New Roman" w:hAnsi="Times New Roman" w:cs="Times New Roman"/>
          <w:sz w:val="24"/>
          <w:szCs w:val="24"/>
        </w:rPr>
        <w:t xml:space="preserve"> </w:t>
      </w:r>
      <w:r w:rsidR="005E3560" w:rsidRPr="00402443">
        <w:rPr>
          <w:rFonts w:ascii="Times New Roman" w:hAnsi="Times New Roman" w:cs="Times New Roman"/>
          <w:sz w:val="24"/>
          <w:szCs w:val="24"/>
        </w:rPr>
        <w:t xml:space="preserve">r. cele </w:t>
      </w:r>
      <w:r w:rsidR="00174CA0" w:rsidRPr="00402443">
        <w:rPr>
          <w:rFonts w:ascii="Times New Roman" w:hAnsi="Times New Roman" w:cs="Times New Roman"/>
          <w:sz w:val="24"/>
          <w:szCs w:val="24"/>
        </w:rPr>
        <w:t>strategiczne zostały osiągnięte</w:t>
      </w:r>
      <w:r w:rsidR="00430D06" w:rsidRPr="00402443">
        <w:rPr>
          <w:rFonts w:ascii="Times New Roman" w:hAnsi="Times New Roman" w:cs="Times New Roman"/>
          <w:sz w:val="24"/>
          <w:szCs w:val="24"/>
        </w:rPr>
        <w:t>, co obrazuje poniższa tabela.</w:t>
      </w:r>
    </w:p>
    <w:p w14:paraId="0B004205" w14:textId="77777777" w:rsidR="00F9182B" w:rsidRPr="000E3272" w:rsidRDefault="00F9182B" w:rsidP="00174CA0">
      <w:pPr>
        <w:spacing w:after="0" w:line="264" w:lineRule="auto"/>
        <w:rPr>
          <w:rFonts w:ascii="Times New Roman" w:hAnsi="Times New Roman" w:cs="Times New Roman"/>
          <w:color w:val="FF0000"/>
          <w:sz w:val="24"/>
          <w:szCs w:val="24"/>
        </w:rPr>
      </w:pPr>
    </w:p>
    <w:p w14:paraId="23F17D07" w14:textId="77777777" w:rsidR="00F9182B" w:rsidRPr="000E3272" w:rsidRDefault="00F9182B" w:rsidP="00174CA0">
      <w:pPr>
        <w:spacing w:after="0" w:line="264" w:lineRule="auto"/>
        <w:rPr>
          <w:rFonts w:ascii="Times New Roman" w:hAnsi="Times New Roman" w:cs="Times New Roman"/>
          <w:color w:val="FF0000"/>
          <w:sz w:val="24"/>
          <w:szCs w:val="24"/>
        </w:rPr>
      </w:pPr>
    </w:p>
    <w:p w14:paraId="02564CC3" w14:textId="77777777" w:rsidR="008D144F" w:rsidRPr="000E3272" w:rsidRDefault="008D144F" w:rsidP="00174CA0">
      <w:pPr>
        <w:spacing w:after="0" w:line="264" w:lineRule="auto"/>
        <w:rPr>
          <w:rFonts w:ascii="Times New Roman" w:hAnsi="Times New Roman" w:cs="Times New Roman"/>
          <w:color w:val="FF0000"/>
          <w:sz w:val="24"/>
          <w:szCs w:val="24"/>
        </w:rPr>
      </w:pPr>
    </w:p>
    <w:p w14:paraId="43CB98CD" w14:textId="77777777" w:rsidR="008D144F" w:rsidRPr="000E3272" w:rsidRDefault="008D144F" w:rsidP="00174CA0">
      <w:pPr>
        <w:spacing w:after="0" w:line="264" w:lineRule="auto"/>
        <w:rPr>
          <w:rFonts w:ascii="Times New Roman" w:hAnsi="Times New Roman" w:cs="Times New Roman"/>
          <w:color w:val="FF0000"/>
          <w:sz w:val="24"/>
          <w:szCs w:val="24"/>
        </w:rPr>
      </w:pPr>
    </w:p>
    <w:p w14:paraId="74B1C0A5" w14:textId="77777777" w:rsidR="008D144F" w:rsidRPr="000E3272" w:rsidRDefault="008D144F" w:rsidP="00174CA0">
      <w:pPr>
        <w:spacing w:after="0" w:line="264" w:lineRule="auto"/>
        <w:rPr>
          <w:rFonts w:ascii="Times New Roman" w:hAnsi="Times New Roman" w:cs="Times New Roman"/>
          <w:color w:val="FF0000"/>
          <w:sz w:val="24"/>
          <w:szCs w:val="24"/>
        </w:rPr>
      </w:pPr>
    </w:p>
    <w:p w14:paraId="6238786B" w14:textId="77777777" w:rsidR="00430D06" w:rsidRPr="000E3272" w:rsidRDefault="00430D06" w:rsidP="00174CA0">
      <w:pPr>
        <w:spacing w:after="0" w:line="264" w:lineRule="auto"/>
        <w:rPr>
          <w:rFonts w:ascii="Times New Roman" w:hAnsi="Times New Roman" w:cs="Times New Roman"/>
          <w:color w:val="FF0000"/>
          <w:sz w:val="24"/>
          <w:szCs w:val="24"/>
        </w:rPr>
      </w:pPr>
    </w:p>
    <w:p w14:paraId="2B709217" w14:textId="77777777" w:rsidR="006C34F1" w:rsidRPr="00A564D2" w:rsidRDefault="006C34F1" w:rsidP="00174CA0">
      <w:pPr>
        <w:spacing w:after="0" w:line="264" w:lineRule="auto"/>
        <w:rPr>
          <w:rFonts w:ascii="Times New Roman" w:hAnsi="Times New Roman" w:cs="Times New Roman"/>
          <w:i/>
          <w:sz w:val="24"/>
          <w:szCs w:val="24"/>
        </w:rPr>
      </w:pPr>
      <w:r w:rsidRPr="00A564D2">
        <w:rPr>
          <w:rFonts w:ascii="Times New Roman" w:hAnsi="Times New Roman" w:cs="Times New Roman"/>
          <w:i/>
          <w:sz w:val="24"/>
          <w:szCs w:val="24"/>
        </w:rPr>
        <w:lastRenderedPageBreak/>
        <w:t xml:space="preserve">Tabela – cele strategiczne w zakresie ryzyka płynności </w:t>
      </w:r>
      <w:r w:rsidR="00174CA0" w:rsidRPr="00A564D2">
        <w:rPr>
          <w:rFonts w:ascii="Times New Roman" w:hAnsi="Times New Roman" w:cs="Times New Roman"/>
          <w:i/>
          <w:sz w:val="24"/>
          <w:szCs w:val="24"/>
        </w:rPr>
        <w:t xml:space="preserve">(dane w </w:t>
      </w:r>
      <w:r w:rsidR="009444C7" w:rsidRPr="00A564D2">
        <w:rPr>
          <w:rFonts w:ascii="Times New Roman" w:hAnsi="Times New Roman" w:cs="Times New Roman"/>
          <w:i/>
          <w:sz w:val="24"/>
          <w:szCs w:val="24"/>
        </w:rPr>
        <w:t>tys. zł</w:t>
      </w:r>
      <w:r w:rsidR="00174CA0" w:rsidRPr="00A564D2">
        <w:rPr>
          <w:rFonts w:ascii="Times New Roman" w:hAnsi="Times New Roman" w:cs="Times New Roman"/>
          <w:i/>
          <w:sz w:val="24"/>
          <w:szCs w:val="24"/>
        </w:rPr>
        <w:t>)</w:t>
      </w:r>
    </w:p>
    <w:tbl>
      <w:tblPr>
        <w:tblStyle w:val="Tabela-Siatka"/>
        <w:tblW w:w="0" w:type="auto"/>
        <w:tblLook w:val="04A0" w:firstRow="1" w:lastRow="0" w:firstColumn="1" w:lastColumn="0" w:noHBand="0" w:noVBand="1"/>
      </w:tblPr>
      <w:tblGrid>
        <w:gridCol w:w="666"/>
        <w:gridCol w:w="3199"/>
        <w:gridCol w:w="2130"/>
        <w:gridCol w:w="1640"/>
        <w:gridCol w:w="1426"/>
      </w:tblGrid>
      <w:tr w:rsidR="00A564D2" w:rsidRPr="00A564D2" w14:paraId="175B1436" w14:textId="77777777" w:rsidTr="00174CA0">
        <w:tc>
          <w:tcPr>
            <w:tcW w:w="666" w:type="dxa"/>
          </w:tcPr>
          <w:p w14:paraId="18A14171"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L.p.</w:t>
            </w:r>
          </w:p>
        </w:tc>
        <w:tc>
          <w:tcPr>
            <w:tcW w:w="3199" w:type="dxa"/>
          </w:tcPr>
          <w:p w14:paraId="7D5851A8"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Nazwa wskaźnika</w:t>
            </w:r>
          </w:p>
        </w:tc>
        <w:tc>
          <w:tcPr>
            <w:tcW w:w="2130" w:type="dxa"/>
          </w:tcPr>
          <w:p w14:paraId="4041906B"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Wartość progowa</w:t>
            </w:r>
          </w:p>
        </w:tc>
        <w:tc>
          <w:tcPr>
            <w:tcW w:w="1640" w:type="dxa"/>
          </w:tcPr>
          <w:p w14:paraId="2E4E3269" w14:textId="77777777" w:rsidR="00174CA0" w:rsidRPr="00A564D2" w:rsidRDefault="000258AD" w:rsidP="00A564D2">
            <w:pPr>
              <w:spacing w:line="264" w:lineRule="auto"/>
              <w:rPr>
                <w:rFonts w:ascii="Times New Roman" w:hAnsi="Times New Roman" w:cs="Times New Roman"/>
                <w:sz w:val="20"/>
                <w:szCs w:val="20"/>
              </w:rPr>
            </w:pPr>
            <w:r w:rsidRPr="00A564D2">
              <w:rPr>
                <w:rFonts w:ascii="Times New Roman" w:hAnsi="Times New Roman" w:cs="Times New Roman"/>
                <w:sz w:val="20"/>
                <w:szCs w:val="20"/>
              </w:rPr>
              <w:t>Wartość na dzień 31.12.</w:t>
            </w:r>
            <w:r w:rsidR="00F44B5F" w:rsidRPr="00A564D2">
              <w:rPr>
                <w:rFonts w:ascii="Times New Roman" w:hAnsi="Times New Roman" w:cs="Times New Roman"/>
                <w:sz w:val="20"/>
                <w:szCs w:val="20"/>
              </w:rPr>
              <w:t>20</w:t>
            </w:r>
            <w:r w:rsidR="00A564D2" w:rsidRPr="00A564D2">
              <w:rPr>
                <w:rFonts w:ascii="Times New Roman" w:hAnsi="Times New Roman" w:cs="Times New Roman"/>
                <w:sz w:val="20"/>
                <w:szCs w:val="20"/>
              </w:rPr>
              <w:t>20</w:t>
            </w:r>
            <w:r w:rsidR="00654E27" w:rsidRPr="00A564D2">
              <w:rPr>
                <w:rFonts w:ascii="Times New Roman" w:hAnsi="Times New Roman" w:cs="Times New Roman"/>
                <w:sz w:val="20"/>
                <w:szCs w:val="20"/>
              </w:rPr>
              <w:t xml:space="preserve"> </w:t>
            </w:r>
            <w:r w:rsidR="00174CA0" w:rsidRPr="00A564D2">
              <w:rPr>
                <w:rFonts w:ascii="Times New Roman" w:hAnsi="Times New Roman" w:cs="Times New Roman"/>
                <w:sz w:val="20"/>
                <w:szCs w:val="20"/>
              </w:rPr>
              <w:t>r.</w:t>
            </w:r>
          </w:p>
        </w:tc>
        <w:tc>
          <w:tcPr>
            <w:tcW w:w="1426" w:type="dxa"/>
          </w:tcPr>
          <w:p w14:paraId="08F0C24F"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 xml:space="preserve">Osiągnięcie celu strategicznego </w:t>
            </w:r>
          </w:p>
        </w:tc>
      </w:tr>
      <w:tr w:rsidR="00A564D2" w:rsidRPr="00A564D2" w14:paraId="51D4A1B1" w14:textId="77777777" w:rsidTr="00174CA0">
        <w:tc>
          <w:tcPr>
            <w:tcW w:w="666" w:type="dxa"/>
          </w:tcPr>
          <w:p w14:paraId="1C232859"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1</w:t>
            </w:r>
          </w:p>
        </w:tc>
        <w:tc>
          <w:tcPr>
            <w:tcW w:w="3199" w:type="dxa"/>
          </w:tcPr>
          <w:p w14:paraId="0BCF91D0"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Miara LCR</w:t>
            </w:r>
          </w:p>
        </w:tc>
        <w:tc>
          <w:tcPr>
            <w:tcW w:w="2130" w:type="dxa"/>
          </w:tcPr>
          <w:p w14:paraId="351983DF" w14:textId="77777777" w:rsidR="00174CA0" w:rsidRPr="00A564D2" w:rsidRDefault="00174CA0" w:rsidP="00F44B5F">
            <w:pPr>
              <w:spacing w:line="264" w:lineRule="auto"/>
              <w:rPr>
                <w:rFonts w:ascii="Times New Roman" w:hAnsi="Times New Roman" w:cs="Times New Roman"/>
                <w:sz w:val="20"/>
                <w:szCs w:val="20"/>
              </w:rPr>
            </w:pPr>
            <w:r w:rsidRPr="00A564D2">
              <w:rPr>
                <w:rFonts w:ascii="Times New Roman" w:hAnsi="Times New Roman" w:cs="Times New Roman"/>
                <w:sz w:val="20"/>
                <w:szCs w:val="20"/>
              </w:rPr>
              <w:t>Zgodnie z obowiązującymi przepisami prawa (</w:t>
            </w:r>
            <w:r w:rsidR="00F44B5F" w:rsidRPr="00A564D2">
              <w:rPr>
                <w:rFonts w:ascii="Times New Roman" w:hAnsi="Times New Roman" w:cs="Times New Roman"/>
                <w:sz w:val="20"/>
                <w:szCs w:val="20"/>
              </w:rPr>
              <w:t>100%</w:t>
            </w:r>
            <w:r w:rsidRPr="00A564D2">
              <w:rPr>
                <w:rFonts w:ascii="Times New Roman" w:hAnsi="Times New Roman" w:cs="Times New Roman"/>
                <w:sz w:val="20"/>
                <w:szCs w:val="20"/>
              </w:rPr>
              <w:t>)</w:t>
            </w:r>
          </w:p>
        </w:tc>
        <w:tc>
          <w:tcPr>
            <w:tcW w:w="1640" w:type="dxa"/>
          </w:tcPr>
          <w:p w14:paraId="2EE4DB67" w14:textId="77777777" w:rsidR="00174CA0" w:rsidRPr="00A564D2" w:rsidRDefault="00A564D2"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508,66</w:t>
            </w:r>
            <w:r w:rsidR="00F44B5F" w:rsidRPr="00A564D2">
              <w:rPr>
                <w:rFonts w:ascii="Times New Roman" w:hAnsi="Times New Roman" w:cs="Times New Roman"/>
                <w:sz w:val="20"/>
                <w:szCs w:val="20"/>
              </w:rPr>
              <w:t xml:space="preserve">% </w:t>
            </w:r>
          </w:p>
        </w:tc>
        <w:tc>
          <w:tcPr>
            <w:tcW w:w="1426" w:type="dxa"/>
          </w:tcPr>
          <w:p w14:paraId="1CC1CCA5"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 xml:space="preserve">cel osiągnięty </w:t>
            </w:r>
          </w:p>
        </w:tc>
      </w:tr>
      <w:tr w:rsidR="00A564D2" w:rsidRPr="00A564D2" w14:paraId="4818759C" w14:textId="77777777" w:rsidTr="00174CA0">
        <w:tc>
          <w:tcPr>
            <w:tcW w:w="666" w:type="dxa"/>
          </w:tcPr>
          <w:p w14:paraId="654BF5A4" w14:textId="77777777" w:rsidR="00174CA0" w:rsidRPr="00A564D2" w:rsidRDefault="00F44B5F"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2</w:t>
            </w:r>
            <w:r w:rsidR="00174CA0" w:rsidRPr="00A564D2">
              <w:rPr>
                <w:rFonts w:ascii="Times New Roman" w:hAnsi="Times New Roman" w:cs="Times New Roman"/>
                <w:sz w:val="20"/>
                <w:szCs w:val="20"/>
              </w:rPr>
              <w:t>.</w:t>
            </w:r>
          </w:p>
        </w:tc>
        <w:tc>
          <w:tcPr>
            <w:tcW w:w="3199" w:type="dxa"/>
          </w:tcPr>
          <w:p w14:paraId="2E1B7576"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Nadzorcza miara płynności M3 współczynnik pokrycia aktywów niepłynnych funduszami własnymi</w:t>
            </w:r>
          </w:p>
        </w:tc>
        <w:tc>
          <w:tcPr>
            <w:tcW w:w="2130" w:type="dxa"/>
          </w:tcPr>
          <w:p w14:paraId="6E760462"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Min. 1</w:t>
            </w:r>
          </w:p>
        </w:tc>
        <w:tc>
          <w:tcPr>
            <w:tcW w:w="1640" w:type="dxa"/>
          </w:tcPr>
          <w:p w14:paraId="40931F9C" w14:textId="77777777" w:rsidR="00174CA0" w:rsidRPr="00A564D2" w:rsidRDefault="00F44B5F" w:rsidP="00F13BF0">
            <w:pPr>
              <w:spacing w:line="264" w:lineRule="auto"/>
              <w:rPr>
                <w:rFonts w:ascii="Times New Roman" w:hAnsi="Times New Roman" w:cs="Times New Roman"/>
                <w:sz w:val="20"/>
                <w:szCs w:val="20"/>
              </w:rPr>
            </w:pPr>
            <w:r w:rsidRPr="00A564D2">
              <w:rPr>
                <w:rFonts w:ascii="Times New Roman" w:hAnsi="Times New Roman" w:cs="Times New Roman"/>
                <w:sz w:val="20"/>
                <w:szCs w:val="20"/>
              </w:rPr>
              <w:t>6,</w:t>
            </w:r>
            <w:r w:rsidR="007815B4">
              <w:rPr>
                <w:rFonts w:ascii="Times New Roman" w:hAnsi="Times New Roman" w:cs="Times New Roman"/>
                <w:sz w:val="20"/>
                <w:szCs w:val="20"/>
              </w:rPr>
              <w:t>23</w:t>
            </w:r>
          </w:p>
        </w:tc>
        <w:tc>
          <w:tcPr>
            <w:tcW w:w="1426" w:type="dxa"/>
          </w:tcPr>
          <w:p w14:paraId="67306ED3"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cel osiągnięty</w:t>
            </w:r>
          </w:p>
        </w:tc>
      </w:tr>
      <w:tr w:rsidR="00A564D2" w:rsidRPr="00A564D2" w14:paraId="0C25813A" w14:textId="77777777" w:rsidTr="00174CA0">
        <w:tc>
          <w:tcPr>
            <w:tcW w:w="666" w:type="dxa"/>
          </w:tcPr>
          <w:p w14:paraId="6D64BD28" w14:textId="77777777" w:rsidR="00174CA0" w:rsidRPr="00A564D2" w:rsidRDefault="00F44B5F"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3</w:t>
            </w:r>
            <w:r w:rsidR="00174CA0" w:rsidRPr="00A564D2">
              <w:rPr>
                <w:rFonts w:ascii="Times New Roman" w:hAnsi="Times New Roman" w:cs="Times New Roman"/>
                <w:sz w:val="20"/>
                <w:szCs w:val="20"/>
              </w:rPr>
              <w:t>.</w:t>
            </w:r>
          </w:p>
        </w:tc>
        <w:tc>
          <w:tcPr>
            <w:tcW w:w="3199" w:type="dxa"/>
          </w:tcPr>
          <w:p w14:paraId="4CB99F6B"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Nadzorcza miara płynności M4 współczynnik pokrycia aktywów niepłynnych oraz aktywów o ograniczonej płynności funduszami własnymi i środkami obcymi</w:t>
            </w:r>
          </w:p>
        </w:tc>
        <w:tc>
          <w:tcPr>
            <w:tcW w:w="2130" w:type="dxa"/>
          </w:tcPr>
          <w:p w14:paraId="08259754"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Min. 1</w:t>
            </w:r>
          </w:p>
        </w:tc>
        <w:tc>
          <w:tcPr>
            <w:tcW w:w="1640" w:type="dxa"/>
          </w:tcPr>
          <w:p w14:paraId="252B219F" w14:textId="77777777" w:rsidR="00174CA0" w:rsidRPr="00A564D2" w:rsidRDefault="00F44B5F" w:rsidP="00F13BF0">
            <w:pPr>
              <w:spacing w:line="264" w:lineRule="auto"/>
              <w:rPr>
                <w:rFonts w:ascii="Times New Roman" w:hAnsi="Times New Roman" w:cs="Times New Roman"/>
                <w:sz w:val="20"/>
                <w:szCs w:val="20"/>
              </w:rPr>
            </w:pPr>
            <w:r w:rsidRPr="00A564D2">
              <w:rPr>
                <w:rFonts w:ascii="Times New Roman" w:hAnsi="Times New Roman" w:cs="Times New Roman"/>
                <w:sz w:val="20"/>
                <w:szCs w:val="20"/>
              </w:rPr>
              <w:t>1</w:t>
            </w:r>
            <w:r w:rsidR="00A564D2" w:rsidRPr="00A564D2">
              <w:rPr>
                <w:rFonts w:ascii="Times New Roman" w:hAnsi="Times New Roman" w:cs="Times New Roman"/>
                <w:sz w:val="20"/>
                <w:szCs w:val="20"/>
              </w:rPr>
              <w:t xml:space="preserve">,12 </w:t>
            </w:r>
          </w:p>
        </w:tc>
        <w:tc>
          <w:tcPr>
            <w:tcW w:w="1426" w:type="dxa"/>
          </w:tcPr>
          <w:p w14:paraId="02B59BC5"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cel osiągnięty</w:t>
            </w:r>
          </w:p>
        </w:tc>
      </w:tr>
      <w:tr w:rsidR="00A564D2" w:rsidRPr="00A564D2" w14:paraId="5B339D32" w14:textId="77777777" w:rsidTr="00174CA0">
        <w:tc>
          <w:tcPr>
            <w:tcW w:w="666" w:type="dxa"/>
          </w:tcPr>
          <w:p w14:paraId="15DB4B71" w14:textId="77777777" w:rsidR="00174CA0" w:rsidRPr="00A564D2" w:rsidRDefault="00F44B5F"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4</w:t>
            </w:r>
            <w:r w:rsidR="00174CA0" w:rsidRPr="00A564D2">
              <w:rPr>
                <w:rFonts w:ascii="Times New Roman" w:hAnsi="Times New Roman" w:cs="Times New Roman"/>
                <w:sz w:val="20"/>
                <w:szCs w:val="20"/>
              </w:rPr>
              <w:t>.</w:t>
            </w:r>
          </w:p>
        </w:tc>
        <w:tc>
          <w:tcPr>
            <w:tcW w:w="3199" w:type="dxa"/>
          </w:tcPr>
          <w:p w14:paraId="18E9EF75" w14:textId="77777777" w:rsidR="00174CA0" w:rsidRPr="00A564D2" w:rsidRDefault="007E4EAC" w:rsidP="00174CA0">
            <w:pPr>
              <w:tabs>
                <w:tab w:val="num" w:pos="426"/>
              </w:tabs>
              <w:spacing w:line="264" w:lineRule="auto"/>
              <w:jc w:val="both"/>
              <w:rPr>
                <w:rFonts w:ascii="Times New Roman" w:hAnsi="Times New Roman" w:cs="Times New Roman"/>
                <w:sz w:val="20"/>
                <w:szCs w:val="20"/>
              </w:rPr>
            </w:pPr>
            <w:r w:rsidRPr="00A564D2">
              <w:rPr>
                <w:rFonts w:ascii="Times New Roman" w:hAnsi="Times New Roman" w:cs="Times New Roman"/>
                <w:sz w:val="20"/>
                <w:szCs w:val="20"/>
              </w:rPr>
              <w:t>P</w:t>
            </w:r>
            <w:r w:rsidR="00174CA0" w:rsidRPr="00A564D2">
              <w:rPr>
                <w:rFonts w:ascii="Times New Roman" w:hAnsi="Times New Roman" w:cs="Times New Roman"/>
                <w:sz w:val="20"/>
                <w:szCs w:val="20"/>
              </w:rPr>
              <w:t>ożyczki i kredyty n</w:t>
            </w:r>
            <w:r w:rsidR="009444C7" w:rsidRPr="00A564D2">
              <w:rPr>
                <w:rFonts w:ascii="Times New Roman" w:hAnsi="Times New Roman" w:cs="Times New Roman"/>
                <w:sz w:val="20"/>
                <w:szCs w:val="20"/>
              </w:rPr>
              <w:t xml:space="preserve">etto / depozyty ogółem  </w:t>
            </w:r>
          </w:p>
          <w:p w14:paraId="619415AF" w14:textId="77777777" w:rsidR="00174CA0" w:rsidRPr="00A564D2" w:rsidRDefault="00174CA0" w:rsidP="00174CA0">
            <w:pPr>
              <w:spacing w:line="264" w:lineRule="auto"/>
              <w:ind w:left="426"/>
              <w:jc w:val="both"/>
              <w:rPr>
                <w:rFonts w:ascii="Times New Roman" w:hAnsi="Times New Roman" w:cs="Times New Roman"/>
                <w:sz w:val="20"/>
                <w:szCs w:val="20"/>
              </w:rPr>
            </w:pPr>
          </w:p>
        </w:tc>
        <w:tc>
          <w:tcPr>
            <w:tcW w:w="2130" w:type="dxa"/>
          </w:tcPr>
          <w:p w14:paraId="0910C949"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 xml:space="preserve">Max </w:t>
            </w:r>
            <w:r w:rsidR="009444C7" w:rsidRPr="00A564D2">
              <w:rPr>
                <w:rFonts w:ascii="Times New Roman" w:hAnsi="Times New Roman" w:cs="Times New Roman"/>
                <w:sz w:val="20"/>
                <w:szCs w:val="20"/>
              </w:rPr>
              <w:t>.</w:t>
            </w:r>
            <w:r w:rsidRPr="00A564D2">
              <w:rPr>
                <w:rFonts w:ascii="Times New Roman" w:hAnsi="Times New Roman" w:cs="Times New Roman"/>
                <w:sz w:val="20"/>
                <w:szCs w:val="20"/>
              </w:rPr>
              <w:t>95%</w:t>
            </w:r>
          </w:p>
        </w:tc>
        <w:tc>
          <w:tcPr>
            <w:tcW w:w="1640" w:type="dxa"/>
          </w:tcPr>
          <w:p w14:paraId="6406A420" w14:textId="77777777" w:rsidR="00174CA0" w:rsidRPr="00A564D2" w:rsidRDefault="00A564D2" w:rsidP="0030557E">
            <w:pPr>
              <w:spacing w:line="360" w:lineRule="auto"/>
              <w:rPr>
                <w:rFonts w:ascii="Times New Roman" w:hAnsi="Times New Roman" w:cs="Times New Roman"/>
                <w:sz w:val="20"/>
                <w:szCs w:val="20"/>
              </w:rPr>
            </w:pPr>
            <w:r w:rsidRPr="00A564D2">
              <w:rPr>
                <w:rFonts w:ascii="Times New Roman" w:hAnsi="Times New Roman" w:cs="Times New Roman"/>
                <w:sz w:val="20"/>
                <w:szCs w:val="20"/>
              </w:rPr>
              <w:t>71,27</w:t>
            </w:r>
            <w:r w:rsidR="00AC197E" w:rsidRPr="00A564D2">
              <w:rPr>
                <w:rFonts w:ascii="Times New Roman" w:hAnsi="Times New Roman" w:cs="Times New Roman"/>
                <w:sz w:val="20"/>
                <w:szCs w:val="20"/>
              </w:rPr>
              <w:t>% (*)</w:t>
            </w:r>
          </w:p>
        </w:tc>
        <w:tc>
          <w:tcPr>
            <w:tcW w:w="1426" w:type="dxa"/>
          </w:tcPr>
          <w:p w14:paraId="6DD338B6" w14:textId="77777777" w:rsidR="00174CA0" w:rsidRPr="00A564D2" w:rsidRDefault="00174CA0" w:rsidP="00174CA0">
            <w:pPr>
              <w:spacing w:line="264" w:lineRule="auto"/>
              <w:rPr>
                <w:rFonts w:ascii="Times New Roman" w:hAnsi="Times New Roman" w:cs="Times New Roman"/>
                <w:sz w:val="20"/>
                <w:szCs w:val="20"/>
              </w:rPr>
            </w:pPr>
            <w:r w:rsidRPr="00A564D2">
              <w:rPr>
                <w:rFonts w:ascii="Times New Roman" w:hAnsi="Times New Roman" w:cs="Times New Roman"/>
                <w:sz w:val="20"/>
                <w:szCs w:val="20"/>
              </w:rPr>
              <w:t>cel osiągnięty</w:t>
            </w:r>
          </w:p>
        </w:tc>
      </w:tr>
    </w:tbl>
    <w:p w14:paraId="66226366" w14:textId="77777777" w:rsidR="00AC197E" w:rsidRPr="00A564D2" w:rsidRDefault="00AC197E" w:rsidP="00AC197E">
      <w:pPr>
        <w:tabs>
          <w:tab w:val="left" w:pos="284"/>
          <w:tab w:val="left" w:pos="360"/>
        </w:tabs>
        <w:spacing w:after="0" w:line="276" w:lineRule="auto"/>
        <w:rPr>
          <w:rFonts w:ascii="Times New Roman" w:hAnsi="Times New Roman" w:cs="Times New Roman"/>
          <w:sz w:val="20"/>
          <w:szCs w:val="20"/>
        </w:rPr>
      </w:pPr>
      <w:r w:rsidRPr="00A564D2">
        <w:rPr>
          <w:rFonts w:ascii="Times New Roman" w:hAnsi="Times New Roman" w:cs="Times New Roman"/>
          <w:sz w:val="20"/>
          <w:szCs w:val="20"/>
        </w:rPr>
        <w:t>(*)</w:t>
      </w:r>
      <w:r w:rsidRPr="00A564D2">
        <w:rPr>
          <w:rFonts w:ascii="Times New Roman" w:eastAsia="Meiryo UI" w:hAnsi="Times New Roman" w:cs="Times New Roman"/>
          <w:sz w:val="20"/>
          <w:szCs w:val="20"/>
        </w:rPr>
        <w:t xml:space="preserve">źródło: </w:t>
      </w:r>
      <w:r w:rsidR="00F44B5F" w:rsidRPr="00A564D2">
        <w:rPr>
          <w:rFonts w:ascii="Times New Roman" w:eastAsia="Meiryo UI" w:hAnsi="Times New Roman" w:cs="Times New Roman"/>
          <w:sz w:val="20"/>
          <w:szCs w:val="20"/>
        </w:rPr>
        <w:t>Raport analiza ryzyka płynności Warmińsko – Mazurskiego Banku Spółdzielczego wg stanu na 31 grudnia 20</w:t>
      </w:r>
      <w:r w:rsidR="00A564D2" w:rsidRPr="00A564D2">
        <w:rPr>
          <w:rFonts w:ascii="Times New Roman" w:eastAsia="Meiryo UI" w:hAnsi="Times New Roman" w:cs="Times New Roman"/>
          <w:sz w:val="20"/>
          <w:szCs w:val="20"/>
        </w:rPr>
        <w:t>20</w:t>
      </w:r>
      <w:r w:rsidR="00F44B5F" w:rsidRPr="00A564D2">
        <w:rPr>
          <w:rFonts w:ascii="Times New Roman" w:eastAsia="Meiryo UI" w:hAnsi="Times New Roman" w:cs="Times New Roman"/>
          <w:sz w:val="20"/>
          <w:szCs w:val="20"/>
        </w:rPr>
        <w:t xml:space="preserve"> r.</w:t>
      </w:r>
      <w:r w:rsidRPr="00A564D2">
        <w:rPr>
          <w:rFonts w:ascii="Times New Roman" w:eastAsia="Meiryo UI" w:hAnsi="Times New Roman" w:cs="Times New Roman"/>
          <w:sz w:val="20"/>
          <w:szCs w:val="20"/>
        </w:rPr>
        <w:t>)</w:t>
      </w:r>
    </w:p>
    <w:p w14:paraId="504C30E5" w14:textId="77777777" w:rsidR="00062B09" w:rsidRPr="00A564D2" w:rsidRDefault="00062B09" w:rsidP="00174CA0">
      <w:pPr>
        <w:spacing w:after="0" w:line="264" w:lineRule="auto"/>
        <w:jc w:val="both"/>
        <w:rPr>
          <w:rFonts w:ascii="Times New Roman" w:hAnsi="Times New Roman" w:cs="Times New Roman"/>
          <w:sz w:val="24"/>
          <w:szCs w:val="24"/>
        </w:rPr>
      </w:pPr>
    </w:p>
    <w:p w14:paraId="15FCB02A" w14:textId="77777777" w:rsidR="006C34F1" w:rsidRPr="00A564D2" w:rsidRDefault="006C34F1" w:rsidP="00F9182B">
      <w:pPr>
        <w:spacing w:after="0" w:line="264" w:lineRule="auto"/>
        <w:ind w:firstLine="708"/>
        <w:jc w:val="both"/>
        <w:rPr>
          <w:rFonts w:ascii="Times New Roman" w:hAnsi="Times New Roman" w:cs="Times New Roman"/>
          <w:sz w:val="24"/>
          <w:szCs w:val="24"/>
        </w:rPr>
      </w:pPr>
      <w:r w:rsidRPr="00A564D2">
        <w:rPr>
          <w:rFonts w:ascii="Times New Roman" w:hAnsi="Times New Roman" w:cs="Times New Roman"/>
          <w:sz w:val="24"/>
          <w:szCs w:val="24"/>
        </w:rPr>
        <w:t xml:space="preserve">Pozostałe informacje dotyczące ryzyka płynności zostały </w:t>
      </w:r>
      <w:r w:rsidR="009444C7" w:rsidRPr="00A564D2">
        <w:rPr>
          <w:rFonts w:ascii="Times New Roman" w:hAnsi="Times New Roman" w:cs="Times New Roman"/>
          <w:sz w:val="24"/>
          <w:szCs w:val="24"/>
        </w:rPr>
        <w:t>przedstawione</w:t>
      </w:r>
      <w:r w:rsidR="005C2765">
        <w:rPr>
          <w:rFonts w:ascii="Times New Roman" w:hAnsi="Times New Roman" w:cs="Times New Roman"/>
          <w:sz w:val="24"/>
          <w:szCs w:val="24"/>
        </w:rPr>
        <w:t xml:space="preserve"> w części 23 pt</w:t>
      </w:r>
      <w:r w:rsidR="000B1419">
        <w:rPr>
          <w:rFonts w:ascii="Times New Roman" w:hAnsi="Times New Roman" w:cs="Times New Roman"/>
          <w:sz w:val="24"/>
          <w:szCs w:val="24"/>
        </w:rPr>
        <w:t>.</w:t>
      </w:r>
      <w:r w:rsidRPr="00A564D2">
        <w:rPr>
          <w:rFonts w:ascii="Times New Roman" w:hAnsi="Times New Roman" w:cs="Times New Roman"/>
          <w:sz w:val="24"/>
          <w:szCs w:val="24"/>
        </w:rPr>
        <w:t xml:space="preserve"> </w:t>
      </w:r>
      <w:r w:rsidR="005C2765">
        <w:rPr>
          <w:rFonts w:ascii="Times New Roman" w:hAnsi="Times New Roman" w:cs="Times New Roman"/>
          <w:sz w:val="24"/>
          <w:szCs w:val="24"/>
        </w:rPr>
        <w:t>„</w:t>
      </w:r>
      <w:r w:rsidRPr="00A564D2">
        <w:rPr>
          <w:rFonts w:ascii="Times New Roman" w:hAnsi="Times New Roman" w:cs="Times New Roman"/>
          <w:sz w:val="24"/>
          <w:szCs w:val="24"/>
        </w:rPr>
        <w:t>Wymogi informacyjne na temat podejścia do ryzyka płyn</w:t>
      </w:r>
      <w:r w:rsidR="009444C7" w:rsidRPr="00A564D2">
        <w:rPr>
          <w:rFonts w:ascii="Times New Roman" w:hAnsi="Times New Roman" w:cs="Times New Roman"/>
          <w:sz w:val="24"/>
          <w:szCs w:val="24"/>
        </w:rPr>
        <w:t>ności zgodnie z r</w:t>
      </w:r>
      <w:r w:rsidR="00062B09" w:rsidRPr="00A564D2">
        <w:rPr>
          <w:rFonts w:ascii="Times New Roman" w:hAnsi="Times New Roman" w:cs="Times New Roman"/>
          <w:sz w:val="24"/>
          <w:szCs w:val="24"/>
        </w:rPr>
        <w:t xml:space="preserve">ekomendacją 18 </w:t>
      </w:r>
      <w:r w:rsidRPr="00A564D2">
        <w:rPr>
          <w:rFonts w:ascii="Times New Roman" w:hAnsi="Times New Roman" w:cs="Times New Roman"/>
          <w:sz w:val="24"/>
          <w:szCs w:val="24"/>
        </w:rPr>
        <w:t>Rekomendacji P</w:t>
      </w:r>
      <w:r w:rsidR="005C2765">
        <w:rPr>
          <w:rFonts w:ascii="Times New Roman" w:hAnsi="Times New Roman" w:cs="Times New Roman"/>
          <w:sz w:val="24"/>
          <w:szCs w:val="24"/>
        </w:rPr>
        <w:t>’</w:t>
      </w:r>
      <w:r w:rsidR="00430D06" w:rsidRPr="00A564D2">
        <w:rPr>
          <w:rFonts w:ascii="Times New Roman" w:hAnsi="Times New Roman" w:cs="Times New Roman"/>
          <w:sz w:val="24"/>
          <w:szCs w:val="24"/>
        </w:rPr>
        <w:t>,</w:t>
      </w:r>
      <w:r w:rsidRPr="00A564D2">
        <w:rPr>
          <w:rFonts w:ascii="Times New Roman" w:hAnsi="Times New Roman" w:cs="Times New Roman"/>
          <w:sz w:val="24"/>
          <w:szCs w:val="24"/>
        </w:rPr>
        <w:t xml:space="preserve"> znajdującej się w Ujawnieniu. </w:t>
      </w:r>
    </w:p>
    <w:p w14:paraId="19FEEF1C" w14:textId="77777777" w:rsidR="006C34F1" w:rsidRPr="000E3272" w:rsidRDefault="006C34F1" w:rsidP="00174CA0">
      <w:pPr>
        <w:spacing w:after="0" w:line="264" w:lineRule="auto"/>
        <w:rPr>
          <w:rFonts w:ascii="Times New Roman" w:hAnsi="Times New Roman" w:cs="Times New Roman"/>
          <w:color w:val="FF0000"/>
          <w:sz w:val="24"/>
          <w:szCs w:val="24"/>
        </w:rPr>
      </w:pPr>
    </w:p>
    <w:p w14:paraId="6427D352" w14:textId="77777777" w:rsidR="006C34F1" w:rsidRPr="00674A05" w:rsidRDefault="006C34F1" w:rsidP="00993749">
      <w:pPr>
        <w:pStyle w:val="Nagwek1"/>
        <w:numPr>
          <w:ilvl w:val="0"/>
          <w:numId w:val="21"/>
        </w:numPr>
        <w:rPr>
          <w:rFonts w:ascii="Times New Roman" w:hAnsi="Times New Roman" w:cs="Times New Roman"/>
          <w:b/>
          <w:color w:val="auto"/>
          <w:sz w:val="24"/>
          <w:szCs w:val="24"/>
        </w:rPr>
      </w:pPr>
      <w:bookmarkStart w:id="6" w:name="_Toc44930258"/>
      <w:r w:rsidRPr="00674A05">
        <w:rPr>
          <w:rFonts w:ascii="Times New Roman" w:hAnsi="Times New Roman" w:cs="Times New Roman"/>
          <w:b/>
          <w:color w:val="auto"/>
          <w:sz w:val="24"/>
          <w:szCs w:val="24"/>
        </w:rPr>
        <w:t>RYZYKO KREDYTOWE I KONCENTRACJI EKSPOZYCJI</w:t>
      </w:r>
      <w:bookmarkEnd w:id="6"/>
      <w:r w:rsidRPr="00674A05">
        <w:rPr>
          <w:rFonts w:ascii="Times New Roman" w:hAnsi="Times New Roman" w:cs="Times New Roman"/>
          <w:b/>
          <w:color w:val="auto"/>
          <w:sz w:val="24"/>
          <w:szCs w:val="24"/>
        </w:rPr>
        <w:t xml:space="preserve"> </w:t>
      </w:r>
    </w:p>
    <w:p w14:paraId="66E2DBEF" w14:textId="77777777" w:rsidR="00F9182B" w:rsidRPr="00674A05" w:rsidRDefault="00F9182B" w:rsidP="00F9182B">
      <w:pPr>
        <w:pStyle w:val="Akapitzlist"/>
        <w:spacing w:after="0" w:line="264" w:lineRule="auto"/>
        <w:rPr>
          <w:rFonts w:ascii="Times New Roman" w:hAnsi="Times New Roman" w:cs="Times New Roman"/>
          <w:b/>
          <w:sz w:val="24"/>
          <w:szCs w:val="24"/>
        </w:rPr>
      </w:pPr>
    </w:p>
    <w:p w14:paraId="281C564A" w14:textId="77777777" w:rsidR="005772E1" w:rsidRPr="00674A05" w:rsidRDefault="00F9182B" w:rsidP="00174CA0">
      <w:pPr>
        <w:tabs>
          <w:tab w:val="left" w:pos="567"/>
        </w:tabs>
        <w:suppressAutoHyphens/>
        <w:autoSpaceDE w:val="0"/>
        <w:spacing w:after="0" w:line="264" w:lineRule="auto"/>
        <w:jc w:val="both"/>
        <w:rPr>
          <w:rFonts w:ascii="Times New Roman" w:hAnsi="Times New Roman" w:cs="Times New Roman"/>
          <w:position w:val="-9"/>
          <w:sz w:val="24"/>
          <w:szCs w:val="24"/>
          <w:lang w:eastAsia="ar-SA"/>
        </w:rPr>
      </w:pPr>
      <w:r w:rsidRPr="00674A05">
        <w:rPr>
          <w:rFonts w:ascii="Times New Roman" w:hAnsi="Times New Roman" w:cs="Times New Roman"/>
          <w:position w:val="-9"/>
          <w:sz w:val="24"/>
          <w:szCs w:val="24"/>
          <w:lang w:eastAsia="ar-SA"/>
        </w:rPr>
        <w:tab/>
      </w:r>
      <w:r w:rsidR="005772E1" w:rsidRPr="00674A05">
        <w:rPr>
          <w:rFonts w:ascii="Times New Roman" w:hAnsi="Times New Roman" w:cs="Times New Roman"/>
          <w:position w:val="-9"/>
          <w:sz w:val="24"/>
          <w:szCs w:val="24"/>
          <w:lang w:eastAsia="ar-SA"/>
        </w:rPr>
        <w:t xml:space="preserve">Ryzyko kredytowe jest to ryzyko </w:t>
      </w:r>
      <w:r w:rsidR="00A2151F" w:rsidRPr="00674A05">
        <w:rPr>
          <w:rFonts w:ascii="Times New Roman" w:hAnsi="Times New Roman" w:cs="Times New Roman"/>
          <w:position w:val="-9"/>
          <w:sz w:val="24"/>
          <w:szCs w:val="24"/>
          <w:lang w:eastAsia="ar-SA"/>
        </w:rPr>
        <w:t>potencjalnej straty z tytułu niewykonania zobowiązania w określonym w umowie terminie przez klienta lub kontrahenta</w:t>
      </w:r>
      <w:r w:rsidR="005772E1" w:rsidRPr="00674A05">
        <w:rPr>
          <w:rFonts w:ascii="Times New Roman" w:hAnsi="Times New Roman" w:cs="Times New Roman"/>
          <w:position w:val="-9"/>
          <w:sz w:val="24"/>
          <w:szCs w:val="24"/>
          <w:lang w:eastAsia="ar-SA"/>
        </w:rPr>
        <w:t>.</w:t>
      </w:r>
    </w:p>
    <w:p w14:paraId="62270F07" w14:textId="77777777" w:rsidR="006C34F1" w:rsidRPr="00674A05" w:rsidRDefault="006C34F1" w:rsidP="00F9182B">
      <w:pPr>
        <w:spacing w:after="0" w:line="264" w:lineRule="auto"/>
        <w:ind w:firstLine="708"/>
        <w:jc w:val="both"/>
        <w:rPr>
          <w:rFonts w:ascii="Times New Roman" w:hAnsi="Times New Roman" w:cs="Times New Roman"/>
          <w:sz w:val="24"/>
          <w:szCs w:val="24"/>
        </w:rPr>
      </w:pPr>
      <w:r w:rsidRPr="00674A05">
        <w:rPr>
          <w:rFonts w:ascii="Times New Roman" w:hAnsi="Times New Roman" w:cs="Times New Roman"/>
          <w:sz w:val="24"/>
          <w:szCs w:val="24"/>
        </w:rPr>
        <w:t xml:space="preserve">Zarządzanie ryzykiem kredytowym i koncentracji ekspozycji prowadzone jest w oparciu o </w:t>
      </w:r>
      <w:r w:rsidR="00430D06" w:rsidRPr="00674A05">
        <w:rPr>
          <w:rFonts w:ascii="Times New Roman" w:hAnsi="Times New Roman" w:cs="Times New Roman"/>
          <w:sz w:val="24"/>
          <w:szCs w:val="24"/>
        </w:rPr>
        <w:t>S</w:t>
      </w:r>
      <w:r w:rsidRPr="00674A05">
        <w:rPr>
          <w:rFonts w:ascii="Times New Roman" w:hAnsi="Times New Roman" w:cs="Times New Roman"/>
          <w:sz w:val="24"/>
          <w:szCs w:val="24"/>
        </w:rPr>
        <w:t xml:space="preserve">trategię zarządzania </w:t>
      </w:r>
      <w:r w:rsidR="00E94A28" w:rsidRPr="00674A05">
        <w:rPr>
          <w:rFonts w:ascii="Times New Roman" w:hAnsi="Times New Roman" w:cs="Times New Roman"/>
          <w:sz w:val="24"/>
          <w:szCs w:val="24"/>
        </w:rPr>
        <w:t xml:space="preserve">ryzykami, Strategię </w:t>
      </w:r>
      <w:r w:rsidR="00AD0919" w:rsidRPr="00674A05">
        <w:rPr>
          <w:rFonts w:ascii="Times New Roman" w:hAnsi="Times New Roman" w:cs="Times New Roman"/>
          <w:sz w:val="24"/>
          <w:szCs w:val="24"/>
        </w:rPr>
        <w:t>z</w:t>
      </w:r>
      <w:r w:rsidR="00E94A28" w:rsidRPr="00674A05">
        <w:rPr>
          <w:rFonts w:ascii="Times New Roman" w:hAnsi="Times New Roman" w:cs="Times New Roman"/>
          <w:sz w:val="24"/>
          <w:szCs w:val="24"/>
        </w:rPr>
        <w:t xml:space="preserve">arządzania </w:t>
      </w:r>
      <w:r w:rsidR="00AD0919" w:rsidRPr="00674A05">
        <w:rPr>
          <w:rFonts w:ascii="Times New Roman" w:hAnsi="Times New Roman" w:cs="Times New Roman"/>
          <w:sz w:val="24"/>
          <w:szCs w:val="24"/>
        </w:rPr>
        <w:t>r</w:t>
      </w:r>
      <w:r w:rsidR="00E94A28" w:rsidRPr="00674A05">
        <w:rPr>
          <w:rFonts w:ascii="Times New Roman" w:hAnsi="Times New Roman" w:cs="Times New Roman"/>
          <w:sz w:val="24"/>
          <w:szCs w:val="24"/>
        </w:rPr>
        <w:t xml:space="preserve">yzykiem </w:t>
      </w:r>
      <w:r w:rsidR="00AD0919" w:rsidRPr="00674A05">
        <w:rPr>
          <w:rFonts w:ascii="Times New Roman" w:hAnsi="Times New Roman" w:cs="Times New Roman"/>
          <w:sz w:val="24"/>
          <w:szCs w:val="24"/>
        </w:rPr>
        <w:t>k</w:t>
      </w:r>
      <w:r w:rsidR="00E94A28" w:rsidRPr="00674A05">
        <w:rPr>
          <w:rFonts w:ascii="Times New Roman" w:hAnsi="Times New Roman" w:cs="Times New Roman"/>
          <w:sz w:val="24"/>
          <w:szCs w:val="24"/>
        </w:rPr>
        <w:t>redytowym</w:t>
      </w:r>
      <w:r w:rsidRPr="00674A05">
        <w:rPr>
          <w:rFonts w:ascii="Times New Roman" w:hAnsi="Times New Roman" w:cs="Times New Roman"/>
          <w:sz w:val="24"/>
          <w:szCs w:val="24"/>
        </w:rPr>
        <w:t>,</w:t>
      </w:r>
      <w:r w:rsidR="00E94A28" w:rsidRPr="00674A05">
        <w:rPr>
          <w:rFonts w:ascii="Times New Roman" w:hAnsi="Times New Roman" w:cs="Times New Roman"/>
          <w:sz w:val="24"/>
          <w:szCs w:val="24"/>
        </w:rPr>
        <w:t xml:space="preserve"> Politykę zarządzania </w:t>
      </w:r>
      <w:r w:rsidRPr="00674A05">
        <w:rPr>
          <w:rFonts w:ascii="Times New Roman" w:hAnsi="Times New Roman" w:cs="Times New Roman"/>
          <w:sz w:val="24"/>
          <w:szCs w:val="24"/>
        </w:rPr>
        <w:t xml:space="preserve"> </w:t>
      </w:r>
      <w:r w:rsidR="00E94A28" w:rsidRPr="00674A05">
        <w:rPr>
          <w:rFonts w:ascii="Times New Roman" w:hAnsi="Times New Roman" w:cs="Times New Roman"/>
          <w:sz w:val="24"/>
          <w:szCs w:val="24"/>
        </w:rPr>
        <w:t xml:space="preserve">ryzykiem kredytowym, </w:t>
      </w:r>
      <w:r w:rsidR="00430D06" w:rsidRPr="00674A05">
        <w:rPr>
          <w:rFonts w:ascii="Times New Roman" w:hAnsi="Times New Roman" w:cs="Times New Roman"/>
          <w:sz w:val="24"/>
          <w:szCs w:val="24"/>
        </w:rPr>
        <w:t>P</w:t>
      </w:r>
      <w:r w:rsidR="00E94A28" w:rsidRPr="00674A05">
        <w:rPr>
          <w:rFonts w:ascii="Times New Roman" w:hAnsi="Times New Roman" w:cs="Times New Roman"/>
          <w:sz w:val="24"/>
          <w:szCs w:val="24"/>
        </w:rPr>
        <w:t xml:space="preserve">olitykę zarządzania ryzykiem detalicznych ekspozycji kredytowych, </w:t>
      </w:r>
      <w:r w:rsidR="00430D06" w:rsidRPr="00674A05">
        <w:rPr>
          <w:rFonts w:ascii="Times New Roman" w:hAnsi="Times New Roman" w:cs="Times New Roman"/>
          <w:sz w:val="24"/>
          <w:szCs w:val="24"/>
        </w:rPr>
        <w:t>P</w:t>
      </w:r>
      <w:r w:rsidR="00E94A28" w:rsidRPr="00674A05">
        <w:rPr>
          <w:rFonts w:ascii="Times New Roman" w:hAnsi="Times New Roman" w:cs="Times New Roman"/>
          <w:sz w:val="24"/>
          <w:szCs w:val="24"/>
        </w:rPr>
        <w:t xml:space="preserve">olitykę zarządzania ryzykiem ekspozycji kredytowych zabezpieczonych hipotecznie, </w:t>
      </w:r>
      <w:r w:rsidR="00430D06" w:rsidRPr="00674A05">
        <w:rPr>
          <w:rFonts w:ascii="Times New Roman" w:hAnsi="Times New Roman" w:cs="Times New Roman"/>
          <w:sz w:val="24"/>
          <w:szCs w:val="24"/>
        </w:rPr>
        <w:t>P</w:t>
      </w:r>
      <w:r w:rsidR="00E94A28" w:rsidRPr="00674A05">
        <w:rPr>
          <w:rFonts w:ascii="Times New Roman" w:hAnsi="Times New Roman" w:cs="Times New Roman"/>
          <w:sz w:val="24"/>
          <w:szCs w:val="24"/>
        </w:rPr>
        <w:t>olitykę zarządzania ryzykiem koncentracji zaangażowania</w:t>
      </w:r>
      <w:r w:rsidRPr="00674A05">
        <w:rPr>
          <w:rFonts w:ascii="Times New Roman" w:hAnsi="Times New Roman" w:cs="Times New Roman"/>
          <w:sz w:val="24"/>
          <w:szCs w:val="24"/>
        </w:rPr>
        <w:t xml:space="preserve">, Instrukcję </w:t>
      </w:r>
      <w:r w:rsidR="00E94A28" w:rsidRPr="00674A05">
        <w:rPr>
          <w:rFonts w:ascii="Times New Roman" w:hAnsi="Times New Roman" w:cs="Times New Roman"/>
          <w:sz w:val="24"/>
          <w:szCs w:val="24"/>
        </w:rPr>
        <w:t>zarządzan</w:t>
      </w:r>
      <w:r w:rsidR="009444C7" w:rsidRPr="00674A05">
        <w:rPr>
          <w:rFonts w:ascii="Times New Roman" w:hAnsi="Times New Roman" w:cs="Times New Roman"/>
          <w:sz w:val="24"/>
          <w:szCs w:val="24"/>
        </w:rPr>
        <w:t>ia ryzykiem kredytowym, Instrukcję Z</w:t>
      </w:r>
      <w:r w:rsidR="00E94A28" w:rsidRPr="00674A05">
        <w:rPr>
          <w:rFonts w:ascii="Times New Roman" w:hAnsi="Times New Roman" w:cs="Times New Roman"/>
          <w:sz w:val="24"/>
          <w:szCs w:val="24"/>
        </w:rPr>
        <w:t>asady ustalania i monitorowania l</w:t>
      </w:r>
      <w:r w:rsidR="00430D06" w:rsidRPr="00674A05">
        <w:rPr>
          <w:rFonts w:ascii="Times New Roman" w:hAnsi="Times New Roman" w:cs="Times New Roman"/>
          <w:sz w:val="24"/>
          <w:szCs w:val="24"/>
        </w:rPr>
        <w:t>imitów koncentracji zaangażowań i zaangażowań</w:t>
      </w:r>
      <w:r w:rsidR="00E94A28" w:rsidRPr="00674A05">
        <w:rPr>
          <w:rFonts w:ascii="Times New Roman" w:hAnsi="Times New Roman" w:cs="Times New Roman"/>
          <w:sz w:val="24"/>
          <w:szCs w:val="24"/>
        </w:rPr>
        <w:t xml:space="preserve"> kapitałowych, instrukcję </w:t>
      </w:r>
      <w:r w:rsidRPr="00674A05">
        <w:rPr>
          <w:rFonts w:ascii="Times New Roman" w:hAnsi="Times New Roman" w:cs="Times New Roman"/>
          <w:sz w:val="24"/>
          <w:szCs w:val="24"/>
        </w:rPr>
        <w:t xml:space="preserve">oraz procedury szczegółowe w zakresie oceny ryzyka portfelowego i pojedynczej transakcji. </w:t>
      </w:r>
    </w:p>
    <w:p w14:paraId="0F785796" w14:textId="77777777" w:rsidR="006C34F1" w:rsidRPr="00674A05" w:rsidRDefault="006C34F1" w:rsidP="00F9182B">
      <w:pPr>
        <w:spacing w:after="0" w:line="264" w:lineRule="auto"/>
        <w:ind w:firstLine="708"/>
        <w:jc w:val="both"/>
        <w:rPr>
          <w:rFonts w:ascii="Times New Roman" w:hAnsi="Times New Roman" w:cs="Times New Roman"/>
          <w:sz w:val="24"/>
          <w:szCs w:val="24"/>
        </w:rPr>
      </w:pPr>
      <w:r w:rsidRPr="00674A05">
        <w:rPr>
          <w:rFonts w:ascii="Times New Roman" w:hAnsi="Times New Roman" w:cs="Times New Roman"/>
          <w:sz w:val="24"/>
          <w:szCs w:val="24"/>
        </w:rPr>
        <w:t xml:space="preserve">Bank posiada system limitów ograniczających ryzyko kredytowe, ustalanych w oparciu o dane historyczne oraz o planowany rozwój działalności. </w:t>
      </w:r>
    </w:p>
    <w:p w14:paraId="16C4D961" w14:textId="77777777" w:rsidR="006C34F1" w:rsidRPr="00674A05" w:rsidRDefault="006C34F1" w:rsidP="00F9182B">
      <w:pPr>
        <w:spacing w:after="0" w:line="264" w:lineRule="auto"/>
        <w:ind w:firstLine="708"/>
        <w:rPr>
          <w:rFonts w:ascii="Times New Roman" w:hAnsi="Times New Roman" w:cs="Times New Roman"/>
          <w:sz w:val="24"/>
          <w:szCs w:val="24"/>
        </w:rPr>
      </w:pPr>
      <w:r w:rsidRPr="00674A05">
        <w:rPr>
          <w:rFonts w:ascii="Times New Roman" w:hAnsi="Times New Roman" w:cs="Times New Roman"/>
          <w:sz w:val="24"/>
          <w:szCs w:val="24"/>
        </w:rPr>
        <w:t xml:space="preserve">Bank przeprowadza analizę ryzyka </w:t>
      </w:r>
      <w:r w:rsidR="00E94A28" w:rsidRPr="00674A05">
        <w:rPr>
          <w:rFonts w:ascii="Times New Roman" w:hAnsi="Times New Roman" w:cs="Times New Roman"/>
          <w:sz w:val="24"/>
          <w:szCs w:val="24"/>
        </w:rPr>
        <w:t>kredytowego</w:t>
      </w:r>
      <w:r w:rsidR="00A564D2" w:rsidRPr="00674A05">
        <w:rPr>
          <w:rFonts w:ascii="Times New Roman" w:hAnsi="Times New Roman" w:cs="Times New Roman"/>
          <w:sz w:val="24"/>
          <w:szCs w:val="24"/>
        </w:rPr>
        <w:t xml:space="preserve"> i koncentracji zaangażowań</w:t>
      </w:r>
      <w:r w:rsidR="00AD0919" w:rsidRPr="00674A05">
        <w:rPr>
          <w:rFonts w:ascii="Times New Roman" w:hAnsi="Times New Roman" w:cs="Times New Roman"/>
          <w:sz w:val="24"/>
          <w:szCs w:val="24"/>
        </w:rPr>
        <w:t xml:space="preserve"> w </w:t>
      </w:r>
      <w:r w:rsidR="00E94A28" w:rsidRPr="00674A05">
        <w:rPr>
          <w:rFonts w:ascii="Times New Roman" w:hAnsi="Times New Roman" w:cs="Times New Roman"/>
          <w:sz w:val="24"/>
          <w:szCs w:val="24"/>
        </w:rPr>
        <w:t>okresach kwartalnych</w:t>
      </w:r>
      <w:r w:rsidR="00674A05" w:rsidRPr="00674A05">
        <w:rPr>
          <w:rFonts w:ascii="Times New Roman" w:hAnsi="Times New Roman" w:cs="Times New Roman"/>
          <w:sz w:val="24"/>
          <w:szCs w:val="24"/>
        </w:rPr>
        <w:t xml:space="preserve">, </w:t>
      </w:r>
      <w:r w:rsidR="00871AB6">
        <w:rPr>
          <w:rFonts w:ascii="Times New Roman" w:hAnsi="Times New Roman" w:cs="Times New Roman"/>
          <w:sz w:val="24"/>
          <w:szCs w:val="24"/>
        </w:rPr>
        <w:t>natomiast w okresach miesięcznych analizę</w:t>
      </w:r>
      <w:r w:rsidR="00674A05" w:rsidRPr="00674A05">
        <w:rPr>
          <w:rFonts w:ascii="Times New Roman" w:hAnsi="Times New Roman" w:cs="Times New Roman"/>
          <w:sz w:val="24"/>
          <w:szCs w:val="24"/>
        </w:rPr>
        <w:t xml:space="preserve"> wyk</w:t>
      </w:r>
      <w:r w:rsidR="00871AB6">
        <w:rPr>
          <w:rFonts w:ascii="Times New Roman" w:hAnsi="Times New Roman" w:cs="Times New Roman"/>
          <w:sz w:val="24"/>
          <w:szCs w:val="24"/>
        </w:rPr>
        <w:t>orzystania limitów koncentracji.</w:t>
      </w:r>
    </w:p>
    <w:p w14:paraId="18D42772" w14:textId="77777777" w:rsidR="00F44B5F" w:rsidRPr="000E3272" w:rsidRDefault="00F44B5F" w:rsidP="00F9182B">
      <w:pPr>
        <w:spacing w:after="0" w:line="264" w:lineRule="auto"/>
        <w:ind w:firstLine="708"/>
        <w:rPr>
          <w:rFonts w:ascii="Times New Roman" w:hAnsi="Times New Roman" w:cs="Times New Roman"/>
          <w:color w:val="FF0000"/>
          <w:sz w:val="24"/>
          <w:szCs w:val="24"/>
        </w:rPr>
      </w:pPr>
    </w:p>
    <w:p w14:paraId="1DFA05A6" w14:textId="77777777" w:rsidR="003C42C9" w:rsidRPr="000E3272" w:rsidRDefault="003C42C9" w:rsidP="00F9182B">
      <w:pPr>
        <w:spacing w:after="0" w:line="264" w:lineRule="auto"/>
        <w:ind w:firstLine="708"/>
        <w:rPr>
          <w:rFonts w:ascii="Times New Roman" w:hAnsi="Times New Roman" w:cs="Times New Roman"/>
          <w:color w:val="FF0000"/>
          <w:sz w:val="24"/>
          <w:szCs w:val="24"/>
        </w:rPr>
      </w:pPr>
    </w:p>
    <w:p w14:paraId="1BB784DA" w14:textId="77777777" w:rsidR="003C42C9" w:rsidRPr="000E3272" w:rsidRDefault="003C42C9" w:rsidP="00F9182B">
      <w:pPr>
        <w:spacing w:after="0" w:line="264" w:lineRule="auto"/>
        <w:ind w:firstLine="708"/>
        <w:rPr>
          <w:rFonts w:ascii="Times New Roman" w:hAnsi="Times New Roman" w:cs="Times New Roman"/>
          <w:color w:val="FF0000"/>
          <w:sz w:val="24"/>
          <w:szCs w:val="24"/>
        </w:rPr>
      </w:pPr>
    </w:p>
    <w:p w14:paraId="6A7066F9" w14:textId="77777777" w:rsidR="006C34F1" w:rsidRPr="00674A05" w:rsidRDefault="006C34F1" w:rsidP="00993749">
      <w:pPr>
        <w:pStyle w:val="Nagwek1"/>
        <w:numPr>
          <w:ilvl w:val="1"/>
          <w:numId w:val="21"/>
        </w:numPr>
        <w:rPr>
          <w:rFonts w:ascii="Times New Roman" w:hAnsi="Times New Roman" w:cs="Times New Roman"/>
          <w:b/>
          <w:color w:val="auto"/>
          <w:sz w:val="24"/>
          <w:szCs w:val="24"/>
        </w:rPr>
      </w:pPr>
      <w:bookmarkStart w:id="7" w:name="_Toc44930259"/>
      <w:r w:rsidRPr="00674A05">
        <w:rPr>
          <w:rFonts w:ascii="Times New Roman" w:hAnsi="Times New Roman" w:cs="Times New Roman"/>
          <w:b/>
          <w:color w:val="auto"/>
          <w:sz w:val="24"/>
          <w:szCs w:val="24"/>
        </w:rPr>
        <w:lastRenderedPageBreak/>
        <w:t>REALIZACJA CELÓW STRATEGICZNYCH</w:t>
      </w:r>
      <w:bookmarkEnd w:id="7"/>
      <w:r w:rsidRPr="00674A05">
        <w:rPr>
          <w:rFonts w:ascii="Times New Roman" w:hAnsi="Times New Roman" w:cs="Times New Roman"/>
          <w:b/>
          <w:color w:val="auto"/>
          <w:sz w:val="24"/>
          <w:szCs w:val="24"/>
        </w:rPr>
        <w:t xml:space="preserve"> </w:t>
      </w:r>
    </w:p>
    <w:p w14:paraId="752B5F1B" w14:textId="77777777" w:rsidR="00F9182B" w:rsidRPr="00674A05" w:rsidRDefault="00F9182B" w:rsidP="00F9182B">
      <w:pPr>
        <w:pStyle w:val="Akapitzlist"/>
        <w:spacing w:after="0" w:line="264" w:lineRule="auto"/>
        <w:ind w:left="1080"/>
        <w:rPr>
          <w:rFonts w:ascii="Times New Roman" w:hAnsi="Times New Roman" w:cs="Times New Roman"/>
          <w:b/>
          <w:sz w:val="24"/>
          <w:szCs w:val="24"/>
        </w:rPr>
      </w:pPr>
    </w:p>
    <w:p w14:paraId="1BEC8A4B" w14:textId="77777777" w:rsidR="00471675" w:rsidRPr="00674A05" w:rsidRDefault="00471675" w:rsidP="00471675">
      <w:pPr>
        <w:spacing w:before="100" w:beforeAutospacing="1" w:after="0" w:line="264" w:lineRule="auto"/>
        <w:ind w:firstLine="360"/>
        <w:jc w:val="both"/>
        <w:rPr>
          <w:rFonts w:ascii="Times New Roman" w:eastAsia="Times New Roman" w:hAnsi="Times New Roman" w:cs="Times New Roman"/>
          <w:sz w:val="24"/>
          <w:szCs w:val="24"/>
          <w:lang w:eastAsia="pl-PL"/>
        </w:rPr>
      </w:pPr>
      <w:r w:rsidRPr="00674A05">
        <w:rPr>
          <w:rFonts w:ascii="Times New Roman" w:eastAsia="Times New Roman" w:hAnsi="Times New Roman" w:cs="Times New Roman"/>
          <w:sz w:val="24"/>
          <w:szCs w:val="24"/>
          <w:lang w:eastAsia="pl-PL"/>
        </w:rPr>
        <w:t>Celem zarządzania ryzykiem kredytowym jest zwiększenie bezpieczeństwa prowadzonej przez Bank działalności kredytowej poprzez zapewnienie właściwej jakości ocen ryzyka kredytowego  i efektywności podejmowania decyzji kredytowych, jak również skutecznego procesu monitorowania zaangażowania kredytowego wobec pojedynczego klienta oraz całego portfela kredytowego Banku.</w:t>
      </w:r>
    </w:p>
    <w:p w14:paraId="5C821FE8" w14:textId="77777777" w:rsidR="00471675" w:rsidRPr="00674A05" w:rsidRDefault="00471675" w:rsidP="00471675">
      <w:pPr>
        <w:spacing w:before="100" w:beforeAutospacing="1" w:after="0" w:line="264" w:lineRule="auto"/>
        <w:ind w:firstLine="360"/>
        <w:jc w:val="both"/>
        <w:rPr>
          <w:rFonts w:ascii="Times New Roman" w:eastAsia="Times New Roman" w:hAnsi="Times New Roman" w:cs="Times New Roman"/>
          <w:sz w:val="24"/>
          <w:szCs w:val="24"/>
          <w:lang w:eastAsia="pl-PL"/>
        </w:rPr>
      </w:pPr>
      <w:r w:rsidRPr="00674A05">
        <w:rPr>
          <w:rFonts w:ascii="Times New Roman" w:eastAsia="Times New Roman" w:hAnsi="Times New Roman" w:cs="Times New Roman"/>
          <w:sz w:val="24"/>
          <w:szCs w:val="24"/>
          <w:lang w:eastAsia="pl-PL"/>
        </w:rPr>
        <w:t>Celem strategicznym w zakresie zarządzania ryzykiem kredytowym jest utrzymywanie stabilnego i zrównoważonego pod względem jakości i wartości portfela  kredytowego, równocześnie cechującego się wysoką dochodowością oraz bezpieczeństwem rozumianym jako  minimalizacja ryzyka wystąpienia kredytów zagrożonych.</w:t>
      </w:r>
    </w:p>
    <w:p w14:paraId="070EFE1F" w14:textId="77777777" w:rsidR="00471675" w:rsidRPr="00674A05" w:rsidRDefault="00471675" w:rsidP="00471675">
      <w:pPr>
        <w:spacing w:before="100" w:beforeAutospacing="1" w:after="0" w:line="264" w:lineRule="auto"/>
        <w:ind w:firstLine="360"/>
        <w:jc w:val="both"/>
        <w:rPr>
          <w:rFonts w:ascii="Times New Roman" w:eastAsia="Times New Roman" w:hAnsi="Times New Roman" w:cs="Times New Roman"/>
          <w:sz w:val="24"/>
          <w:szCs w:val="24"/>
          <w:lang w:eastAsia="pl-PL"/>
        </w:rPr>
      </w:pPr>
      <w:r w:rsidRPr="00674A05">
        <w:rPr>
          <w:rFonts w:ascii="Times New Roman" w:eastAsia="Times New Roman" w:hAnsi="Times New Roman" w:cs="Times New Roman"/>
          <w:sz w:val="24"/>
          <w:szCs w:val="24"/>
          <w:lang w:eastAsia="pl-PL"/>
        </w:rPr>
        <w:t>Apetyt na ryzyko kredytowe charakteryzuje akceptowalny poziom ryzyka odnoszący się    do całego portfela kredytowego.</w:t>
      </w:r>
    </w:p>
    <w:p w14:paraId="6537A1E2" w14:textId="77777777" w:rsidR="00471675" w:rsidRPr="00674A05" w:rsidRDefault="00471675" w:rsidP="00471675">
      <w:pPr>
        <w:spacing w:before="100" w:beforeAutospacing="1" w:after="0" w:line="264" w:lineRule="auto"/>
        <w:ind w:firstLine="360"/>
        <w:jc w:val="both"/>
        <w:rPr>
          <w:rFonts w:ascii="Times New Roman" w:eastAsia="Times New Roman" w:hAnsi="Times New Roman" w:cs="Times New Roman"/>
          <w:sz w:val="24"/>
          <w:szCs w:val="24"/>
          <w:lang w:eastAsia="pl-PL"/>
        </w:rPr>
      </w:pPr>
      <w:r w:rsidRPr="00674A05">
        <w:rPr>
          <w:rFonts w:ascii="Times New Roman" w:eastAsia="Times New Roman" w:hAnsi="Times New Roman" w:cs="Times New Roman"/>
          <w:sz w:val="24"/>
          <w:szCs w:val="24"/>
          <w:lang w:eastAsia="pl-PL"/>
        </w:rPr>
        <w:t xml:space="preserve">Miarę apetytu Banku na ryzyko kredytowe wyznaczają limity strategiczne: </w:t>
      </w:r>
    </w:p>
    <w:p w14:paraId="224A44E7" w14:textId="77777777" w:rsidR="00471675" w:rsidRPr="00674A05" w:rsidRDefault="00471675" w:rsidP="00471675">
      <w:pPr>
        <w:suppressAutoHyphens/>
        <w:overflowPunct w:val="0"/>
        <w:autoSpaceDE w:val="0"/>
        <w:autoSpaceDN w:val="0"/>
        <w:adjustRightInd w:val="0"/>
        <w:spacing w:after="0" w:line="264" w:lineRule="auto"/>
        <w:ind w:left="720" w:hanging="360"/>
        <w:jc w:val="both"/>
        <w:textAlignment w:val="baseline"/>
        <w:rPr>
          <w:rFonts w:ascii="Times New Roman" w:eastAsia="Times New Roman" w:hAnsi="Times New Roman" w:cs="Times New Roman"/>
          <w:sz w:val="24"/>
          <w:szCs w:val="24"/>
          <w:lang w:eastAsia="pl-PL"/>
        </w:rPr>
      </w:pPr>
      <w:r w:rsidRPr="00674A05">
        <w:rPr>
          <w:rFonts w:ascii="Times New Roman" w:eastAsia="Times New Roman" w:hAnsi="Times New Roman" w:cs="Times New Roman"/>
          <w:sz w:val="24"/>
          <w:szCs w:val="24"/>
          <w:lang w:eastAsia="pl-PL"/>
        </w:rPr>
        <w:t>1)</w:t>
      </w:r>
      <w:r w:rsidRPr="00674A05">
        <w:rPr>
          <w:rFonts w:ascii="Times New Roman" w:eastAsia="Times New Roman" w:hAnsi="Times New Roman" w:cs="Times New Roman"/>
          <w:sz w:val="14"/>
          <w:szCs w:val="14"/>
          <w:lang w:eastAsia="pl-PL"/>
        </w:rPr>
        <w:t xml:space="preserve">      </w:t>
      </w:r>
      <w:r w:rsidRPr="00674A05">
        <w:rPr>
          <w:rFonts w:ascii="Times New Roman" w:eastAsia="Times New Roman" w:hAnsi="Times New Roman" w:cs="Times New Roman"/>
          <w:sz w:val="24"/>
          <w:szCs w:val="24"/>
          <w:lang w:eastAsia="pl-PL"/>
        </w:rPr>
        <w:t>maksymalna wartość szkodowości portfela ekspozycji kredytowych wynosząca 5% (udział kredytów zaklasyfikowanych do sytuacji zagrożone (poniżej standardu, wątpliwe, stracone) w ogólnej kwocie udzielonych kredytów zaliczonych do portfela ekspozycji kredytowych).</w:t>
      </w:r>
    </w:p>
    <w:p w14:paraId="164217AE" w14:textId="77777777" w:rsidR="00471675" w:rsidRPr="00674A05" w:rsidRDefault="00471675" w:rsidP="00471675">
      <w:pPr>
        <w:suppressAutoHyphens/>
        <w:overflowPunct w:val="0"/>
        <w:autoSpaceDE w:val="0"/>
        <w:autoSpaceDN w:val="0"/>
        <w:adjustRightInd w:val="0"/>
        <w:spacing w:after="0" w:line="264" w:lineRule="auto"/>
        <w:ind w:left="720" w:hanging="360"/>
        <w:jc w:val="both"/>
        <w:textAlignment w:val="baseline"/>
        <w:rPr>
          <w:rFonts w:ascii="Times New Roman" w:eastAsia="Times New Roman" w:hAnsi="Times New Roman" w:cs="Times New Roman"/>
          <w:sz w:val="24"/>
          <w:szCs w:val="24"/>
          <w:lang w:eastAsia="pl-PL"/>
        </w:rPr>
      </w:pPr>
      <w:r w:rsidRPr="00674A05">
        <w:rPr>
          <w:rFonts w:ascii="Times New Roman" w:eastAsia="Times New Roman" w:hAnsi="Times New Roman" w:cs="Times New Roman"/>
          <w:sz w:val="24"/>
          <w:szCs w:val="24"/>
          <w:lang w:eastAsia="pl-PL"/>
        </w:rPr>
        <w:t>2)</w:t>
      </w:r>
      <w:r w:rsidRPr="00674A05">
        <w:rPr>
          <w:rFonts w:ascii="Times New Roman" w:eastAsia="Times New Roman" w:hAnsi="Times New Roman" w:cs="Times New Roman"/>
          <w:sz w:val="14"/>
          <w:szCs w:val="14"/>
          <w:lang w:eastAsia="pl-PL"/>
        </w:rPr>
        <w:t xml:space="preserve">      </w:t>
      </w:r>
      <w:r w:rsidRPr="00674A05">
        <w:rPr>
          <w:rFonts w:ascii="Times New Roman" w:eastAsia="Times New Roman" w:hAnsi="Times New Roman" w:cs="Times New Roman"/>
          <w:sz w:val="24"/>
          <w:szCs w:val="24"/>
          <w:lang w:eastAsia="pl-PL"/>
        </w:rPr>
        <w:t>maksymalny udział kredytów wymagalnych (kapitał) w  ogólnej kwocie udzielonych kredytów zaliczonych do portfela ekspozycji kredytowych wynoszący 5%.</w:t>
      </w:r>
    </w:p>
    <w:p w14:paraId="009325D0" w14:textId="77777777" w:rsidR="00471675" w:rsidRPr="00402443" w:rsidRDefault="00471675" w:rsidP="00471675">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xml:space="preserve"> </w:t>
      </w:r>
      <w:r w:rsidRPr="00402443">
        <w:rPr>
          <w:rFonts w:ascii="Times New Roman" w:eastAsia="Times New Roman" w:hAnsi="Times New Roman" w:cs="Times New Roman"/>
          <w:i/>
          <w:sz w:val="24"/>
          <w:szCs w:val="24"/>
          <w:lang w:eastAsia="pl-PL"/>
        </w:rPr>
        <w:t>Tabela apetyt na ryzyko kredytowe</w:t>
      </w:r>
    </w:p>
    <w:tbl>
      <w:tblPr>
        <w:tblW w:w="90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8"/>
        <w:gridCol w:w="3761"/>
        <w:gridCol w:w="1392"/>
        <w:gridCol w:w="1755"/>
        <w:gridCol w:w="1605"/>
      </w:tblGrid>
      <w:tr w:rsidR="000E3272" w:rsidRPr="00402443" w14:paraId="31B7B217" w14:textId="77777777" w:rsidTr="004F0D8E">
        <w:tc>
          <w:tcPr>
            <w:tcW w:w="548" w:type="dxa"/>
            <w:tcBorders>
              <w:top w:val="single" w:sz="4" w:space="0" w:color="auto"/>
              <w:left w:val="single" w:sz="4" w:space="0" w:color="auto"/>
              <w:bottom w:val="single" w:sz="4" w:space="0" w:color="auto"/>
              <w:right w:val="single" w:sz="4" w:space="0" w:color="auto"/>
            </w:tcBorders>
            <w:hideMark/>
          </w:tcPr>
          <w:p w14:paraId="281E4780"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l.p.</w:t>
            </w:r>
          </w:p>
        </w:tc>
        <w:tc>
          <w:tcPr>
            <w:tcW w:w="3761" w:type="dxa"/>
            <w:tcBorders>
              <w:top w:val="single" w:sz="4" w:space="0" w:color="auto"/>
              <w:left w:val="single" w:sz="4" w:space="0" w:color="auto"/>
              <w:bottom w:val="single" w:sz="4" w:space="0" w:color="auto"/>
              <w:right w:val="single" w:sz="4" w:space="0" w:color="auto"/>
            </w:tcBorders>
            <w:hideMark/>
          </w:tcPr>
          <w:p w14:paraId="2CA9B00D"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Nazwa wskaźnika </w:t>
            </w:r>
          </w:p>
        </w:tc>
        <w:tc>
          <w:tcPr>
            <w:tcW w:w="1392" w:type="dxa"/>
            <w:tcBorders>
              <w:top w:val="single" w:sz="4" w:space="0" w:color="auto"/>
              <w:left w:val="single" w:sz="4" w:space="0" w:color="auto"/>
              <w:bottom w:val="single" w:sz="4" w:space="0" w:color="auto"/>
              <w:right w:val="single" w:sz="4" w:space="0" w:color="auto"/>
            </w:tcBorders>
            <w:hideMark/>
          </w:tcPr>
          <w:p w14:paraId="04D3AAB2"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Maksymalny poziom </w:t>
            </w:r>
          </w:p>
        </w:tc>
        <w:tc>
          <w:tcPr>
            <w:tcW w:w="1755" w:type="dxa"/>
            <w:tcBorders>
              <w:top w:val="single" w:sz="4" w:space="0" w:color="auto"/>
              <w:left w:val="single" w:sz="4" w:space="0" w:color="auto"/>
              <w:bottom w:val="single" w:sz="4" w:space="0" w:color="auto"/>
              <w:right w:val="single" w:sz="4" w:space="0" w:color="auto"/>
            </w:tcBorders>
            <w:hideMark/>
          </w:tcPr>
          <w:p w14:paraId="474820D4" w14:textId="77777777" w:rsidR="00471675" w:rsidRPr="00402443" w:rsidRDefault="00471675" w:rsidP="00402443">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Wartość wg stanu na 31.12.20</w:t>
            </w:r>
            <w:r w:rsidR="00402443" w:rsidRPr="00402443">
              <w:rPr>
                <w:rFonts w:ascii="Times New Roman" w:eastAsia="Times New Roman" w:hAnsi="Times New Roman" w:cs="Times New Roman"/>
                <w:sz w:val="20"/>
                <w:szCs w:val="20"/>
                <w:lang w:eastAsia="pl-PL"/>
              </w:rPr>
              <w:t>20</w:t>
            </w:r>
            <w:r w:rsidRPr="00402443">
              <w:rPr>
                <w:rFonts w:ascii="Times New Roman" w:eastAsia="Times New Roman" w:hAnsi="Times New Roman" w:cs="Times New Roman"/>
                <w:sz w:val="20"/>
                <w:szCs w:val="20"/>
                <w:lang w:eastAsia="pl-PL"/>
              </w:rPr>
              <w:t xml:space="preserve"> r.</w:t>
            </w:r>
          </w:p>
        </w:tc>
        <w:tc>
          <w:tcPr>
            <w:tcW w:w="1605" w:type="dxa"/>
            <w:tcBorders>
              <w:top w:val="single" w:sz="4" w:space="0" w:color="auto"/>
              <w:left w:val="single" w:sz="4" w:space="0" w:color="auto"/>
              <w:bottom w:val="single" w:sz="4" w:space="0" w:color="auto"/>
              <w:right w:val="single" w:sz="4" w:space="0" w:color="auto"/>
            </w:tcBorders>
            <w:hideMark/>
          </w:tcPr>
          <w:p w14:paraId="35204304"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Osiągnięcie celu strategicznego </w:t>
            </w:r>
          </w:p>
        </w:tc>
      </w:tr>
      <w:tr w:rsidR="000E3272" w:rsidRPr="00402443" w14:paraId="7389A7D3" w14:textId="77777777" w:rsidTr="004F0D8E">
        <w:tc>
          <w:tcPr>
            <w:tcW w:w="548" w:type="dxa"/>
            <w:tcBorders>
              <w:top w:val="single" w:sz="4" w:space="0" w:color="auto"/>
              <w:left w:val="single" w:sz="4" w:space="0" w:color="auto"/>
              <w:bottom w:val="single" w:sz="4" w:space="0" w:color="auto"/>
              <w:right w:val="single" w:sz="4" w:space="0" w:color="auto"/>
            </w:tcBorders>
            <w:hideMark/>
          </w:tcPr>
          <w:p w14:paraId="6F37FAB0"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1</w:t>
            </w:r>
          </w:p>
        </w:tc>
        <w:tc>
          <w:tcPr>
            <w:tcW w:w="3761" w:type="dxa"/>
            <w:tcBorders>
              <w:top w:val="single" w:sz="4" w:space="0" w:color="auto"/>
              <w:left w:val="single" w:sz="4" w:space="0" w:color="auto"/>
              <w:bottom w:val="single" w:sz="4" w:space="0" w:color="auto"/>
              <w:right w:val="single" w:sz="4" w:space="0" w:color="auto"/>
            </w:tcBorders>
            <w:hideMark/>
          </w:tcPr>
          <w:p w14:paraId="51992613"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szkodowości portfela ekspozycji kredytowych (udział kredytów zaklasyfikowanych do sytuacji zagrożone (poniżej standardu, wątpliwe, stracone) w ogólnej kwocie udzielonych kredytów zaliczonych do portfela ekspozycji kredytowych)</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B5695B8"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Max 5%</w:t>
            </w:r>
          </w:p>
        </w:tc>
        <w:tc>
          <w:tcPr>
            <w:tcW w:w="1755" w:type="dxa"/>
            <w:tcBorders>
              <w:top w:val="single" w:sz="4" w:space="0" w:color="auto"/>
              <w:left w:val="single" w:sz="4" w:space="0" w:color="auto"/>
              <w:bottom w:val="single" w:sz="4" w:space="0" w:color="auto"/>
              <w:right w:val="single" w:sz="4" w:space="0" w:color="auto"/>
            </w:tcBorders>
            <w:vAlign w:val="center"/>
            <w:hideMark/>
          </w:tcPr>
          <w:p w14:paraId="43BAA67C" w14:textId="77777777" w:rsidR="00471675" w:rsidRPr="00402443" w:rsidRDefault="00EE2F86" w:rsidP="00402443">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1,</w:t>
            </w:r>
            <w:r w:rsidR="00402443" w:rsidRPr="00402443">
              <w:rPr>
                <w:rFonts w:ascii="Times New Roman" w:eastAsia="Times New Roman" w:hAnsi="Times New Roman" w:cs="Times New Roman"/>
                <w:sz w:val="20"/>
                <w:szCs w:val="20"/>
                <w:lang w:eastAsia="pl-PL"/>
              </w:rPr>
              <w:t>38</w:t>
            </w:r>
            <w:r w:rsidR="00471675" w:rsidRPr="00402443">
              <w:rPr>
                <w:rFonts w:ascii="Times New Roman" w:eastAsia="Times New Roman" w:hAnsi="Times New Roman" w:cs="Times New Roman"/>
                <w:sz w:val="20"/>
                <w:szCs w:val="20"/>
                <w:lang w:eastAsia="pl-PL"/>
              </w:rPr>
              <w:t>%</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A91B996"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cel osiągnięty</w:t>
            </w:r>
          </w:p>
        </w:tc>
      </w:tr>
      <w:tr w:rsidR="000E3272" w:rsidRPr="00402443" w14:paraId="2E4AB2C5" w14:textId="77777777" w:rsidTr="004F0D8E">
        <w:tc>
          <w:tcPr>
            <w:tcW w:w="548" w:type="dxa"/>
            <w:tcBorders>
              <w:top w:val="single" w:sz="4" w:space="0" w:color="auto"/>
              <w:left w:val="single" w:sz="4" w:space="0" w:color="auto"/>
              <w:bottom w:val="single" w:sz="4" w:space="0" w:color="auto"/>
              <w:right w:val="single" w:sz="4" w:space="0" w:color="auto"/>
            </w:tcBorders>
            <w:hideMark/>
          </w:tcPr>
          <w:p w14:paraId="02F83EEB"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2</w:t>
            </w:r>
          </w:p>
        </w:tc>
        <w:tc>
          <w:tcPr>
            <w:tcW w:w="3761" w:type="dxa"/>
            <w:tcBorders>
              <w:top w:val="single" w:sz="4" w:space="0" w:color="auto"/>
              <w:left w:val="single" w:sz="4" w:space="0" w:color="auto"/>
              <w:bottom w:val="single" w:sz="4" w:space="0" w:color="auto"/>
              <w:right w:val="single" w:sz="4" w:space="0" w:color="auto"/>
            </w:tcBorders>
            <w:hideMark/>
          </w:tcPr>
          <w:p w14:paraId="08927B31"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udział kredytów wymagalnych ( kapitał ) w  ogólnej kwocie udzielonych kredytów zaliczonych do portfela ekspozycji kredytowych</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68CB4A8"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Max 5%</w:t>
            </w:r>
          </w:p>
        </w:tc>
        <w:tc>
          <w:tcPr>
            <w:tcW w:w="1755" w:type="dxa"/>
            <w:tcBorders>
              <w:top w:val="single" w:sz="4" w:space="0" w:color="auto"/>
              <w:left w:val="single" w:sz="4" w:space="0" w:color="auto"/>
              <w:bottom w:val="single" w:sz="4" w:space="0" w:color="auto"/>
              <w:right w:val="single" w:sz="4" w:space="0" w:color="auto"/>
            </w:tcBorders>
            <w:vAlign w:val="center"/>
            <w:hideMark/>
          </w:tcPr>
          <w:p w14:paraId="0EFB8829" w14:textId="77777777" w:rsidR="00471675" w:rsidRPr="00402443" w:rsidRDefault="00471675" w:rsidP="00EE2F86">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0,</w:t>
            </w:r>
            <w:r w:rsidR="00402443" w:rsidRPr="00402443">
              <w:rPr>
                <w:rFonts w:ascii="Times New Roman" w:eastAsia="Times New Roman" w:hAnsi="Times New Roman" w:cs="Times New Roman"/>
                <w:sz w:val="20"/>
                <w:szCs w:val="20"/>
                <w:lang w:eastAsia="pl-PL"/>
              </w:rPr>
              <w:t>61</w:t>
            </w:r>
            <w:r w:rsidRPr="00402443">
              <w:rPr>
                <w:rFonts w:ascii="Times New Roman" w:eastAsia="Times New Roman" w:hAnsi="Times New Roman" w:cs="Times New Roman"/>
                <w:sz w:val="20"/>
                <w:szCs w:val="20"/>
                <w:lang w:eastAsia="pl-PL"/>
              </w:rPr>
              <w:t>%</w:t>
            </w:r>
          </w:p>
        </w:tc>
        <w:tc>
          <w:tcPr>
            <w:tcW w:w="1605" w:type="dxa"/>
            <w:tcBorders>
              <w:top w:val="single" w:sz="4" w:space="0" w:color="auto"/>
              <w:left w:val="single" w:sz="4" w:space="0" w:color="auto"/>
              <w:bottom w:val="single" w:sz="4" w:space="0" w:color="auto"/>
              <w:right w:val="single" w:sz="4" w:space="0" w:color="auto"/>
            </w:tcBorders>
            <w:vAlign w:val="center"/>
            <w:hideMark/>
          </w:tcPr>
          <w:p w14:paraId="62A35041"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cel osiągnięty</w:t>
            </w:r>
          </w:p>
        </w:tc>
      </w:tr>
    </w:tbl>
    <w:p w14:paraId="02B8EB4A" w14:textId="77777777" w:rsidR="00471675" w:rsidRPr="00402443" w:rsidRDefault="00471675" w:rsidP="00471675">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Uwzględniając model biznesowy Banku a także otoczenie konkurencyjne, Bank wyznaczył następujące pozostałe cele strategiczne w zakresie zarządzania ryzykiem kredytowym:</w:t>
      </w:r>
    </w:p>
    <w:p w14:paraId="0B272072" w14:textId="77777777" w:rsidR="00471675" w:rsidRPr="00402443" w:rsidRDefault="00471675" w:rsidP="00471675">
      <w:pPr>
        <w:tabs>
          <w:tab w:val="num" w:pos="720"/>
        </w:tabs>
        <w:spacing w:after="0" w:line="264" w:lineRule="auto"/>
        <w:ind w:left="720" w:hanging="360"/>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4"/>
          <w:lang w:eastAsia="pl-PL"/>
        </w:rPr>
        <w:t>1)</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rozwijanie skali działalności kredytowej Banku w granicach określonych w Strategii działania Banku, zatwierdzonych przez Zarząd i Radę Nadzorczą;</w:t>
      </w:r>
    </w:p>
    <w:p w14:paraId="77146F7C" w14:textId="77777777" w:rsidR="00471675" w:rsidRPr="00402443" w:rsidRDefault="00471675" w:rsidP="00471675">
      <w:pPr>
        <w:tabs>
          <w:tab w:val="num" w:pos="720"/>
        </w:tabs>
        <w:spacing w:after="0" w:line="264" w:lineRule="auto"/>
        <w:ind w:left="720" w:hanging="360"/>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4"/>
          <w:lang w:eastAsia="pl-PL"/>
        </w:rPr>
        <w:t>2)</w:t>
      </w:r>
      <w:r w:rsidRPr="00402443">
        <w:rPr>
          <w:rFonts w:ascii="Times New Roman" w:eastAsia="Times New Roman" w:hAnsi="Times New Roman" w:cs="Times New Roman"/>
          <w:sz w:val="14"/>
          <w:szCs w:val="14"/>
          <w:lang w:eastAsia="pl-PL"/>
        </w:rPr>
        <w:t xml:space="preserve">       </w:t>
      </w:r>
      <w:r w:rsidR="000B1419">
        <w:rPr>
          <w:rFonts w:ascii="Times New Roman" w:eastAsia="Times New Roman" w:hAnsi="Times New Roman" w:cs="Times New Roman"/>
          <w:sz w:val="24"/>
          <w:szCs w:val="24"/>
          <w:lang w:eastAsia="pl-PL"/>
        </w:rPr>
        <w:t>wdrożenie</w:t>
      </w:r>
      <w:r w:rsidRPr="00402443">
        <w:rPr>
          <w:rFonts w:ascii="Times New Roman" w:eastAsia="Times New Roman" w:hAnsi="Times New Roman" w:cs="Times New Roman"/>
          <w:sz w:val="24"/>
          <w:szCs w:val="24"/>
          <w:lang w:eastAsia="pl-PL"/>
        </w:rPr>
        <w:t xml:space="preserve"> systemów informatycznych wspomagających zarządzanie ryzykiem kredytowym ekspozycji kredytowej i portfela kredytowego;</w:t>
      </w:r>
    </w:p>
    <w:p w14:paraId="6605D01C" w14:textId="77777777" w:rsidR="00471675" w:rsidRPr="00402443" w:rsidRDefault="00471675" w:rsidP="00471675">
      <w:pPr>
        <w:tabs>
          <w:tab w:val="num" w:pos="720"/>
        </w:tabs>
        <w:spacing w:after="0" w:line="264" w:lineRule="auto"/>
        <w:ind w:left="720" w:hanging="360"/>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4"/>
          <w:lang w:eastAsia="pl-PL"/>
        </w:rPr>
        <w:lastRenderedPageBreak/>
        <w:t>3)</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utrzymywanie stabilnego i zrównoważonego pod względem jakości i wartości portfela  kredytowego, cechującego się odpowiednią dochodowością oraz bezpieczeństwem rozumianym jako  minimalizacja ryzyka wystąpienia kredytów zagrożonych;</w:t>
      </w:r>
    </w:p>
    <w:p w14:paraId="080DBEA2" w14:textId="77777777" w:rsidR="00471675" w:rsidRPr="00402443" w:rsidRDefault="00471675" w:rsidP="00471675">
      <w:pPr>
        <w:tabs>
          <w:tab w:val="num" w:pos="720"/>
        </w:tabs>
        <w:spacing w:after="0" w:line="264" w:lineRule="auto"/>
        <w:ind w:left="720" w:hanging="360"/>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4"/>
          <w:lang w:eastAsia="pl-PL"/>
        </w:rPr>
        <w:t>4)</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rozszerzenie współpracy  z innymi Bankami w  zakresie zawierania konsorcjów bankowych;</w:t>
      </w:r>
    </w:p>
    <w:p w14:paraId="1256F504" w14:textId="77777777" w:rsidR="00471675" w:rsidRPr="00402443" w:rsidRDefault="00471675" w:rsidP="00471675">
      <w:pPr>
        <w:tabs>
          <w:tab w:val="num" w:pos="720"/>
        </w:tabs>
        <w:spacing w:after="0" w:line="264" w:lineRule="auto"/>
        <w:ind w:left="720" w:hanging="360"/>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4"/>
          <w:lang w:eastAsia="pl-PL"/>
        </w:rPr>
        <w:t>5)</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budowa i rozwijanie systemów pomiaru i analizy ryzyka kredytowego (CIRM,BIK Przedsiębiorca);</w:t>
      </w:r>
    </w:p>
    <w:p w14:paraId="2D025BB8" w14:textId="77777777" w:rsidR="00471675" w:rsidRPr="00402443" w:rsidRDefault="00471675" w:rsidP="00471675">
      <w:pPr>
        <w:tabs>
          <w:tab w:val="num" w:pos="720"/>
        </w:tabs>
        <w:spacing w:after="0" w:line="264" w:lineRule="auto"/>
        <w:ind w:left="720" w:hanging="360"/>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4"/>
          <w:lang w:eastAsia="pl-PL"/>
        </w:rPr>
        <w:t>6)</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budowa oferty kredytowej Banku z uwzględnieniem otoczenia  konkurencyjnego oraz warunków rynkowych, w których funkcjonuje Bank.</w:t>
      </w:r>
    </w:p>
    <w:p w14:paraId="4E855D56" w14:textId="77777777" w:rsidR="00471675" w:rsidRPr="00402443" w:rsidRDefault="00471675" w:rsidP="00471675">
      <w:pPr>
        <w:spacing w:before="100" w:beforeAutospacing="1" w:after="0" w:line="264" w:lineRule="auto"/>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W celu osiągania długofalowych zamierzeń w zakresie ryzyka kredytowego, w Banku uwzględnia się czynniki ryzyka koncentracji zaangażowań.</w:t>
      </w:r>
    </w:p>
    <w:p w14:paraId="6D5A8E9F" w14:textId="77777777" w:rsidR="00471675" w:rsidRPr="00402443" w:rsidRDefault="00471675" w:rsidP="00471675">
      <w:pPr>
        <w:spacing w:before="100" w:beforeAutospacing="1" w:after="0" w:line="264" w:lineRule="auto"/>
        <w:ind w:firstLine="360"/>
        <w:jc w:val="both"/>
        <w:outlineLvl w:val="0"/>
        <w:rPr>
          <w:rFonts w:ascii="Times New Roman" w:eastAsia="Times New Roman" w:hAnsi="Times New Roman" w:cs="Times New Roman"/>
          <w:sz w:val="24"/>
          <w:szCs w:val="24"/>
          <w:lang w:eastAsia="pl-PL"/>
        </w:rPr>
      </w:pPr>
      <w:bookmarkStart w:id="8" w:name="_Toc13650957"/>
      <w:bookmarkStart w:id="9" w:name="_Toc44930260"/>
      <w:r w:rsidRPr="00402443">
        <w:rPr>
          <w:rFonts w:ascii="Times New Roman" w:eastAsia="Times New Roman" w:hAnsi="Times New Roman" w:cs="Times New Roman"/>
          <w:bCs/>
          <w:sz w:val="24"/>
          <w:szCs w:val="24"/>
          <w:lang w:eastAsia="pl-PL"/>
        </w:rPr>
        <w:t>Ocena realizacji celów strategicznych obejmuje monitorowanie limitów strategicznych.     W przypadku osiągnięcia wykorzystania limitów strategicznych na poziomie ostrzegawczym przewyższającym 90%, Bank podejmuje następujące działania:</w:t>
      </w:r>
      <w:bookmarkEnd w:id="8"/>
      <w:bookmarkEnd w:id="9"/>
    </w:p>
    <w:p w14:paraId="461E568F" w14:textId="77777777" w:rsidR="00471675" w:rsidRPr="00402443" w:rsidRDefault="00471675" w:rsidP="00471675">
      <w:pPr>
        <w:tabs>
          <w:tab w:val="num" w:pos="426"/>
          <w:tab w:val="num" w:pos="1724"/>
        </w:tabs>
        <w:spacing w:after="0" w:line="264" w:lineRule="auto"/>
        <w:ind w:left="601" w:hanging="459"/>
        <w:jc w:val="both"/>
        <w:outlineLvl w:val="0"/>
        <w:rPr>
          <w:rFonts w:ascii="Times New Roman" w:eastAsia="Times New Roman" w:hAnsi="Times New Roman" w:cs="Times New Roman"/>
          <w:sz w:val="24"/>
          <w:szCs w:val="24"/>
          <w:lang w:eastAsia="pl-PL"/>
        </w:rPr>
      </w:pPr>
      <w:bookmarkStart w:id="10" w:name="_Toc13650958"/>
      <w:bookmarkStart w:id="11" w:name="_Toc44930261"/>
      <w:r w:rsidRPr="00402443">
        <w:rPr>
          <w:rFonts w:ascii="Times New Roman" w:eastAsia="Times New Roman" w:hAnsi="Times New Roman" w:cs="Times New Roman"/>
          <w:sz w:val="24"/>
          <w:szCs w:val="24"/>
          <w:lang w:eastAsia="pl-PL"/>
        </w:rPr>
        <w:t>1)</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dodatkowa weryfikacja zasad oceny ryzyka kredytowego pojedynczych transakcji kredytowych,</w:t>
      </w:r>
      <w:bookmarkEnd w:id="10"/>
      <w:bookmarkEnd w:id="11"/>
    </w:p>
    <w:p w14:paraId="14EB7BE7" w14:textId="77777777" w:rsidR="00471675" w:rsidRPr="00402443" w:rsidRDefault="00471675" w:rsidP="00471675">
      <w:pPr>
        <w:tabs>
          <w:tab w:val="left" w:pos="426"/>
          <w:tab w:val="num" w:pos="1724"/>
        </w:tabs>
        <w:spacing w:after="0" w:line="264" w:lineRule="auto"/>
        <w:ind w:left="601" w:hanging="459"/>
        <w:jc w:val="both"/>
        <w:outlineLvl w:val="0"/>
        <w:rPr>
          <w:rFonts w:ascii="Times New Roman" w:eastAsia="Times New Roman" w:hAnsi="Times New Roman" w:cs="Times New Roman"/>
          <w:sz w:val="24"/>
          <w:szCs w:val="24"/>
          <w:lang w:eastAsia="pl-PL"/>
        </w:rPr>
      </w:pPr>
      <w:bookmarkStart w:id="12" w:name="_Toc13650959"/>
      <w:bookmarkStart w:id="13" w:name="_Toc44930262"/>
      <w:r w:rsidRPr="00402443">
        <w:rPr>
          <w:rFonts w:ascii="Times New Roman" w:eastAsia="Times New Roman" w:hAnsi="Times New Roman" w:cs="Times New Roman"/>
          <w:sz w:val="24"/>
          <w:szCs w:val="24"/>
          <w:lang w:eastAsia="pl-PL"/>
        </w:rPr>
        <w:t>2)</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zwiększenie częstotliwości i zakresu kontroli wewnętrznej w obszarze ryzyka kredytowego,</w:t>
      </w:r>
      <w:bookmarkEnd w:id="12"/>
      <w:bookmarkEnd w:id="13"/>
    </w:p>
    <w:p w14:paraId="28FCF921" w14:textId="77777777" w:rsidR="00471675" w:rsidRPr="00402443" w:rsidRDefault="00471675" w:rsidP="00471675">
      <w:pPr>
        <w:tabs>
          <w:tab w:val="left" w:pos="426"/>
          <w:tab w:val="num" w:pos="1724"/>
        </w:tabs>
        <w:spacing w:after="0" w:line="264" w:lineRule="auto"/>
        <w:ind w:left="426" w:hanging="284"/>
        <w:jc w:val="both"/>
        <w:outlineLvl w:val="0"/>
        <w:rPr>
          <w:rFonts w:ascii="Times New Roman" w:eastAsia="Times New Roman" w:hAnsi="Times New Roman" w:cs="Times New Roman"/>
          <w:sz w:val="24"/>
          <w:szCs w:val="24"/>
          <w:lang w:eastAsia="pl-PL"/>
        </w:rPr>
      </w:pPr>
      <w:bookmarkStart w:id="14" w:name="_Toc13650960"/>
      <w:bookmarkStart w:id="15" w:name="_Toc44930263"/>
      <w:r w:rsidRPr="00402443">
        <w:rPr>
          <w:rFonts w:ascii="Times New Roman" w:eastAsia="Times New Roman" w:hAnsi="Times New Roman" w:cs="Times New Roman"/>
          <w:sz w:val="24"/>
          <w:szCs w:val="24"/>
          <w:lang w:eastAsia="pl-PL"/>
        </w:rPr>
        <w:t>3)</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optymalizacja procesu kredytowego w celu wyeliminowania stwierdzonych                                  i potencjalnych zagrożeń, w tym weryfikacja pełnomocnictw dotyczących podejmowania decyzji kredytowych,</w:t>
      </w:r>
      <w:bookmarkEnd w:id="14"/>
      <w:bookmarkEnd w:id="15"/>
    </w:p>
    <w:p w14:paraId="0BEE20E9" w14:textId="77777777" w:rsidR="00471675" w:rsidRPr="00402443" w:rsidRDefault="00471675" w:rsidP="00471675">
      <w:pPr>
        <w:tabs>
          <w:tab w:val="num" w:pos="426"/>
          <w:tab w:val="num" w:pos="1724"/>
        </w:tabs>
        <w:spacing w:after="0" w:line="264" w:lineRule="auto"/>
        <w:ind w:firstLine="142"/>
        <w:jc w:val="both"/>
        <w:outlineLvl w:val="0"/>
        <w:rPr>
          <w:rFonts w:ascii="Times New Roman" w:eastAsia="Times New Roman" w:hAnsi="Times New Roman" w:cs="Times New Roman"/>
          <w:sz w:val="24"/>
          <w:szCs w:val="24"/>
          <w:lang w:eastAsia="pl-PL"/>
        </w:rPr>
      </w:pPr>
      <w:bookmarkStart w:id="16" w:name="_Toc13650961"/>
      <w:bookmarkStart w:id="17" w:name="_Toc44930264"/>
      <w:r w:rsidRPr="00402443">
        <w:rPr>
          <w:rFonts w:ascii="Times New Roman" w:eastAsia="Times New Roman" w:hAnsi="Times New Roman" w:cs="Times New Roman"/>
          <w:sz w:val="24"/>
          <w:szCs w:val="24"/>
          <w:lang w:eastAsia="pl-PL"/>
        </w:rPr>
        <w:t>4)</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bCs/>
          <w:sz w:val="24"/>
          <w:szCs w:val="24"/>
          <w:lang w:eastAsia="pl-PL"/>
        </w:rPr>
        <w:t>zwiększenie częstotliwości i zakresu monitoringu ekspozycji kredytowych,</w:t>
      </w:r>
      <w:bookmarkEnd w:id="16"/>
      <w:bookmarkEnd w:id="17"/>
    </w:p>
    <w:p w14:paraId="49714DC8" w14:textId="77777777" w:rsidR="00471675" w:rsidRPr="00402443" w:rsidRDefault="00471675" w:rsidP="00471675">
      <w:pPr>
        <w:spacing w:before="100" w:beforeAutospacing="1" w:after="0" w:line="264" w:lineRule="auto"/>
        <w:jc w:val="both"/>
        <w:outlineLvl w:val="0"/>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w:t>
      </w:r>
      <w:bookmarkStart w:id="18" w:name="_Toc13650962"/>
      <w:bookmarkStart w:id="19" w:name="_Toc44930265"/>
      <w:r w:rsidR="00F44B5F" w:rsidRPr="00402443">
        <w:rPr>
          <w:rFonts w:ascii="Times New Roman" w:eastAsia="Times New Roman" w:hAnsi="Times New Roman" w:cs="Times New Roman"/>
          <w:sz w:val="24"/>
          <w:szCs w:val="24"/>
          <w:lang w:eastAsia="pl-PL"/>
        </w:rPr>
        <w:t>Na koniec 20</w:t>
      </w:r>
      <w:r w:rsidR="00402443" w:rsidRPr="00402443">
        <w:rPr>
          <w:rFonts w:ascii="Times New Roman" w:eastAsia="Times New Roman" w:hAnsi="Times New Roman" w:cs="Times New Roman"/>
          <w:sz w:val="24"/>
          <w:szCs w:val="24"/>
          <w:lang w:eastAsia="pl-PL"/>
        </w:rPr>
        <w:t>20</w:t>
      </w:r>
      <w:r w:rsidRPr="00402443">
        <w:rPr>
          <w:rFonts w:ascii="Times New Roman" w:eastAsia="Times New Roman" w:hAnsi="Times New Roman" w:cs="Times New Roman"/>
          <w:sz w:val="24"/>
          <w:szCs w:val="24"/>
          <w:lang w:eastAsia="pl-PL"/>
        </w:rPr>
        <w:t xml:space="preserve"> r. wszystkie cele strategiczne zostały zrealizowane. Wykorzystanie limitów        w Banku nie przekraczało poziomu ostrzegawczego, tj. powyżej 90%.</w:t>
      </w:r>
      <w:bookmarkEnd w:id="18"/>
      <w:bookmarkEnd w:id="19"/>
      <w:r w:rsidRPr="00402443">
        <w:rPr>
          <w:rFonts w:ascii="Times New Roman" w:eastAsia="Times New Roman" w:hAnsi="Times New Roman" w:cs="Times New Roman"/>
          <w:sz w:val="24"/>
          <w:szCs w:val="24"/>
          <w:lang w:eastAsia="pl-PL"/>
        </w:rPr>
        <w:t xml:space="preserve"> </w:t>
      </w:r>
    </w:p>
    <w:p w14:paraId="1AC1C1E8" w14:textId="77777777" w:rsidR="00471675" w:rsidRPr="00402443" w:rsidRDefault="00471675" w:rsidP="00471675">
      <w:pPr>
        <w:spacing w:before="100" w:beforeAutospacing="1" w:after="0" w:line="264" w:lineRule="auto"/>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w:t>
      </w:r>
      <w:r w:rsidRPr="00402443">
        <w:rPr>
          <w:rFonts w:ascii="Times New Roman" w:eastAsia="Times New Roman" w:hAnsi="Times New Roman" w:cs="Times New Roman"/>
          <w:b/>
          <w:sz w:val="24"/>
          <w:szCs w:val="24"/>
          <w:lang w:eastAsia="pl-PL"/>
        </w:rPr>
        <w:t xml:space="preserve">Detaliczne ekspozycje kredytowe </w:t>
      </w:r>
    </w:p>
    <w:p w14:paraId="1638A95D" w14:textId="77777777" w:rsidR="00471675" w:rsidRPr="00402443" w:rsidRDefault="00471675" w:rsidP="00471675">
      <w:pPr>
        <w:spacing w:before="100" w:beforeAutospacing="1" w:after="0" w:line="264" w:lineRule="auto"/>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b/>
          <w:sz w:val="24"/>
          <w:szCs w:val="24"/>
          <w:lang w:eastAsia="pl-PL"/>
        </w:rPr>
        <w:t> </w:t>
      </w:r>
      <w:r w:rsidRPr="00402443">
        <w:rPr>
          <w:rFonts w:ascii="Times New Roman" w:eastAsia="Times New Roman" w:hAnsi="Times New Roman" w:cs="Times New Roman"/>
          <w:b/>
          <w:sz w:val="24"/>
          <w:szCs w:val="24"/>
          <w:lang w:eastAsia="pl-PL"/>
        </w:rPr>
        <w:tab/>
      </w:r>
      <w:r w:rsidRPr="00402443">
        <w:rPr>
          <w:rFonts w:ascii="Times New Roman" w:eastAsia="Times New Roman" w:hAnsi="Times New Roman" w:cs="Times New Roman"/>
          <w:sz w:val="24"/>
          <w:szCs w:val="24"/>
          <w:lang w:eastAsia="pl-PL"/>
        </w:rPr>
        <w:t xml:space="preserve">W celu wyeliminowania nadmiernego ryzyka wynikającego z działalności kredytowej   w zakresie detalicznych ekspozycji kredytowych Bank wprowadził ograniczenia rekomendowane przez Komisję Nadzoru Finansowego w ramach Rekomendacji </w:t>
      </w:r>
      <w:r w:rsidRPr="00402443">
        <w:rPr>
          <w:rFonts w:ascii="Times New Roman" w:eastAsia="Times New Roman" w:hAnsi="Times New Roman" w:cs="Times New Roman"/>
          <w:sz w:val="24"/>
          <w:szCs w:val="24"/>
          <w:lang w:eastAsia="pl-PL"/>
        </w:rPr>
        <w:br/>
        <w:t xml:space="preserve">T, uwzględniając skalę prowadzonej działalności oraz stopień złożoności struktury i teren działania. Podstawowym celem strategicznym w zakresie zarządzenia ryzykiem detalicznych ekspozycji kredytowych jest zapewnienie bezpiecznej i efektywnej działalności Banku                   w obszarze detalicznych ekspozycji kredytowych w długoterminowej perspektywie, z uwzględnieniem wrażliwości na zmiany warunków otoczenia oraz oddziaływania na poziom ryzyka tych ekspozycji, poprzez właściwy dobór klientów. </w:t>
      </w:r>
    </w:p>
    <w:p w14:paraId="16C62496" w14:textId="77777777" w:rsidR="00471675" w:rsidRPr="00402443" w:rsidRDefault="00471675" w:rsidP="00471675">
      <w:pPr>
        <w:spacing w:before="100" w:beforeAutospacing="1" w:after="0" w:line="264" w:lineRule="auto"/>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xml:space="preserve"> Miarą apetytu Banku na ryzyko związane z portfelem detalicznych ekspozycji kredytowych jest: </w:t>
      </w:r>
    </w:p>
    <w:p w14:paraId="4A765320" w14:textId="77777777" w:rsidR="00471675" w:rsidRPr="00402443" w:rsidRDefault="00471675" w:rsidP="00471675">
      <w:pPr>
        <w:tabs>
          <w:tab w:val="num" w:pos="720"/>
        </w:tabs>
        <w:suppressAutoHyphens/>
        <w:overflowPunct w:val="0"/>
        <w:autoSpaceDE w:val="0"/>
        <w:autoSpaceDN w:val="0"/>
        <w:adjustRightInd w:val="0"/>
        <w:spacing w:after="0" w:line="264" w:lineRule="auto"/>
        <w:ind w:left="709" w:hanging="425"/>
        <w:jc w:val="both"/>
        <w:textAlignment w:val="baseline"/>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1)</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 xml:space="preserve">maksymalny poziom wykorzystania limitów wewnętrznych koncentracji zaangażowań z tytułu detalicznych ekspozycji kredytowych; </w:t>
      </w:r>
    </w:p>
    <w:p w14:paraId="385FDB27" w14:textId="77777777" w:rsidR="00471675" w:rsidRPr="00402443" w:rsidRDefault="00471675" w:rsidP="00471675">
      <w:pPr>
        <w:tabs>
          <w:tab w:val="num" w:pos="720"/>
        </w:tabs>
        <w:suppressAutoHyphens/>
        <w:overflowPunct w:val="0"/>
        <w:autoSpaceDE w:val="0"/>
        <w:autoSpaceDN w:val="0"/>
        <w:adjustRightInd w:val="0"/>
        <w:spacing w:after="0" w:line="264" w:lineRule="auto"/>
        <w:ind w:left="709" w:hanging="425"/>
        <w:jc w:val="both"/>
        <w:textAlignment w:val="baseline"/>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lastRenderedPageBreak/>
        <w:t>2)</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maksymalna wartość wskaźnika DtI  wynosząca 65%;</w:t>
      </w:r>
    </w:p>
    <w:p w14:paraId="5067298E" w14:textId="77777777" w:rsidR="00471675" w:rsidRPr="00402443" w:rsidRDefault="00471675" w:rsidP="00471675">
      <w:pPr>
        <w:suppressAutoHyphens/>
        <w:overflowPunct w:val="0"/>
        <w:autoSpaceDE w:val="0"/>
        <w:autoSpaceDN w:val="0"/>
        <w:adjustRightInd w:val="0"/>
        <w:spacing w:after="0" w:line="264" w:lineRule="auto"/>
        <w:ind w:left="709" w:hanging="425"/>
        <w:jc w:val="both"/>
        <w:textAlignment w:val="baseline"/>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3)</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 xml:space="preserve">maksymalna wartość szkodowości portfela detalicznych ekspozycji kredytowych wynosząca 5% (udział kredytów zaklasyfikowanych do sytuacji zagrożone (stracone) </w:t>
      </w:r>
      <w:r w:rsidRPr="00402443">
        <w:rPr>
          <w:rFonts w:ascii="Times New Roman" w:eastAsia="Times New Roman" w:hAnsi="Times New Roman" w:cs="Times New Roman"/>
          <w:sz w:val="24"/>
          <w:szCs w:val="24"/>
          <w:lang w:eastAsia="pl-PL"/>
        </w:rPr>
        <w:br/>
        <w:t>w ogólnej kwocie udzielonych kredytów zaliczonych do portfela detalicznych ekspozycji kredytowych).</w:t>
      </w:r>
    </w:p>
    <w:p w14:paraId="20B203E1" w14:textId="77777777" w:rsidR="00471675" w:rsidRPr="00402443" w:rsidRDefault="00471675" w:rsidP="00471675">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w:t>
      </w:r>
      <w:r w:rsidRPr="00402443">
        <w:rPr>
          <w:rFonts w:ascii="Times New Roman" w:eastAsia="Times New Roman" w:hAnsi="Times New Roman" w:cs="Times New Roman"/>
          <w:i/>
          <w:sz w:val="24"/>
          <w:szCs w:val="24"/>
          <w:lang w:eastAsia="pl-PL"/>
        </w:rPr>
        <w:t xml:space="preserve">Tabela apetyt na ryzyko detalicznych ekspozycji kredytowych </w:t>
      </w:r>
    </w:p>
    <w:tbl>
      <w:tblPr>
        <w:tblW w:w="90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0"/>
        <w:gridCol w:w="3821"/>
        <w:gridCol w:w="1272"/>
        <w:gridCol w:w="1771"/>
        <w:gridCol w:w="1647"/>
      </w:tblGrid>
      <w:tr w:rsidR="000E3272" w:rsidRPr="00402443" w14:paraId="5C4DB3A3" w14:textId="77777777" w:rsidTr="004F0D8E">
        <w:tc>
          <w:tcPr>
            <w:tcW w:w="550" w:type="dxa"/>
            <w:tcBorders>
              <w:top w:val="single" w:sz="4" w:space="0" w:color="auto"/>
              <w:left w:val="single" w:sz="4" w:space="0" w:color="auto"/>
              <w:bottom w:val="single" w:sz="4" w:space="0" w:color="auto"/>
              <w:right w:val="single" w:sz="4" w:space="0" w:color="auto"/>
            </w:tcBorders>
            <w:hideMark/>
          </w:tcPr>
          <w:p w14:paraId="684B99AA"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l.p.</w:t>
            </w:r>
          </w:p>
        </w:tc>
        <w:tc>
          <w:tcPr>
            <w:tcW w:w="3821" w:type="dxa"/>
            <w:tcBorders>
              <w:top w:val="single" w:sz="4" w:space="0" w:color="auto"/>
              <w:left w:val="single" w:sz="4" w:space="0" w:color="auto"/>
              <w:bottom w:val="single" w:sz="4" w:space="0" w:color="auto"/>
              <w:right w:val="single" w:sz="4" w:space="0" w:color="auto"/>
            </w:tcBorders>
            <w:hideMark/>
          </w:tcPr>
          <w:p w14:paraId="3753012D"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Nazwa wskaźnika </w:t>
            </w:r>
          </w:p>
        </w:tc>
        <w:tc>
          <w:tcPr>
            <w:tcW w:w="1272" w:type="dxa"/>
            <w:tcBorders>
              <w:top w:val="single" w:sz="4" w:space="0" w:color="auto"/>
              <w:left w:val="single" w:sz="4" w:space="0" w:color="auto"/>
              <w:bottom w:val="single" w:sz="4" w:space="0" w:color="auto"/>
              <w:right w:val="single" w:sz="4" w:space="0" w:color="auto"/>
            </w:tcBorders>
            <w:hideMark/>
          </w:tcPr>
          <w:p w14:paraId="0660DCD7"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Maksymalny poziom </w:t>
            </w:r>
          </w:p>
        </w:tc>
        <w:tc>
          <w:tcPr>
            <w:tcW w:w="1771" w:type="dxa"/>
            <w:tcBorders>
              <w:top w:val="single" w:sz="4" w:space="0" w:color="auto"/>
              <w:left w:val="single" w:sz="4" w:space="0" w:color="auto"/>
              <w:bottom w:val="single" w:sz="4" w:space="0" w:color="auto"/>
              <w:right w:val="single" w:sz="4" w:space="0" w:color="auto"/>
            </w:tcBorders>
            <w:hideMark/>
          </w:tcPr>
          <w:p w14:paraId="4D04CE24" w14:textId="77777777" w:rsidR="00471675" w:rsidRPr="00402443" w:rsidRDefault="00EE2F86" w:rsidP="00871AB6">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Wartość wg stanu na 31.12.20</w:t>
            </w:r>
            <w:r w:rsidR="00871AB6">
              <w:rPr>
                <w:rFonts w:ascii="Times New Roman" w:eastAsia="Times New Roman" w:hAnsi="Times New Roman" w:cs="Times New Roman"/>
                <w:sz w:val="20"/>
                <w:szCs w:val="20"/>
                <w:lang w:eastAsia="pl-PL"/>
              </w:rPr>
              <w:t>20</w:t>
            </w:r>
            <w:r w:rsidR="00471675" w:rsidRPr="00402443">
              <w:rPr>
                <w:rFonts w:ascii="Times New Roman" w:eastAsia="Times New Roman" w:hAnsi="Times New Roman" w:cs="Times New Roman"/>
                <w:sz w:val="20"/>
                <w:szCs w:val="20"/>
                <w:lang w:eastAsia="pl-PL"/>
              </w:rPr>
              <w:t xml:space="preserve"> r.</w:t>
            </w:r>
          </w:p>
        </w:tc>
        <w:tc>
          <w:tcPr>
            <w:tcW w:w="1647" w:type="dxa"/>
            <w:tcBorders>
              <w:top w:val="single" w:sz="4" w:space="0" w:color="auto"/>
              <w:left w:val="single" w:sz="4" w:space="0" w:color="auto"/>
              <w:bottom w:val="single" w:sz="4" w:space="0" w:color="auto"/>
              <w:right w:val="single" w:sz="4" w:space="0" w:color="auto"/>
            </w:tcBorders>
            <w:hideMark/>
          </w:tcPr>
          <w:p w14:paraId="4C651118"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Osiągnięcie celu strategicznego </w:t>
            </w:r>
          </w:p>
        </w:tc>
      </w:tr>
      <w:tr w:rsidR="000E3272" w:rsidRPr="00402443" w14:paraId="7412D679" w14:textId="77777777" w:rsidTr="004F0D8E">
        <w:tc>
          <w:tcPr>
            <w:tcW w:w="550" w:type="dxa"/>
            <w:tcBorders>
              <w:top w:val="single" w:sz="4" w:space="0" w:color="auto"/>
              <w:left w:val="single" w:sz="4" w:space="0" w:color="auto"/>
              <w:bottom w:val="single" w:sz="4" w:space="0" w:color="auto"/>
              <w:right w:val="single" w:sz="4" w:space="0" w:color="auto"/>
            </w:tcBorders>
            <w:hideMark/>
          </w:tcPr>
          <w:p w14:paraId="2BF15FF7"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1</w:t>
            </w:r>
          </w:p>
        </w:tc>
        <w:tc>
          <w:tcPr>
            <w:tcW w:w="3821" w:type="dxa"/>
            <w:tcBorders>
              <w:top w:val="single" w:sz="4" w:space="0" w:color="auto"/>
              <w:left w:val="single" w:sz="4" w:space="0" w:color="auto"/>
              <w:bottom w:val="single" w:sz="4" w:space="0" w:color="auto"/>
              <w:right w:val="single" w:sz="4" w:space="0" w:color="auto"/>
            </w:tcBorders>
            <w:hideMark/>
          </w:tcPr>
          <w:p w14:paraId="65FB41D9"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szkodowości portfela detalicznych ekspozycji kredytowych (udział kredytów zaklasyfikowanych do sytuacji zagrożone (poniżej standardu, wątpliwe, stracone) w ogólnej kwocie udzielonych kredytów zaliczonych do portfela detalicznych ekspozycji kredytowych)</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31A07BB"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5%</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8A79256" w14:textId="77777777" w:rsidR="00471675" w:rsidRPr="00402443" w:rsidRDefault="00471675" w:rsidP="00402443">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1</w:t>
            </w:r>
            <w:r w:rsidR="00402443" w:rsidRPr="00402443">
              <w:rPr>
                <w:rFonts w:ascii="Times New Roman" w:eastAsia="Times New Roman" w:hAnsi="Times New Roman" w:cs="Times New Roman"/>
                <w:sz w:val="20"/>
                <w:szCs w:val="20"/>
                <w:lang w:eastAsia="pl-PL"/>
              </w:rPr>
              <w:t>,61</w:t>
            </w:r>
            <w:r w:rsidRPr="00402443">
              <w:rPr>
                <w:rFonts w:ascii="Times New Roman" w:eastAsia="Times New Roman" w:hAnsi="Times New Roman" w:cs="Times New Roman"/>
                <w:sz w:val="20"/>
                <w:szCs w:val="20"/>
                <w:lang w:eastAsia="pl-PL"/>
              </w:rPr>
              <w:t>%</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FA5BB64"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cel osiągnięty</w:t>
            </w:r>
          </w:p>
        </w:tc>
      </w:tr>
      <w:tr w:rsidR="000E3272" w:rsidRPr="00402443" w14:paraId="0B8C747F" w14:textId="77777777" w:rsidTr="004F0D8E">
        <w:tc>
          <w:tcPr>
            <w:tcW w:w="550" w:type="dxa"/>
            <w:tcBorders>
              <w:top w:val="single" w:sz="4" w:space="0" w:color="auto"/>
              <w:left w:val="single" w:sz="4" w:space="0" w:color="auto"/>
              <w:bottom w:val="single" w:sz="4" w:space="0" w:color="auto"/>
              <w:right w:val="single" w:sz="4" w:space="0" w:color="auto"/>
            </w:tcBorders>
            <w:hideMark/>
          </w:tcPr>
          <w:p w14:paraId="11BAD66C"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2</w:t>
            </w:r>
          </w:p>
        </w:tc>
        <w:tc>
          <w:tcPr>
            <w:tcW w:w="3821" w:type="dxa"/>
            <w:tcBorders>
              <w:top w:val="single" w:sz="4" w:space="0" w:color="auto"/>
              <w:left w:val="single" w:sz="4" w:space="0" w:color="auto"/>
              <w:bottom w:val="single" w:sz="4" w:space="0" w:color="auto"/>
              <w:right w:val="single" w:sz="4" w:space="0" w:color="auto"/>
            </w:tcBorders>
            <w:hideMark/>
          </w:tcPr>
          <w:p w14:paraId="47C0A774"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maksymalna wartość wskaźnika DtI  wynosząca 65%</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4E4EC26"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65%</w:t>
            </w:r>
          </w:p>
        </w:tc>
        <w:tc>
          <w:tcPr>
            <w:tcW w:w="1771" w:type="dxa"/>
            <w:tcBorders>
              <w:top w:val="single" w:sz="4" w:space="0" w:color="auto"/>
              <w:left w:val="single" w:sz="4" w:space="0" w:color="auto"/>
              <w:bottom w:val="single" w:sz="4" w:space="0" w:color="auto"/>
              <w:right w:val="single" w:sz="4" w:space="0" w:color="auto"/>
            </w:tcBorders>
            <w:vAlign w:val="center"/>
            <w:hideMark/>
          </w:tcPr>
          <w:p w14:paraId="1D4453EF"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65%</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154C167"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cel osiągnięty</w:t>
            </w:r>
          </w:p>
        </w:tc>
      </w:tr>
      <w:tr w:rsidR="000E3272" w:rsidRPr="00402443" w14:paraId="28368013" w14:textId="77777777" w:rsidTr="004F0D8E">
        <w:tc>
          <w:tcPr>
            <w:tcW w:w="550" w:type="dxa"/>
            <w:tcBorders>
              <w:top w:val="single" w:sz="4" w:space="0" w:color="auto"/>
              <w:left w:val="single" w:sz="4" w:space="0" w:color="auto"/>
              <w:bottom w:val="single" w:sz="4" w:space="0" w:color="auto"/>
              <w:right w:val="single" w:sz="4" w:space="0" w:color="auto"/>
            </w:tcBorders>
            <w:hideMark/>
          </w:tcPr>
          <w:p w14:paraId="265DEB14"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3</w:t>
            </w:r>
          </w:p>
        </w:tc>
        <w:tc>
          <w:tcPr>
            <w:tcW w:w="3821" w:type="dxa"/>
            <w:tcBorders>
              <w:top w:val="single" w:sz="4" w:space="0" w:color="auto"/>
              <w:left w:val="single" w:sz="4" w:space="0" w:color="auto"/>
              <w:bottom w:val="single" w:sz="4" w:space="0" w:color="auto"/>
              <w:right w:val="single" w:sz="4" w:space="0" w:color="auto"/>
            </w:tcBorders>
            <w:hideMark/>
          </w:tcPr>
          <w:p w14:paraId="7C1027EB"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maksymalny poziom wykorzystania limitów wewnętrznych koncentracji zaangażowań z tytułu detalicznych ekspozycji kredytowych</w:t>
            </w:r>
          </w:p>
        </w:tc>
        <w:tc>
          <w:tcPr>
            <w:tcW w:w="3043" w:type="dxa"/>
            <w:gridSpan w:val="2"/>
            <w:tcBorders>
              <w:top w:val="single" w:sz="4" w:space="0" w:color="auto"/>
              <w:left w:val="single" w:sz="4" w:space="0" w:color="auto"/>
              <w:bottom w:val="single" w:sz="4" w:space="0" w:color="auto"/>
              <w:right w:val="single" w:sz="4" w:space="0" w:color="auto"/>
            </w:tcBorders>
            <w:vAlign w:val="center"/>
            <w:hideMark/>
          </w:tcPr>
          <w:p w14:paraId="12D8516B"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Limity nie zostały przekroczone i nie było podstaw do wprowadzenia systemu zapytań</w:t>
            </w:r>
          </w:p>
        </w:tc>
        <w:tc>
          <w:tcPr>
            <w:tcW w:w="1647" w:type="dxa"/>
            <w:tcBorders>
              <w:top w:val="single" w:sz="4" w:space="0" w:color="auto"/>
              <w:left w:val="single" w:sz="4" w:space="0" w:color="auto"/>
              <w:bottom w:val="single" w:sz="4" w:space="0" w:color="auto"/>
              <w:right w:val="single" w:sz="4" w:space="0" w:color="auto"/>
            </w:tcBorders>
            <w:vAlign w:val="center"/>
            <w:hideMark/>
          </w:tcPr>
          <w:p w14:paraId="0FB830D8" w14:textId="77777777" w:rsidR="00471675" w:rsidRPr="00402443" w:rsidRDefault="00471675" w:rsidP="004F0D8E">
            <w:pPr>
              <w:spacing w:before="100" w:beforeAutospacing="1" w:after="0" w:line="264" w:lineRule="auto"/>
              <w:jc w:val="center"/>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cel osiągnięty</w:t>
            </w:r>
          </w:p>
        </w:tc>
      </w:tr>
    </w:tbl>
    <w:p w14:paraId="4DDC15D2" w14:textId="77777777" w:rsidR="00471675" w:rsidRPr="00402443" w:rsidRDefault="00471675" w:rsidP="00471675">
      <w:pPr>
        <w:suppressAutoHyphens/>
        <w:overflowPunct w:val="0"/>
        <w:autoSpaceDE w:val="0"/>
        <w:autoSpaceDN w:val="0"/>
        <w:adjustRightInd w:val="0"/>
        <w:spacing w:before="100" w:beforeAutospacing="1" w:after="0" w:line="264" w:lineRule="auto"/>
        <w:jc w:val="both"/>
        <w:textAlignment w:val="baseline"/>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Ocena realizacji celów strategicznych w zakresie portfela detalicznych ekspozycji kredytowych</w:t>
      </w:r>
      <w:r w:rsidRPr="00402443">
        <w:rPr>
          <w:rFonts w:ascii="Times New Roman" w:eastAsia="Times New Roman" w:hAnsi="Times New Roman" w:cs="Times New Roman"/>
          <w:bCs/>
          <w:sz w:val="24"/>
          <w:szCs w:val="24"/>
          <w:lang w:eastAsia="pl-PL"/>
        </w:rPr>
        <w:t xml:space="preserve"> obejmuje monitorowanie limitów strategicznych</w:t>
      </w:r>
      <w:r w:rsidR="00A2151F" w:rsidRPr="00402443">
        <w:rPr>
          <w:rFonts w:ascii="Times New Roman" w:eastAsia="Times New Roman" w:hAnsi="Times New Roman" w:cs="Times New Roman"/>
          <w:sz w:val="24"/>
          <w:szCs w:val="24"/>
          <w:lang w:eastAsia="pl-PL"/>
        </w:rPr>
        <w:t>. Na koniec 20</w:t>
      </w:r>
      <w:r w:rsidR="00402443" w:rsidRPr="00402443">
        <w:rPr>
          <w:rFonts w:ascii="Times New Roman" w:eastAsia="Times New Roman" w:hAnsi="Times New Roman" w:cs="Times New Roman"/>
          <w:sz w:val="24"/>
          <w:szCs w:val="24"/>
          <w:lang w:eastAsia="pl-PL"/>
        </w:rPr>
        <w:t>20</w:t>
      </w:r>
      <w:r w:rsidRPr="00402443">
        <w:rPr>
          <w:rFonts w:ascii="Times New Roman" w:eastAsia="Times New Roman" w:hAnsi="Times New Roman" w:cs="Times New Roman"/>
          <w:sz w:val="24"/>
          <w:szCs w:val="24"/>
          <w:lang w:eastAsia="pl-PL"/>
        </w:rPr>
        <w:t xml:space="preserve"> r. wszystkie cele strategiczne w zakresie portfela detalicznych ekspozycji kredytowych zostały zrealizowane. Wykorzystanie limitów w zakresie detalicznych ekspozycji kredytowych                  w Banku nie przekraczało poziomu ostrzegawczego, tj. 90%, w związku z powyższym nie wprowadzono systemu zapytań.</w:t>
      </w:r>
    </w:p>
    <w:p w14:paraId="0F3DE69E" w14:textId="77777777" w:rsidR="00471675" w:rsidRPr="00402443" w:rsidRDefault="00471675" w:rsidP="00471675">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w:t>
      </w:r>
      <w:r w:rsidRPr="00402443">
        <w:rPr>
          <w:rFonts w:ascii="Times New Roman" w:eastAsia="Times New Roman" w:hAnsi="Times New Roman" w:cs="Times New Roman"/>
          <w:b/>
          <w:sz w:val="24"/>
          <w:szCs w:val="24"/>
          <w:lang w:eastAsia="pl-PL"/>
        </w:rPr>
        <w:t>Ekspozycje kredytowe zabezpieczone hipotecznie</w:t>
      </w:r>
    </w:p>
    <w:p w14:paraId="54C50042" w14:textId="77777777" w:rsidR="00471675" w:rsidRPr="00402443" w:rsidRDefault="00471675" w:rsidP="00471675">
      <w:pPr>
        <w:spacing w:before="100" w:beforeAutospacing="1" w:after="0" w:line="264" w:lineRule="auto"/>
        <w:ind w:firstLine="708"/>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xml:space="preserve">W celu wyeliminowania nadmiernego ryzyka wynikającego z działalności kredytowej  w  zakresie ekspozycji kredytowych zabezpieczonych hipotecznie Bank wprowadził ograniczenia rekomendowane przez Komisję Nadzoru Finansowego w ramach Rekomendacji S, uwzględniając skalę prowadzonej działalności oraz stopień złożoności struktury i teren działania. </w:t>
      </w:r>
    </w:p>
    <w:p w14:paraId="24A7BB0C" w14:textId="77777777" w:rsidR="00471675" w:rsidRPr="00402443" w:rsidRDefault="00471675" w:rsidP="00471675">
      <w:pPr>
        <w:spacing w:before="100" w:beforeAutospacing="1" w:after="0" w:line="264" w:lineRule="auto"/>
        <w:ind w:firstLine="708"/>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xml:space="preserve">Podstawowym celem strategicznym w zakresie zarządzenia ryzykiem ekspozycji kredytowych zabezpieczonych hipotecznie jest zapewnienie bezpiecznej i efektywnej działalności Banku w obszarze hipotecznych ekspozycji kredytowych w długoterminowej perspektywie, z uwzględnieniem wrażliwości na zmiany warunków otoczenia oraz oddziaływania na poziom ryzyka tych ekspozycji, poprzez właściwy dobór klientów. </w:t>
      </w:r>
    </w:p>
    <w:p w14:paraId="51BF7162" w14:textId="77777777" w:rsidR="00471675" w:rsidRPr="00402443" w:rsidRDefault="00471675" w:rsidP="00471675">
      <w:pPr>
        <w:spacing w:before="100" w:beforeAutospacing="1" w:after="0" w:line="264" w:lineRule="auto"/>
        <w:ind w:firstLine="426"/>
        <w:jc w:val="both"/>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 xml:space="preserve">Miarą apetytu Banku na ryzyko związane z portfelem ekspozycji kredytowych zabezpieczonych hipotecznie jest: </w:t>
      </w:r>
    </w:p>
    <w:p w14:paraId="386D9505" w14:textId="77777777" w:rsidR="00471675" w:rsidRPr="00402443" w:rsidRDefault="00471675" w:rsidP="00471675">
      <w:pPr>
        <w:suppressAutoHyphens/>
        <w:overflowPunct w:val="0"/>
        <w:autoSpaceDE w:val="0"/>
        <w:autoSpaceDN w:val="0"/>
        <w:adjustRightInd w:val="0"/>
        <w:spacing w:after="0" w:line="264" w:lineRule="auto"/>
        <w:ind w:left="709" w:hanging="283"/>
        <w:jc w:val="both"/>
        <w:textAlignment w:val="baseline"/>
        <w:rPr>
          <w:rFonts w:ascii="Times New Roman" w:eastAsia="Times New Roman" w:hAnsi="Times New Roman" w:cs="Times New Roman"/>
          <w:sz w:val="24"/>
          <w:szCs w:val="24"/>
          <w:lang w:eastAsia="pl-PL"/>
        </w:rPr>
      </w:pPr>
      <w:r w:rsidRPr="007E3F0A">
        <w:rPr>
          <w:rFonts w:ascii="Times New Roman" w:eastAsia="Times New Roman" w:hAnsi="Times New Roman" w:cs="Times New Roman"/>
          <w:sz w:val="24"/>
          <w:szCs w:val="24"/>
          <w:lang w:eastAsia="pl-PL"/>
        </w:rPr>
        <w:lastRenderedPageBreak/>
        <w:t>1)</w:t>
      </w:r>
      <w:r w:rsidRPr="007E3F0A">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 xml:space="preserve">maksymalny poziom wykorzystania limitów wewnętrznych koncentracji zaangażowań z tytułu ekspozycji kredytowych zabezpieczonych hipotecznie; </w:t>
      </w:r>
    </w:p>
    <w:p w14:paraId="5EFAA12E" w14:textId="77777777" w:rsidR="00471675" w:rsidRPr="00402443" w:rsidRDefault="00471675" w:rsidP="00471675">
      <w:pPr>
        <w:suppressAutoHyphens/>
        <w:overflowPunct w:val="0"/>
        <w:autoSpaceDE w:val="0"/>
        <w:autoSpaceDN w:val="0"/>
        <w:adjustRightInd w:val="0"/>
        <w:spacing w:after="0" w:line="264" w:lineRule="auto"/>
        <w:ind w:left="709" w:hanging="283"/>
        <w:jc w:val="both"/>
        <w:textAlignment w:val="baseline"/>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2)</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 xml:space="preserve">maksymalna wartość wskaźnika DtI  </w:t>
      </w:r>
      <w:r w:rsidR="00402443" w:rsidRPr="00402443">
        <w:rPr>
          <w:rFonts w:ascii="Times New Roman" w:eastAsia="Times New Roman" w:hAnsi="Times New Roman" w:cs="Times New Roman"/>
          <w:sz w:val="24"/>
          <w:szCs w:val="24"/>
          <w:lang w:eastAsia="pl-PL"/>
        </w:rPr>
        <w:t xml:space="preserve">wynosząca 60%; jeżeli wartość wskaźnika DtI dla danej transakcji przekroczy 40%, Bank poinformuje klienta o podwyższonym ryzyku produktu oraz o negatywnym wpływie na możliwość realizacji przez klienta większych wydatków lub tworzenia oszczędności  </w:t>
      </w:r>
    </w:p>
    <w:p w14:paraId="50063CAC" w14:textId="77777777" w:rsidR="00471675" w:rsidRPr="00402443" w:rsidRDefault="00471675" w:rsidP="00471675">
      <w:pPr>
        <w:suppressAutoHyphens/>
        <w:overflowPunct w:val="0"/>
        <w:autoSpaceDE w:val="0"/>
        <w:autoSpaceDN w:val="0"/>
        <w:adjustRightInd w:val="0"/>
        <w:spacing w:after="0" w:line="264" w:lineRule="auto"/>
        <w:ind w:left="709" w:hanging="283"/>
        <w:jc w:val="both"/>
        <w:textAlignment w:val="baseline"/>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4"/>
          <w:szCs w:val="24"/>
          <w:lang w:eastAsia="pl-PL"/>
        </w:rPr>
        <w:t>3)</w:t>
      </w:r>
      <w:r w:rsidRPr="00402443">
        <w:rPr>
          <w:rFonts w:ascii="Times New Roman" w:eastAsia="Times New Roman" w:hAnsi="Times New Roman" w:cs="Times New Roman"/>
          <w:sz w:val="14"/>
          <w:szCs w:val="14"/>
          <w:lang w:eastAsia="pl-PL"/>
        </w:rPr>
        <w:t xml:space="preserve">   </w:t>
      </w:r>
      <w:r w:rsidRPr="00402443">
        <w:rPr>
          <w:rFonts w:ascii="Times New Roman" w:eastAsia="Times New Roman" w:hAnsi="Times New Roman" w:cs="Times New Roman"/>
          <w:sz w:val="24"/>
          <w:szCs w:val="24"/>
          <w:lang w:eastAsia="pl-PL"/>
        </w:rPr>
        <w:t>maksymalna wartość szkodowości portfela ekspozycji kredytowych zabezpieczonych hipotecznie wynosząca 5% (udział kredytów zaklasyfikowanych do sytuacji zagrożone (poniżej standardu, wątpliwe, stracone) w ogólnej kwocie udzielonych kredytów zaliczonych do portfela ekspozycji kredytowych zabezpieczonych hipotecznie). </w:t>
      </w:r>
    </w:p>
    <w:p w14:paraId="1A527FF5" w14:textId="77777777" w:rsidR="00471675" w:rsidRPr="00402443" w:rsidRDefault="00471675" w:rsidP="00471675">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i/>
          <w:sz w:val="24"/>
          <w:szCs w:val="24"/>
          <w:lang w:eastAsia="pl-PL"/>
        </w:rPr>
        <w:t>Tabela - apetyt na ryzyko ekspozycji kredytowych zabezpieczonych hipotecznie</w:t>
      </w: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2"/>
        <w:gridCol w:w="4111"/>
        <w:gridCol w:w="1418"/>
        <w:gridCol w:w="1701"/>
        <w:gridCol w:w="1701"/>
      </w:tblGrid>
      <w:tr w:rsidR="000E3272" w:rsidRPr="00402443" w14:paraId="183EB4D2" w14:textId="77777777" w:rsidTr="004F0D8E">
        <w:tc>
          <w:tcPr>
            <w:tcW w:w="562" w:type="dxa"/>
            <w:tcBorders>
              <w:top w:val="single" w:sz="4" w:space="0" w:color="auto"/>
              <w:left w:val="single" w:sz="4" w:space="0" w:color="auto"/>
              <w:bottom w:val="single" w:sz="4" w:space="0" w:color="auto"/>
              <w:right w:val="single" w:sz="4" w:space="0" w:color="auto"/>
            </w:tcBorders>
            <w:hideMark/>
          </w:tcPr>
          <w:p w14:paraId="6A039BF0"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l.p.</w:t>
            </w:r>
          </w:p>
        </w:tc>
        <w:tc>
          <w:tcPr>
            <w:tcW w:w="4111" w:type="dxa"/>
            <w:tcBorders>
              <w:top w:val="single" w:sz="4" w:space="0" w:color="auto"/>
              <w:left w:val="single" w:sz="4" w:space="0" w:color="auto"/>
              <w:bottom w:val="single" w:sz="4" w:space="0" w:color="auto"/>
              <w:right w:val="single" w:sz="4" w:space="0" w:color="auto"/>
            </w:tcBorders>
            <w:hideMark/>
          </w:tcPr>
          <w:p w14:paraId="27824066"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Nazwa wskaźnika </w:t>
            </w:r>
          </w:p>
        </w:tc>
        <w:tc>
          <w:tcPr>
            <w:tcW w:w="1418" w:type="dxa"/>
            <w:tcBorders>
              <w:top w:val="single" w:sz="4" w:space="0" w:color="auto"/>
              <w:left w:val="single" w:sz="4" w:space="0" w:color="auto"/>
              <w:bottom w:val="single" w:sz="4" w:space="0" w:color="auto"/>
              <w:right w:val="single" w:sz="4" w:space="0" w:color="auto"/>
            </w:tcBorders>
            <w:hideMark/>
          </w:tcPr>
          <w:p w14:paraId="4AED4658"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Maksymalny poziom </w:t>
            </w:r>
          </w:p>
        </w:tc>
        <w:tc>
          <w:tcPr>
            <w:tcW w:w="1701" w:type="dxa"/>
            <w:tcBorders>
              <w:top w:val="single" w:sz="4" w:space="0" w:color="auto"/>
              <w:left w:val="single" w:sz="4" w:space="0" w:color="auto"/>
              <w:bottom w:val="single" w:sz="4" w:space="0" w:color="auto"/>
              <w:right w:val="single" w:sz="4" w:space="0" w:color="auto"/>
            </w:tcBorders>
            <w:hideMark/>
          </w:tcPr>
          <w:p w14:paraId="0BB08E24" w14:textId="77777777" w:rsidR="00471675" w:rsidRPr="00402443" w:rsidRDefault="00471675" w:rsidP="00871AB6">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Wartość wg sta</w:t>
            </w:r>
            <w:r w:rsidR="00EE2F86" w:rsidRPr="00402443">
              <w:rPr>
                <w:rFonts w:ascii="Times New Roman" w:eastAsia="Times New Roman" w:hAnsi="Times New Roman" w:cs="Times New Roman"/>
                <w:sz w:val="20"/>
                <w:szCs w:val="20"/>
                <w:lang w:eastAsia="pl-PL"/>
              </w:rPr>
              <w:t>nu na 31.12.20</w:t>
            </w:r>
            <w:r w:rsidR="00871AB6">
              <w:rPr>
                <w:rFonts w:ascii="Times New Roman" w:eastAsia="Times New Roman" w:hAnsi="Times New Roman" w:cs="Times New Roman"/>
                <w:sz w:val="20"/>
                <w:szCs w:val="20"/>
                <w:lang w:eastAsia="pl-PL"/>
              </w:rPr>
              <w:t>20</w:t>
            </w:r>
            <w:r w:rsidRPr="00402443">
              <w:rPr>
                <w:rFonts w:ascii="Times New Roman" w:eastAsia="Times New Roman" w:hAnsi="Times New Roman" w:cs="Times New Roman"/>
                <w:sz w:val="20"/>
                <w:szCs w:val="20"/>
                <w:lang w:eastAsia="pl-PL"/>
              </w:rPr>
              <w:t xml:space="preserve"> r.</w:t>
            </w:r>
          </w:p>
        </w:tc>
        <w:tc>
          <w:tcPr>
            <w:tcW w:w="1701" w:type="dxa"/>
            <w:tcBorders>
              <w:top w:val="single" w:sz="4" w:space="0" w:color="auto"/>
              <w:left w:val="single" w:sz="4" w:space="0" w:color="auto"/>
              <w:bottom w:val="single" w:sz="4" w:space="0" w:color="auto"/>
              <w:right w:val="single" w:sz="4" w:space="0" w:color="auto"/>
            </w:tcBorders>
            <w:hideMark/>
          </w:tcPr>
          <w:p w14:paraId="0F49AB56"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Osiągnięcie celu strategicznego </w:t>
            </w:r>
          </w:p>
        </w:tc>
      </w:tr>
      <w:tr w:rsidR="000E3272" w:rsidRPr="00402443" w14:paraId="4137455C" w14:textId="77777777" w:rsidTr="004F0D8E">
        <w:tc>
          <w:tcPr>
            <w:tcW w:w="562" w:type="dxa"/>
            <w:tcBorders>
              <w:top w:val="single" w:sz="4" w:space="0" w:color="auto"/>
              <w:left w:val="single" w:sz="4" w:space="0" w:color="auto"/>
              <w:bottom w:val="single" w:sz="4" w:space="0" w:color="auto"/>
              <w:right w:val="single" w:sz="4" w:space="0" w:color="auto"/>
            </w:tcBorders>
            <w:hideMark/>
          </w:tcPr>
          <w:p w14:paraId="38ABA711"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1</w:t>
            </w:r>
          </w:p>
        </w:tc>
        <w:tc>
          <w:tcPr>
            <w:tcW w:w="4111" w:type="dxa"/>
            <w:tcBorders>
              <w:top w:val="single" w:sz="4" w:space="0" w:color="auto"/>
              <w:left w:val="single" w:sz="4" w:space="0" w:color="auto"/>
              <w:bottom w:val="single" w:sz="4" w:space="0" w:color="auto"/>
              <w:right w:val="single" w:sz="4" w:space="0" w:color="auto"/>
            </w:tcBorders>
            <w:hideMark/>
          </w:tcPr>
          <w:p w14:paraId="2C351BA8"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szkodowości portfela ekspozycji kredytowych zabezpieczonych hipotecznie (udział kredytów zaklasyfikowanych do sytuacji zagrożone (poniżej standardu, wątpliwe, stracone) w ogólnej kwocie udzielonych kredytów zaliczonych do portfela ekspozycji kredytowych zabezpieczonych hipotecznie )</w:t>
            </w:r>
          </w:p>
        </w:tc>
        <w:tc>
          <w:tcPr>
            <w:tcW w:w="1418" w:type="dxa"/>
            <w:tcBorders>
              <w:top w:val="single" w:sz="4" w:space="0" w:color="auto"/>
              <w:left w:val="single" w:sz="4" w:space="0" w:color="auto"/>
              <w:bottom w:val="single" w:sz="4" w:space="0" w:color="auto"/>
              <w:right w:val="single" w:sz="4" w:space="0" w:color="auto"/>
            </w:tcBorders>
            <w:hideMark/>
          </w:tcPr>
          <w:p w14:paraId="0C72C5C4"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 5%</w:t>
            </w:r>
          </w:p>
        </w:tc>
        <w:tc>
          <w:tcPr>
            <w:tcW w:w="1701" w:type="dxa"/>
            <w:tcBorders>
              <w:top w:val="single" w:sz="4" w:space="0" w:color="auto"/>
              <w:left w:val="single" w:sz="4" w:space="0" w:color="auto"/>
              <w:bottom w:val="single" w:sz="4" w:space="0" w:color="auto"/>
              <w:right w:val="single" w:sz="4" w:space="0" w:color="auto"/>
            </w:tcBorders>
            <w:hideMark/>
          </w:tcPr>
          <w:p w14:paraId="2A19997E" w14:textId="77777777" w:rsidR="00471675" w:rsidRPr="00402443" w:rsidRDefault="00EE2F86" w:rsidP="00402443">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0,</w:t>
            </w:r>
            <w:r w:rsidR="00402443" w:rsidRPr="00402443">
              <w:rPr>
                <w:rFonts w:ascii="Times New Roman" w:eastAsia="Times New Roman" w:hAnsi="Times New Roman" w:cs="Times New Roman"/>
                <w:sz w:val="20"/>
                <w:szCs w:val="20"/>
                <w:lang w:eastAsia="pl-PL"/>
              </w:rPr>
              <w:t>67</w:t>
            </w:r>
            <w:r w:rsidR="00471675" w:rsidRPr="00402443">
              <w:rPr>
                <w:rFonts w:ascii="Times New Roman" w:eastAsia="Times New Roman" w:hAnsi="Times New Roman" w:cs="Times New Roman"/>
                <w:sz w:val="20"/>
                <w:szCs w:val="20"/>
                <w:lang w:eastAsia="pl-PL"/>
              </w:rPr>
              <w:t>%</w:t>
            </w:r>
          </w:p>
        </w:tc>
        <w:tc>
          <w:tcPr>
            <w:tcW w:w="1701" w:type="dxa"/>
            <w:tcBorders>
              <w:top w:val="single" w:sz="4" w:space="0" w:color="auto"/>
              <w:left w:val="single" w:sz="4" w:space="0" w:color="auto"/>
              <w:bottom w:val="single" w:sz="4" w:space="0" w:color="auto"/>
              <w:right w:val="single" w:sz="4" w:space="0" w:color="auto"/>
            </w:tcBorders>
            <w:hideMark/>
          </w:tcPr>
          <w:p w14:paraId="33222D79"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cel osiągnięty </w:t>
            </w:r>
          </w:p>
        </w:tc>
      </w:tr>
      <w:tr w:rsidR="000E3272" w:rsidRPr="00402443" w14:paraId="7A7EB9B1" w14:textId="77777777" w:rsidTr="004F0D8E">
        <w:tc>
          <w:tcPr>
            <w:tcW w:w="562" w:type="dxa"/>
            <w:tcBorders>
              <w:top w:val="single" w:sz="4" w:space="0" w:color="auto"/>
              <w:left w:val="single" w:sz="4" w:space="0" w:color="auto"/>
              <w:bottom w:val="single" w:sz="4" w:space="0" w:color="auto"/>
              <w:right w:val="single" w:sz="4" w:space="0" w:color="auto"/>
            </w:tcBorders>
            <w:hideMark/>
          </w:tcPr>
          <w:p w14:paraId="006CC26D"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2</w:t>
            </w:r>
          </w:p>
        </w:tc>
        <w:tc>
          <w:tcPr>
            <w:tcW w:w="4111" w:type="dxa"/>
            <w:tcBorders>
              <w:top w:val="single" w:sz="4" w:space="0" w:color="auto"/>
              <w:left w:val="single" w:sz="4" w:space="0" w:color="auto"/>
              <w:bottom w:val="single" w:sz="4" w:space="0" w:color="auto"/>
              <w:right w:val="single" w:sz="4" w:space="0" w:color="auto"/>
            </w:tcBorders>
            <w:hideMark/>
          </w:tcPr>
          <w:p w14:paraId="676B8791"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maksymalna wartość wskaźnika DtI  </w:t>
            </w:r>
          </w:p>
        </w:tc>
        <w:tc>
          <w:tcPr>
            <w:tcW w:w="1418" w:type="dxa"/>
            <w:tcBorders>
              <w:top w:val="single" w:sz="4" w:space="0" w:color="auto"/>
              <w:left w:val="single" w:sz="4" w:space="0" w:color="auto"/>
              <w:bottom w:val="single" w:sz="4" w:space="0" w:color="auto"/>
              <w:right w:val="single" w:sz="4" w:space="0" w:color="auto"/>
            </w:tcBorders>
            <w:hideMark/>
          </w:tcPr>
          <w:p w14:paraId="233CB9D1"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65%</w:t>
            </w:r>
          </w:p>
        </w:tc>
        <w:tc>
          <w:tcPr>
            <w:tcW w:w="1701" w:type="dxa"/>
            <w:tcBorders>
              <w:top w:val="single" w:sz="4" w:space="0" w:color="auto"/>
              <w:left w:val="single" w:sz="4" w:space="0" w:color="auto"/>
              <w:bottom w:val="single" w:sz="4" w:space="0" w:color="auto"/>
              <w:right w:val="single" w:sz="4" w:space="0" w:color="auto"/>
            </w:tcBorders>
            <w:hideMark/>
          </w:tcPr>
          <w:p w14:paraId="6BB15AB1"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60%</w:t>
            </w:r>
          </w:p>
        </w:tc>
        <w:tc>
          <w:tcPr>
            <w:tcW w:w="1701" w:type="dxa"/>
            <w:tcBorders>
              <w:top w:val="single" w:sz="4" w:space="0" w:color="auto"/>
              <w:left w:val="single" w:sz="4" w:space="0" w:color="auto"/>
              <w:bottom w:val="single" w:sz="4" w:space="0" w:color="auto"/>
              <w:right w:val="single" w:sz="4" w:space="0" w:color="auto"/>
            </w:tcBorders>
            <w:hideMark/>
          </w:tcPr>
          <w:p w14:paraId="0DF13B5B"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cel osiągnięty </w:t>
            </w:r>
          </w:p>
        </w:tc>
      </w:tr>
      <w:tr w:rsidR="000E3272" w:rsidRPr="00402443" w14:paraId="3ACA25B2" w14:textId="77777777" w:rsidTr="004F0D8E">
        <w:tc>
          <w:tcPr>
            <w:tcW w:w="562" w:type="dxa"/>
            <w:tcBorders>
              <w:top w:val="single" w:sz="4" w:space="0" w:color="auto"/>
              <w:left w:val="single" w:sz="4" w:space="0" w:color="auto"/>
              <w:bottom w:val="single" w:sz="4" w:space="0" w:color="auto"/>
              <w:right w:val="single" w:sz="4" w:space="0" w:color="auto"/>
            </w:tcBorders>
            <w:hideMark/>
          </w:tcPr>
          <w:p w14:paraId="6AA6BEDF"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3</w:t>
            </w:r>
          </w:p>
        </w:tc>
        <w:tc>
          <w:tcPr>
            <w:tcW w:w="4111" w:type="dxa"/>
            <w:tcBorders>
              <w:top w:val="single" w:sz="4" w:space="0" w:color="auto"/>
              <w:left w:val="single" w:sz="4" w:space="0" w:color="auto"/>
              <w:bottom w:val="single" w:sz="4" w:space="0" w:color="auto"/>
              <w:right w:val="single" w:sz="4" w:space="0" w:color="auto"/>
            </w:tcBorders>
            <w:hideMark/>
          </w:tcPr>
          <w:p w14:paraId="19F56FB8"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maksymalny poziom wykorzystania limitów wewnętrznych koncentracji zaangażowań z tytułu ekspozycji kredytowych zabezpieczonych hipotecznie</w:t>
            </w:r>
          </w:p>
        </w:tc>
        <w:tc>
          <w:tcPr>
            <w:tcW w:w="3119" w:type="dxa"/>
            <w:gridSpan w:val="2"/>
            <w:tcBorders>
              <w:top w:val="single" w:sz="4" w:space="0" w:color="auto"/>
              <w:left w:val="single" w:sz="4" w:space="0" w:color="auto"/>
              <w:bottom w:val="single" w:sz="4" w:space="0" w:color="auto"/>
              <w:right w:val="single" w:sz="4" w:space="0" w:color="auto"/>
            </w:tcBorders>
            <w:hideMark/>
          </w:tcPr>
          <w:p w14:paraId="77CB9F3C"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Limity nie zostały przekroczone i nie było podstaw do wprowadzenia systemu zapytań</w:t>
            </w:r>
          </w:p>
        </w:tc>
        <w:tc>
          <w:tcPr>
            <w:tcW w:w="1701" w:type="dxa"/>
            <w:tcBorders>
              <w:top w:val="single" w:sz="4" w:space="0" w:color="auto"/>
              <w:left w:val="single" w:sz="4" w:space="0" w:color="auto"/>
              <w:bottom w:val="single" w:sz="4" w:space="0" w:color="auto"/>
              <w:right w:val="single" w:sz="4" w:space="0" w:color="auto"/>
            </w:tcBorders>
            <w:hideMark/>
          </w:tcPr>
          <w:p w14:paraId="59A8C63E" w14:textId="77777777" w:rsidR="00471675" w:rsidRPr="00402443" w:rsidRDefault="00471675" w:rsidP="004F0D8E">
            <w:pPr>
              <w:spacing w:before="100" w:beforeAutospacing="1" w:after="0" w:line="264" w:lineRule="auto"/>
              <w:rPr>
                <w:rFonts w:ascii="Times New Roman" w:eastAsia="Times New Roman" w:hAnsi="Times New Roman" w:cs="Times New Roman"/>
                <w:sz w:val="24"/>
                <w:szCs w:val="24"/>
                <w:lang w:eastAsia="pl-PL"/>
              </w:rPr>
            </w:pPr>
            <w:r w:rsidRPr="00402443">
              <w:rPr>
                <w:rFonts w:ascii="Times New Roman" w:eastAsia="Times New Roman" w:hAnsi="Times New Roman" w:cs="Times New Roman"/>
                <w:sz w:val="20"/>
                <w:szCs w:val="20"/>
                <w:lang w:eastAsia="pl-PL"/>
              </w:rPr>
              <w:t xml:space="preserve">cel osiągnięty </w:t>
            </w:r>
          </w:p>
        </w:tc>
      </w:tr>
    </w:tbl>
    <w:p w14:paraId="7814EA16" w14:textId="77777777" w:rsidR="00471675" w:rsidRPr="007D7A3E" w:rsidRDefault="00471675" w:rsidP="00471675">
      <w:pPr>
        <w:spacing w:before="100" w:beforeAutospacing="1" w:after="0" w:line="264" w:lineRule="auto"/>
        <w:ind w:firstLine="708"/>
        <w:jc w:val="both"/>
        <w:rPr>
          <w:rFonts w:ascii="Times New Roman" w:eastAsia="Times New Roman" w:hAnsi="Times New Roman" w:cs="Times New Roman"/>
          <w:sz w:val="24"/>
          <w:szCs w:val="24"/>
          <w:lang w:eastAsia="pl-PL"/>
        </w:rPr>
      </w:pPr>
      <w:r w:rsidRPr="007D7A3E">
        <w:rPr>
          <w:rFonts w:ascii="Times New Roman" w:eastAsia="Times New Roman" w:hAnsi="Times New Roman" w:cs="Times New Roman"/>
          <w:sz w:val="24"/>
          <w:szCs w:val="24"/>
          <w:lang w:eastAsia="pl-PL"/>
        </w:rPr>
        <w:t>Ocena realizacji celów strategicznych w zakresie portfela ekspozycji kredytowych</w:t>
      </w:r>
      <w:r w:rsidRPr="007D7A3E">
        <w:rPr>
          <w:rFonts w:ascii="Times New Roman" w:eastAsia="Times New Roman" w:hAnsi="Times New Roman" w:cs="Times New Roman"/>
          <w:bCs/>
          <w:sz w:val="24"/>
          <w:szCs w:val="24"/>
          <w:lang w:eastAsia="pl-PL"/>
        </w:rPr>
        <w:t xml:space="preserve"> zabezpieczonych hipotecznie obejmuje monitorowanie limitów strategicznych</w:t>
      </w:r>
      <w:r w:rsidR="00A2151F" w:rsidRPr="007D7A3E">
        <w:rPr>
          <w:rFonts w:ascii="Times New Roman" w:eastAsia="Times New Roman" w:hAnsi="Times New Roman" w:cs="Times New Roman"/>
          <w:sz w:val="24"/>
          <w:szCs w:val="24"/>
          <w:lang w:eastAsia="pl-PL"/>
        </w:rPr>
        <w:t>. Na koniec 20</w:t>
      </w:r>
      <w:r w:rsidR="007D7A3E" w:rsidRPr="007D7A3E">
        <w:rPr>
          <w:rFonts w:ascii="Times New Roman" w:eastAsia="Times New Roman" w:hAnsi="Times New Roman" w:cs="Times New Roman"/>
          <w:sz w:val="24"/>
          <w:szCs w:val="24"/>
          <w:lang w:eastAsia="pl-PL"/>
        </w:rPr>
        <w:t>20</w:t>
      </w:r>
      <w:r w:rsidRPr="007D7A3E">
        <w:rPr>
          <w:rFonts w:ascii="Times New Roman" w:eastAsia="Times New Roman" w:hAnsi="Times New Roman" w:cs="Times New Roman"/>
          <w:sz w:val="24"/>
          <w:szCs w:val="24"/>
          <w:lang w:eastAsia="pl-PL"/>
        </w:rPr>
        <w:t xml:space="preserve"> r. wszystkie cele strategiczne w zakresie ekspozycji kredytowych zabezpieczonych hipotecznie zostały zrealizowane. Wykorzystanie limitów w zakresie ekspozycji kredytowych zapieczonych hipotecznie w Banku nie przekraczało </w:t>
      </w:r>
      <w:r w:rsidR="007E246D" w:rsidRPr="007D7A3E">
        <w:rPr>
          <w:rFonts w:ascii="Times New Roman" w:eastAsia="Times New Roman" w:hAnsi="Times New Roman" w:cs="Times New Roman"/>
          <w:sz w:val="24"/>
          <w:szCs w:val="24"/>
          <w:lang w:eastAsia="pl-PL"/>
        </w:rPr>
        <w:t>poziomu ostrzegawczego, tj. 90%</w:t>
      </w:r>
      <w:r w:rsidRPr="007D7A3E">
        <w:rPr>
          <w:rFonts w:ascii="Times New Roman" w:eastAsia="Times New Roman" w:hAnsi="Times New Roman" w:cs="Times New Roman"/>
          <w:sz w:val="24"/>
          <w:szCs w:val="24"/>
          <w:lang w:eastAsia="pl-PL"/>
        </w:rPr>
        <w:t>, w związku z powyższym nie wprowadzono systemu zapytań.</w:t>
      </w:r>
    </w:p>
    <w:p w14:paraId="556558AF" w14:textId="77777777" w:rsidR="005F4C51" w:rsidRPr="000E3272" w:rsidRDefault="005F4C51" w:rsidP="00F9182B">
      <w:pPr>
        <w:spacing w:after="0" w:line="264" w:lineRule="auto"/>
        <w:ind w:firstLine="708"/>
        <w:jc w:val="both"/>
        <w:rPr>
          <w:rFonts w:ascii="Times New Roman" w:hAnsi="Times New Roman" w:cs="Times New Roman"/>
          <w:color w:val="FF0000"/>
          <w:sz w:val="24"/>
          <w:szCs w:val="24"/>
        </w:rPr>
      </w:pPr>
    </w:p>
    <w:p w14:paraId="2C0813CF" w14:textId="77777777" w:rsidR="006C34F1" w:rsidRPr="007D7A3E" w:rsidRDefault="006C34F1" w:rsidP="00993749">
      <w:pPr>
        <w:pStyle w:val="Nagwek1"/>
        <w:numPr>
          <w:ilvl w:val="0"/>
          <w:numId w:val="21"/>
        </w:numPr>
        <w:rPr>
          <w:rFonts w:ascii="Times New Roman" w:hAnsi="Times New Roman" w:cs="Times New Roman"/>
          <w:b/>
          <w:color w:val="auto"/>
          <w:sz w:val="24"/>
          <w:szCs w:val="24"/>
        </w:rPr>
      </w:pPr>
      <w:bookmarkStart w:id="20" w:name="_Toc44930266"/>
      <w:r w:rsidRPr="007D7A3E">
        <w:rPr>
          <w:rFonts w:ascii="Times New Roman" w:hAnsi="Times New Roman" w:cs="Times New Roman"/>
          <w:b/>
          <w:color w:val="auto"/>
          <w:sz w:val="24"/>
          <w:szCs w:val="24"/>
        </w:rPr>
        <w:t>RYZYKO STOPY PROCENTOWEJ</w:t>
      </w:r>
      <w:bookmarkEnd w:id="20"/>
      <w:r w:rsidRPr="007D7A3E">
        <w:rPr>
          <w:rFonts w:ascii="Times New Roman" w:hAnsi="Times New Roman" w:cs="Times New Roman"/>
          <w:b/>
          <w:color w:val="auto"/>
          <w:sz w:val="24"/>
          <w:szCs w:val="24"/>
        </w:rPr>
        <w:t xml:space="preserve"> </w:t>
      </w:r>
    </w:p>
    <w:p w14:paraId="4CECA4B2" w14:textId="77777777" w:rsidR="001E631E" w:rsidRPr="007D7A3E" w:rsidRDefault="001E631E" w:rsidP="00174CA0">
      <w:pPr>
        <w:spacing w:after="0" w:line="264" w:lineRule="auto"/>
        <w:rPr>
          <w:rFonts w:ascii="Times New Roman" w:hAnsi="Times New Roman" w:cs="Times New Roman"/>
          <w:sz w:val="24"/>
          <w:szCs w:val="24"/>
        </w:rPr>
      </w:pPr>
    </w:p>
    <w:p w14:paraId="2D7718DB" w14:textId="77777777" w:rsidR="006C34F1" w:rsidRPr="007D7A3E" w:rsidRDefault="006C34F1" w:rsidP="00F9182B">
      <w:pPr>
        <w:spacing w:after="0" w:line="264" w:lineRule="auto"/>
        <w:ind w:firstLine="360"/>
        <w:jc w:val="both"/>
        <w:rPr>
          <w:rFonts w:ascii="Times New Roman" w:hAnsi="Times New Roman" w:cs="Times New Roman"/>
          <w:sz w:val="24"/>
          <w:szCs w:val="24"/>
        </w:rPr>
      </w:pPr>
      <w:r w:rsidRPr="007D7A3E">
        <w:rPr>
          <w:rFonts w:ascii="Times New Roman" w:hAnsi="Times New Roman" w:cs="Times New Roman"/>
          <w:sz w:val="24"/>
          <w:szCs w:val="24"/>
        </w:rPr>
        <w:t xml:space="preserve">Zarządzanie ryzykiem stopy procentowej prowadzone jest w oparciu o </w:t>
      </w:r>
      <w:r w:rsidR="005D038C" w:rsidRPr="007D7A3E">
        <w:rPr>
          <w:rFonts w:ascii="Times New Roman" w:hAnsi="Times New Roman" w:cs="Times New Roman"/>
          <w:sz w:val="24"/>
          <w:szCs w:val="24"/>
        </w:rPr>
        <w:t>S</w:t>
      </w:r>
      <w:r w:rsidRPr="007D7A3E">
        <w:rPr>
          <w:rFonts w:ascii="Times New Roman" w:hAnsi="Times New Roman" w:cs="Times New Roman"/>
          <w:sz w:val="24"/>
          <w:szCs w:val="24"/>
        </w:rPr>
        <w:t xml:space="preserve">trategię zarządzania </w:t>
      </w:r>
      <w:r w:rsidR="002144A5" w:rsidRPr="007D7A3E">
        <w:rPr>
          <w:rFonts w:ascii="Times New Roman" w:hAnsi="Times New Roman" w:cs="Times New Roman"/>
          <w:sz w:val="24"/>
          <w:szCs w:val="24"/>
        </w:rPr>
        <w:t>ryzykami</w:t>
      </w:r>
      <w:r w:rsidR="001E631E" w:rsidRPr="007D7A3E">
        <w:rPr>
          <w:rFonts w:ascii="Times New Roman" w:hAnsi="Times New Roman" w:cs="Times New Roman"/>
          <w:sz w:val="24"/>
          <w:szCs w:val="24"/>
        </w:rPr>
        <w:t xml:space="preserve">, </w:t>
      </w:r>
      <w:r w:rsidR="005D038C" w:rsidRPr="007D7A3E">
        <w:rPr>
          <w:rFonts w:ascii="Times New Roman" w:hAnsi="Times New Roman" w:cs="Times New Roman"/>
          <w:sz w:val="24"/>
          <w:szCs w:val="24"/>
        </w:rPr>
        <w:t>P</w:t>
      </w:r>
      <w:r w:rsidRPr="007D7A3E">
        <w:rPr>
          <w:rFonts w:ascii="Times New Roman" w:hAnsi="Times New Roman" w:cs="Times New Roman"/>
          <w:sz w:val="24"/>
          <w:szCs w:val="24"/>
        </w:rPr>
        <w:t xml:space="preserve">olitykę zarządzania ryzykiem </w:t>
      </w:r>
      <w:r w:rsidR="00EE1CA3" w:rsidRPr="007D7A3E">
        <w:rPr>
          <w:rFonts w:ascii="Times New Roman" w:hAnsi="Times New Roman" w:cs="Times New Roman"/>
          <w:sz w:val="24"/>
          <w:szCs w:val="24"/>
        </w:rPr>
        <w:t xml:space="preserve">rynkowym </w:t>
      </w:r>
      <w:r w:rsidRPr="007D7A3E">
        <w:rPr>
          <w:rFonts w:ascii="Times New Roman" w:hAnsi="Times New Roman" w:cs="Times New Roman"/>
          <w:sz w:val="24"/>
          <w:szCs w:val="24"/>
        </w:rPr>
        <w:t xml:space="preserve">oraz Instrukcję </w:t>
      </w:r>
      <w:r w:rsidR="00DE6FA7" w:rsidRPr="007D7A3E">
        <w:rPr>
          <w:rFonts w:ascii="Times New Roman" w:hAnsi="Times New Roman" w:cs="Times New Roman"/>
          <w:sz w:val="24"/>
          <w:szCs w:val="24"/>
        </w:rPr>
        <w:t>pomiaru</w:t>
      </w:r>
      <w:r w:rsidR="00515375" w:rsidRPr="007D7A3E">
        <w:rPr>
          <w:rFonts w:ascii="Times New Roman" w:hAnsi="Times New Roman" w:cs="Times New Roman"/>
          <w:sz w:val="24"/>
          <w:szCs w:val="24"/>
        </w:rPr>
        <w:t>, limitowania</w:t>
      </w:r>
      <w:r w:rsidR="00DE6FA7" w:rsidRPr="007D7A3E">
        <w:rPr>
          <w:rFonts w:ascii="Times New Roman" w:hAnsi="Times New Roman" w:cs="Times New Roman"/>
          <w:sz w:val="24"/>
          <w:szCs w:val="24"/>
        </w:rPr>
        <w:t>, raportowania i kontroli ryzyka stopy procentowej</w:t>
      </w:r>
      <w:r w:rsidRPr="007D7A3E">
        <w:rPr>
          <w:rFonts w:ascii="Times New Roman" w:hAnsi="Times New Roman" w:cs="Times New Roman"/>
          <w:sz w:val="24"/>
          <w:szCs w:val="24"/>
        </w:rPr>
        <w:t xml:space="preserve">. </w:t>
      </w:r>
    </w:p>
    <w:p w14:paraId="4D015B61" w14:textId="77777777" w:rsidR="00D0578D" w:rsidRPr="007D7A3E" w:rsidRDefault="00D0578D" w:rsidP="00174CA0">
      <w:pPr>
        <w:autoSpaceDE w:val="0"/>
        <w:autoSpaceDN w:val="0"/>
        <w:adjustRightInd w:val="0"/>
        <w:spacing w:after="0" w:line="264" w:lineRule="auto"/>
        <w:ind w:firstLine="360"/>
        <w:jc w:val="both"/>
        <w:rPr>
          <w:rFonts w:ascii="Times New Roman" w:hAnsi="Times New Roman" w:cs="Times New Roman"/>
          <w:sz w:val="24"/>
          <w:szCs w:val="24"/>
        </w:rPr>
      </w:pPr>
      <w:r w:rsidRPr="007D7A3E">
        <w:rPr>
          <w:rFonts w:ascii="Times New Roman" w:hAnsi="Times New Roman" w:cs="Times New Roman"/>
          <w:sz w:val="24"/>
          <w:szCs w:val="24"/>
        </w:rPr>
        <w:t xml:space="preserve">Ryzyko stopy procentowej jest to ryzyko poniesienia straty na pozycjach bilansowych </w:t>
      </w:r>
      <w:r w:rsidR="005D038C" w:rsidRPr="007D7A3E">
        <w:rPr>
          <w:rFonts w:ascii="Times New Roman" w:hAnsi="Times New Roman" w:cs="Times New Roman"/>
          <w:sz w:val="24"/>
          <w:szCs w:val="24"/>
        </w:rPr>
        <w:t xml:space="preserve">             </w:t>
      </w:r>
      <w:r w:rsidRPr="007D7A3E">
        <w:rPr>
          <w:rFonts w:ascii="Times New Roman" w:hAnsi="Times New Roman" w:cs="Times New Roman"/>
          <w:sz w:val="24"/>
          <w:szCs w:val="24"/>
        </w:rPr>
        <w:t>i pozabilansowych Banku</w:t>
      </w:r>
      <w:r w:rsidR="005D038C" w:rsidRPr="007D7A3E">
        <w:rPr>
          <w:rFonts w:ascii="Times New Roman" w:hAnsi="Times New Roman" w:cs="Times New Roman"/>
          <w:sz w:val="24"/>
          <w:szCs w:val="24"/>
        </w:rPr>
        <w:t>,</w:t>
      </w:r>
      <w:r w:rsidRPr="007D7A3E">
        <w:rPr>
          <w:rFonts w:ascii="Times New Roman" w:hAnsi="Times New Roman" w:cs="Times New Roman"/>
          <w:sz w:val="24"/>
          <w:szCs w:val="24"/>
        </w:rPr>
        <w:t xml:space="preserve"> wrażliwych na zmiany stóp procentowych, w wyniku zmian stóp pro</w:t>
      </w:r>
      <w:r w:rsidR="00F44B5F" w:rsidRPr="007D7A3E">
        <w:rPr>
          <w:rFonts w:ascii="Times New Roman" w:hAnsi="Times New Roman" w:cs="Times New Roman"/>
          <w:sz w:val="24"/>
          <w:szCs w:val="24"/>
        </w:rPr>
        <w:t>centowych na rynku, obejmujące 3</w:t>
      </w:r>
      <w:r w:rsidRPr="007D7A3E">
        <w:rPr>
          <w:rFonts w:ascii="Times New Roman" w:hAnsi="Times New Roman" w:cs="Times New Roman"/>
          <w:sz w:val="24"/>
          <w:szCs w:val="24"/>
        </w:rPr>
        <w:t xml:space="preserve"> rodzaje ryzyka, tj.: ryzyko niedopasowania</w:t>
      </w:r>
      <w:r w:rsidR="00F44B5F" w:rsidRPr="007D7A3E">
        <w:rPr>
          <w:rFonts w:ascii="Times New Roman" w:hAnsi="Times New Roman" w:cs="Times New Roman"/>
          <w:sz w:val="24"/>
          <w:szCs w:val="24"/>
        </w:rPr>
        <w:t xml:space="preserve">, ryzyko bazowe </w:t>
      </w:r>
      <w:r w:rsidRPr="007D7A3E">
        <w:rPr>
          <w:rFonts w:ascii="Times New Roman" w:hAnsi="Times New Roman" w:cs="Times New Roman"/>
          <w:sz w:val="24"/>
          <w:szCs w:val="24"/>
        </w:rPr>
        <w:t xml:space="preserve">i ryzyko opcji klienta. </w:t>
      </w:r>
    </w:p>
    <w:p w14:paraId="481B7F90" w14:textId="77777777" w:rsidR="00515375" w:rsidRPr="007D7A3E" w:rsidRDefault="00515375" w:rsidP="00174CA0">
      <w:pPr>
        <w:spacing w:after="0" w:line="264" w:lineRule="auto"/>
        <w:ind w:firstLine="360"/>
        <w:jc w:val="both"/>
        <w:rPr>
          <w:rFonts w:ascii="Times New Roman" w:hAnsi="Times New Roman" w:cs="Times New Roman"/>
          <w:sz w:val="24"/>
          <w:szCs w:val="24"/>
        </w:rPr>
      </w:pPr>
      <w:r w:rsidRPr="007D7A3E">
        <w:rPr>
          <w:rFonts w:ascii="Times New Roman" w:hAnsi="Times New Roman" w:cs="Times New Roman"/>
          <w:sz w:val="24"/>
          <w:szCs w:val="24"/>
        </w:rPr>
        <w:lastRenderedPageBreak/>
        <w:t>Celem zarządzania ryzykiem stopy procentowej jest utrzymanie zmienności wyniku odsetkowego  w granicach nie zagrażających bezpieczeństwu Banku i akceptowanych przez Radę Nadzorczą w ramach zatwierdzonej strategii.</w:t>
      </w:r>
    </w:p>
    <w:p w14:paraId="61F9A3A8" w14:textId="77777777" w:rsidR="006C34F1" w:rsidRPr="007D7A3E" w:rsidRDefault="006C34F1" w:rsidP="00993749">
      <w:pPr>
        <w:pStyle w:val="Nagwek1"/>
        <w:numPr>
          <w:ilvl w:val="1"/>
          <w:numId w:val="21"/>
        </w:numPr>
        <w:rPr>
          <w:rFonts w:ascii="Times New Roman" w:hAnsi="Times New Roman" w:cs="Times New Roman"/>
          <w:b/>
          <w:color w:val="auto"/>
          <w:sz w:val="24"/>
          <w:szCs w:val="24"/>
        </w:rPr>
      </w:pPr>
      <w:bookmarkStart w:id="21" w:name="_Toc44930267"/>
      <w:r w:rsidRPr="007D7A3E">
        <w:rPr>
          <w:rFonts w:ascii="Times New Roman" w:hAnsi="Times New Roman" w:cs="Times New Roman"/>
          <w:b/>
          <w:color w:val="auto"/>
          <w:sz w:val="24"/>
          <w:szCs w:val="24"/>
        </w:rPr>
        <w:t>REALIZACJA CELÓW STRATEGICZNYCH</w:t>
      </w:r>
      <w:bookmarkEnd w:id="21"/>
      <w:r w:rsidRPr="007D7A3E">
        <w:rPr>
          <w:rFonts w:ascii="Times New Roman" w:hAnsi="Times New Roman" w:cs="Times New Roman"/>
          <w:b/>
          <w:color w:val="auto"/>
          <w:sz w:val="24"/>
          <w:szCs w:val="24"/>
        </w:rPr>
        <w:t xml:space="preserve"> </w:t>
      </w:r>
    </w:p>
    <w:p w14:paraId="410856E6" w14:textId="77777777" w:rsidR="00EF3E3B" w:rsidRPr="007D7A3E" w:rsidRDefault="00EF3E3B" w:rsidP="00174CA0">
      <w:pPr>
        <w:spacing w:after="0" w:line="264" w:lineRule="auto"/>
        <w:jc w:val="both"/>
        <w:rPr>
          <w:rFonts w:ascii="Times New Roman" w:hAnsi="Times New Roman" w:cs="Times New Roman"/>
          <w:b/>
          <w:sz w:val="24"/>
          <w:szCs w:val="24"/>
        </w:rPr>
      </w:pPr>
    </w:p>
    <w:p w14:paraId="77FA7A7C" w14:textId="77777777" w:rsidR="00EF3E3B" w:rsidRPr="007D7A3E" w:rsidRDefault="00EF3E3B" w:rsidP="00174CA0">
      <w:pPr>
        <w:spacing w:after="0" w:line="264" w:lineRule="auto"/>
        <w:jc w:val="both"/>
        <w:rPr>
          <w:rFonts w:ascii="Times New Roman" w:hAnsi="Times New Roman" w:cs="Times New Roman"/>
          <w:sz w:val="24"/>
          <w:szCs w:val="24"/>
        </w:rPr>
      </w:pPr>
      <w:r w:rsidRPr="007D7A3E">
        <w:rPr>
          <w:rFonts w:ascii="Times New Roman" w:hAnsi="Times New Roman" w:cs="Times New Roman"/>
          <w:sz w:val="24"/>
          <w:szCs w:val="24"/>
        </w:rPr>
        <w:t>Cele strategiczne w zakresie zarządzania ryzykiem stopy procentowej.</w:t>
      </w:r>
    </w:p>
    <w:p w14:paraId="5F39EB72" w14:textId="77777777" w:rsidR="00EF3E3B" w:rsidRPr="007D7A3E" w:rsidRDefault="00EF3E3B" w:rsidP="00993749">
      <w:pPr>
        <w:pStyle w:val="Tekstpodstawowywcity2"/>
        <w:numPr>
          <w:ilvl w:val="1"/>
          <w:numId w:val="3"/>
        </w:numPr>
        <w:spacing w:after="0" w:line="264" w:lineRule="auto"/>
        <w:jc w:val="both"/>
        <w:rPr>
          <w:rFonts w:ascii="Times New Roman" w:hAnsi="Times New Roman" w:cs="Times New Roman"/>
          <w:sz w:val="24"/>
          <w:szCs w:val="24"/>
        </w:rPr>
      </w:pPr>
      <w:r w:rsidRPr="007D7A3E">
        <w:rPr>
          <w:rFonts w:ascii="Times New Roman" w:hAnsi="Times New Roman" w:cs="Times New Roman"/>
          <w:sz w:val="24"/>
          <w:szCs w:val="24"/>
        </w:rPr>
        <w:t>Utrzymanie zmienności wyniku odsetkowego w granicach nie zagrażających realizacji  planu finansowego i adekwatności kapitałowej Banku.</w:t>
      </w:r>
    </w:p>
    <w:p w14:paraId="4C0A4CC1" w14:textId="77777777" w:rsidR="00EF3E3B" w:rsidRPr="007D7A3E" w:rsidRDefault="00EF3E3B" w:rsidP="00993749">
      <w:pPr>
        <w:pStyle w:val="Tekstpodstawowywcity2"/>
        <w:numPr>
          <w:ilvl w:val="1"/>
          <w:numId w:val="3"/>
        </w:numPr>
        <w:spacing w:after="0" w:line="264" w:lineRule="auto"/>
        <w:jc w:val="both"/>
        <w:rPr>
          <w:rFonts w:ascii="Times New Roman" w:hAnsi="Times New Roman" w:cs="Times New Roman"/>
          <w:b/>
          <w:bCs/>
          <w:sz w:val="24"/>
          <w:szCs w:val="24"/>
        </w:rPr>
      </w:pPr>
      <w:r w:rsidRPr="007D7A3E">
        <w:rPr>
          <w:rFonts w:ascii="Times New Roman" w:hAnsi="Times New Roman" w:cs="Times New Roman"/>
          <w:sz w:val="24"/>
          <w:szCs w:val="24"/>
        </w:rPr>
        <w:t>Utrzymanie profilu ryzyka rynkowego</w:t>
      </w:r>
      <w:r w:rsidR="005D038C" w:rsidRPr="007D7A3E">
        <w:rPr>
          <w:rFonts w:ascii="Times New Roman" w:hAnsi="Times New Roman" w:cs="Times New Roman"/>
          <w:sz w:val="24"/>
          <w:szCs w:val="24"/>
        </w:rPr>
        <w:t>,</w:t>
      </w:r>
      <w:r w:rsidRPr="007D7A3E">
        <w:rPr>
          <w:rFonts w:ascii="Times New Roman" w:hAnsi="Times New Roman" w:cs="Times New Roman"/>
          <w:sz w:val="24"/>
          <w:szCs w:val="24"/>
        </w:rPr>
        <w:t xml:space="preserve"> w tym stopy procentowej i walutowego</w:t>
      </w:r>
      <w:r w:rsidR="005D038C" w:rsidRPr="007D7A3E">
        <w:rPr>
          <w:rFonts w:ascii="Times New Roman" w:hAnsi="Times New Roman" w:cs="Times New Roman"/>
          <w:sz w:val="24"/>
          <w:szCs w:val="24"/>
        </w:rPr>
        <w:t xml:space="preserve">,                </w:t>
      </w:r>
      <w:r w:rsidRPr="007D7A3E">
        <w:rPr>
          <w:rFonts w:ascii="Times New Roman" w:hAnsi="Times New Roman" w:cs="Times New Roman"/>
          <w:sz w:val="24"/>
          <w:szCs w:val="24"/>
        </w:rPr>
        <w:t xml:space="preserve"> w Banku na poziomie nie wyższym niż akceptowany.</w:t>
      </w:r>
    </w:p>
    <w:p w14:paraId="422F67DF" w14:textId="77777777" w:rsidR="00EF3E3B" w:rsidRPr="007D7A3E" w:rsidRDefault="00EF3E3B" w:rsidP="00993749">
      <w:pPr>
        <w:pStyle w:val="Tekstpodstawowywcity2"/>
        <w:numPr>
          <w:ilvl w:val="1"/>
          <w:numId w:val="3"/>
        </w:numPr>
        <w:spacing w:after="0" w:line="264" w:lineRule="auto"/>
        <w:jc w:val="both"/>
        <w:rPr>
          <w:rFonts w:ascii="Times New Roman" w:hAnsi="Times New Roman" w:cs="Times New Roman"/>
          <w:b/>
          <w:bCs/>
          <w:sz w:val="24"/>
          <w:szCs w:val="24"/>
        </w:rPr>
      </w:pPr>
      <w:r w:rsidRPr="007D7A3E">
        <w:rPr>
          <w:rFonts w:ascii="Times New Roman" w:hAnsi="Times New Roman" w:cs="Times New Roman"/>
          <w:sz w:val="24"/>
          <w:szCs w:val="24"/>
        </w:rPr>
        <w:t>Konsekwentne budowanie wizerunku Banku jako profesjonalnego i aktywnego uczestnika rynku międzybankowego.</w:t>
      </w:r>
    </w:p>
    <w:p w14:paraId="2FB0B519" w14:textId="77777777" w:rsidR="00EF3E3B" w:rsidRPr="007D7A3E" w:rsidRDefault="00EF3E3B" w:rsidP="00993749">
      <w:pPr>
        <w:pStyle w:val="Tekstpodstawowywcity2"/>
        <w:numPr>
          <w:ilvl w:val="1"/>
          <w:numId w:val="3"/>
        </w:numPr>
        <w:spacing w:after="0" w:line="264" w:lineRule="auto"/>
        <w:jc w:val="both"/>
        <w:rPr>
          <w:rFonts w:ascii="Times New Roman" w:hAnsi="Times New Roman" w:cs="Times New Roman"/>
          <w:sz w:val="24"/>
          <w:szCs w:val="24"/>
        </w:rPr>
      </w:pPr>
      <w:r w:rsidRPr="007D7A3E">
        <w:rPr>
          <w:rFonts w:ascii="Times New Roman" w:hAnsi="Times New Roman" w:cs="Times New Roman"/>
          <w:sz w:val="24"/>
          <w:szCs w:val="24"/>
        </w:rPr>
        <w:t xml:space="preserve">Utrzymywanie nieznaczącej skali działalności handlowej w rozumieniu </w:t>
      </w:r>
      <w:r w:rsidRPr="007D7A3E">
        <w:rPr>
          <w:rFonts w:ascii="Times New Roman" w:hAnsi="Times New Roman" w:cs="Times New Roman"/>
          <w:i/>
          <w:sz w:val="24"/>
          <w:szCs w:val="24"/>
        </w:rPr>
        <w:t xml:space="preserve"> art. 94 rozporządzenia  CRR</w:t>
      </w:r>
      <w:r w:rsidRPr="007D7A3E">
        <w:rPr>
          <w:rFonts w:ascii="Times New Roman" w:hAnsi="Times New Roman" w:cs="Times New Roman"/>
          <w:sz w:val="24"/>
          <w:szCs w:val="24"/>
        </w:rPr>
        <w:t>.</w:t>
      </w:r>
    </w:p>
    <w:p w14:paraId="292046D1" w14:textId="77777777" w:rsidR="00EF3E3B" w:rsidRPr="007D7A3E" w:rsidRDefault="00EF3E3B" w:rsidP="00993749">
      <w:pPr>
        <w:pStyle w:val="Tekstpodstawowywcity2"/>
        <w:numPr>
          <w:ilvl w:val="1"/>
          <w:numId w:val="3"/>
        </w:numPr>
        <w:spacing w:after="0" w:line="264" w:lineRule="auto"/>
        <w:jc w:val="both"/>
        <w:rPr>
          <w:rFonts w:ascii="Times New Roman" w:hAnsi="Times New Roman" w:cs="Times New Roman"/>
          <w:sz w:val="24"/>
          <w:szCs w:val="24"/>
        </w:rPr>
      </w:pPr>
      <w:r w:rsidRPr="007D7A3E">
        <w:rPr>
          <w:rFonts w:ascii="Times New Roman" w:hAnsi="Times New Roman" w:cs="Times New Roman"/>
          <w:sz w:val="24"/>
          <w:szCs w:val="24"/>
        </w:rPr>
        <w:t>Prowadzenie działań mających na celu zabezpieczanie ryzyka stopy procentowej</w:t>
      </w:r>
      <w:r w:rsidR="005D038C" w:rsidRPr="007D7A3E">
        <w:rPr>
          <w:rFonts w:ascii="Times New Roman" w:hAnsi="Times New Roman" w:cs="Times New Roman"/>
          <w:sz w:val="24"/>
          <w:szCs w:val="24"/>
        </w:rPr>
        <w:t xml:space="preserve">            </w:t>
      </w:r>
      <w:r w:rsidRPr="007D7A3E">
        <w:rPr>
          <w:rFonts w:ascii="Times New Roman" w:hAnsi="Times New Roman" w:cs="Times New Roman"/>
          <w:sz w:val="24"/>
          <w:szCs w:val="24"/>
        </w:rPr>
        <w:t xml:space="preserve"> w ramach zarządzania aktywami i pasywami Banku.</w:t>
      </w:r>
    </w:p>
    <w:p w14:paraId="56498562" w14:textId="77777777" w:rsidR="00EF3E3B" w:rsidRPr="007D7A3E" w:rsidRDefault="00EF3E3B" w:rsidP="00993749">
      <w:pPr>
        <w:pStyle w:val="Tekstpodstawowywcity2"/>
        <w:numPr>
          <w:ilvl w:val="1"/>
          <w:numId w:val="3"/>
        </w:numPr>
        <w:spacing w:after="0" w:line="264" w:lineRule="auto"/>
        <w:jc w:val="both"/>
        <w:rPr>
          <w:rFonts w:ascii="Times New Roman" w:hAnsi="Times New Roman" w:cs="Times New Roman"/>
          <w:sz w:val="24"/>
          <w:szCs w:val="24"/>
        </w:rPr>
      </w:pPr>
      <w:r w:rsidRPr="007D7A3E">
        <w:rPr>
          <w:rFonts w:ascii="Times New Roman" w:hAnsi="Times New Roman" w:cs="Times New Roman"/>
          <w:sz w:val="24"/>
          <w:szCs w:val="24"/>
        </w:rPr>
        <w:t xml:space="preserve">Maksymalizacja marży odsetkowej w warunkach zmienności rynkowych stóp procentowych oraz ograniczanie negatywnego wpływu zmian stóp procentowych poprzez doskonalenie narzędzi pomiaru. </w:t>
      </w:r>
    </w:p>
    <w:p w14:paraId="5D8EE90D" w14:textId="77777777" w:rsidR="00D32AEC" w:rsidRPr="007D7A3E" w:rsidRDefault="005728C8" w:rsidP="00D32AEC">
      <w:pPr>
        <w:autoSpaceDE w:val="0"/>
        <w:autoSpaceDN w:val="0"/>
        <w:adjustRightInd w:val="0"/>
        <w:spacing w:after="0" w:line="264" w:lineRule="auto"/>
        <w:ind w:firstLine="360"/>
        <w:jc w:val="both"/>
        <w:rPr>
          <w:rFonts w:ascii="Times New Roman" w:hAnsi="Times New Roman" w:cs="Times New Roman"/>
          <w:sz w:val="24"/>
          <w:szCs w:val="24"/>
        </w:rPr>
      </w:pPr>
      <w:r w:rsidRPr="007D7A3E">
        <w:rPr>
          <w:rFonts w:ascii="Times New Roman" w:hAnsi="Times New Roman" w:cs="Times New Roman"/>
          <w:sz w:val="24"/>
          <w:szCs w:val="24"/>
        </w:rPr>
        <w:t xml:space="preserve">Profil ryzyka stopy procentowej określa możliwe do zaakceptowania przez Bank narażenie na ryzyko, w zakresie </w:t>
      </w:r>
      <w:r w:rsidR="00530E0F" w:rsidRPr="007D7A3E">
        <w:rPr>
          <w:rFonts w:ascii="Times New Roman" w:hAnsi="Times New Roman" w:cs="Times New Roman"/>
          <w:sz w:val="24"/>
          <w:szCs w:val="24"/>
        </w:rPr>
        <w:t>trz</w:t>
      </w:r>
      <w:r w:rsidRPr="007D7A3E">
        <w:rPr>
          <w:rFonts w:ascii="Times New Roman" w:hAnsi="Times New Roman" w:cs="Times New Roman"/>
          <w:sz w:val="24"/>
          <w:szCs w:val="24"/>
        </w:rPr>
        <w:t>ech wyodrębnionych kat</w:t>
      </w:r>
      <w:r w:rsidR="00D32AEC" w:rsidRPr="007D7A3E">
        <w:rPr>
          <w:rFonts w:ascii="Times New Roman" w:hAnsi="Times New Roman" w:cs="Times New Roman"/>
          <w:sz w:val="24"/>
          <w:szCs w:val="24"/>
        </w:rPr>
        <w:t>egorii ryzyka stopy procentowej</w:t>
      </w:r>
      <w:r w:rsidR="005D038C" w:rsidRPr="007D7A3E">
        <w:rPr>
          <w:rFonts w:ascii="Times New Roman" w:hAnsi="Times New Roman" w:cs="Times New Roman"/>
          <w:sz w:val="24"/>
          <w:szCs w:val="24"/>
        </w:rPr>
        <w:t>.</w:t>
      </w:r>
    </w:p>
    <w:tbl>
      <w:tblPr>
        <w:tblpPr w:leftFromText="141" w:rightFromText="141" w:vertAnchor="text" w:tblpY="683"/>
        <w:tblW w:w="90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111"/>
        <w:gridCol w:w="1843"/>
        <w:gridCol w:w="2318"/>
        <w:gridCol w:w="1784"/>
      </w:tblGrid>
      <w:tr w:rsidR="007D7A3E" w:rsidRPr="007D7A3E" w14:paraId="180BF54B" w14:textId="77777777" w:rsidTr="00A938DC">
        <w:trPr>
          <w:trHeight w:val="899"/>
        </w:trPr>
        <w:tc>
          <w:tcPr>
            <w:tcW w:w="3111" w:type="dxa"/>
            <w:shd w:val="pct10" w:color="auto" w:fill="auto"/>
            <w:vAlign w:val="center"/>
          </w:tcPr>
          <w:p w14:paraId="4E8F7981" w14:textId="77777777" w:rsidR="00EF3E3B" w:rsidRPr="007D7A3E" w:rsidRDefault="00EF3E3B" w:rsidP="00174CA0">
            <w:pPr>
              <w:pStyle w:val="Nagwek2"/>
              <w:spacing w:line="264" w:lineRule="auto"/>
              <w:rPr>
                <w:sz w:val="20"/>
              </w:rPr>
            </w:pPr>
            <w:bookmarkStart w:id="22" w:name="_Toc13650965"/>
            <w:bookmarkStart w:id="23" w:name="_Toc44930268"/>
            <w:r w:rsidRPr="007D7A3E">
              <w:rPr>
                <w:sz w:val="20"/>
              </w:rPr>
              <w:t>Kategoria ryzyka stopy procentowej</w:t>
            </w:r>
            <w:bookmarkEnd w:id="22"/>
            <w:bookmarkEnd w:id="23"/>
          </w:p>
        </w:tc>
        <w:tc>
          <w:tcPr>
            <w:tcW w:w="1843" w:type="dxa"/>
            <w:shd w:val="pct10" w:color="auto" w:fill="auto"/>
            <w:vAlign w:val="center"/>
          </w:tcPr>
          <w:p w14:paraId="71352546" w14:textId="77777777" w:rsidR="00EF3E3B" w:rsidRPr="007D7A3E" w:rsidRDefault="00EF3E3B" w:rsidP="00174CA0">
            <w:pPr>
              <w:spacing w:after="0" w:line="264" w:lineRule="auto"/>
              <w:jc w:val="center"/>
              <w:rPr>
                <w:rFonts w:ascii="Times New Roman" w:hAnsi="Times New Roman" w:cs="Times New Roman"/>
                <w:b/>
                <w:bCs/>
                <w:sz w:val="20"/>
                <w:szCs w:val="20"/>
              </w:rPr>
            </w:pPr>
            <w:r w:rsidRPr="007D7A3E">
              <w:rPr>
                <w:rFonts w:ascii="Times New Roman" w:hAnsi="Times New Roman" w:cs="Times New Roman"/>
                <w:b/>
                <w:bCs/>
                <w:sz w:val="20"/>
                <w:szCs w:val="20"/>
              </w:rPr>
              <w:t>Stopień narażenia Banku na ryzyko (min 0 - max 5)</w:t>
            </w:r>
            <w:r w:rsidRPr="007D7A3E">
              <w:rPr>
                <w:rStyle w:val="Odwoanieprzypisudolnego"/>
                <w:rFonts w:ascii="Times New Roman" w:hAnsi="Times New Roman" w:cs="Times New Roman"/>
                <w:b/>
                <w:bCs/>
                <w:sz w:val="20"/>
                <w:szCs w:val="20"/>
              </w:rPr>
              <w:footnoteReference w:id="1"/>
            </w:r>
          </w:p>
        </w:tc>
        <w:tc>
          <w:tcPr>
            <w:tcW w:w="2318" w:type="dxa"/>
            <w:shd w:val="pct10" w:color="auto" w:fill="auto"/>
            <w:vAlign w:val="center"/>
          </w:tcPr>
          <w:p w14:paraId="1EE3DF59" w14:textId="77777777" w:rsidR="00EF3E3B" w:rsidRPr="007D7A3E" w:rsidRDefault="00EF3E3B" w:rsidP="00174CA0">
            <w:pPr>
              <w:spacing w:after="0" w:line="264" w:lineRule="auto"/>
              <w:jc w:val="center"/>
              <w:rPr>
                <w:rFonts w:ascii="Times New Roman" w:hAnsi="Times New Roman" w:cs="Times New Roman"/>
                <w:b/>
                <w:bCs/>
                <w:sz w:val="20"/>
                <w:szCs w:val="20"/>
              </w:rPr>
            </w:pPr>
            <w:r w:rsidRPr="007D7A3E">
              <w:rPr>
                <w:rFonts w:ascii="Times New Roman" w:hAnsi="Times New Roman" w:cs="Times New Roman"/>
                <w:b/>
                <w:bCs/>
                <w:sz w:val="20"/>
                <w:szCs w:val="20"/>
              </w:rPr>
              <w:t>Dopuszczalny poziom</w:t>
            </w:r>
          </w:p>
          <w:p w14:paraId="26FC28FC" w14:textId="77777777" w:rsidR="00EF3E3B" w:rsidRPr="007D7A3E" w:rsidRDefault="00EF3E3B" w:rsidP="00174CA0">
            <w:pPr>
              <w:spacing w:after="0" w:line="264" w:lineRule="auto"/>
              <w:jc w:val="center"/>
              <w:rPr>
                <w:rFonts w:ascii="Times New Roman" w:hAnsi="Times New Roman" w:cs="Times New Roman"/>
                <w:b/>
                <w:bCs/>
                <w:sz w:val="20"/>
                <w:szCs w:val="20"/>
              </w:rPr>
            </w:pPr>
            <w:r w:rsidRPr="007D7A3E">
              <w:rPr>
                <w:rFonts w:ascii="Times New Roman" w:hAnsi="Times New Roman" w:cs="Times New Roman"/>
                <w:b/>
                <w:bCs/>
                <w:sz w:val="20"/>
                <w:szCs w:val="20"/>
              </w:rPr>
              <w:t xml:space="preserve"> ekspozycji na ryzyko</w:t>
            </w:r>
          </w:p>
        </w:tc>
        <w:tc>
          <w:tcPr>
            <w:tcW w:w="1784" w:type="dxa"/>
            <w:shd w:val="pct10" w:color="auto" w:fill="auto"/>
          </w:tcPr>
          <w:p w14:paraId="32BD023F" w14:textId="77777777" w:rsidR="00EF3E3B" w:rsidRPr="007D7A3E" w:rsidRDefault="00152ABD" w:rsidP="007D7A3E">
            <w:pPr>
              <w:spacing w:after="0" w:line="264" w:lineRule="auto"/>
              <w:jc w:val="center"/>
              <w:rPr>
                <w:rFonts w:ascii="Times New Roman" w:hAnsi="Times New Roman" w:cs="Times New Roman"/>
                <w:b/>
                <w:bCs/>
                <w:sz w:val="20"/>
                <w:szCs w:val="20"/>
              </w:rPr>
            </w:pPr>
            <w:r w:rsidRPr="007D7A3E">
              <w:rPr>
                <w:rFonts w:ascii="Times New Roman" w:hAnsi="Times New Roman" w:cs="Times New Roman"/>
                <w:b/>
                <w:bCs/>
                <w:sz w:val="20"/>
                <w:szCs w:val="20"/>
              </w:rPr>
              <w:t>Poziom ryzyka na 31.12.20</w:t>
            </w:r>
            <w:r w:rsidR="007D7A3E" w:rsidRPr="007D7A3E">
              <w:rPr>
                <w:rFonts w:ascii="Times New Roman" w:hAnsi="Times New Roman" w:cs="Times New Roman"/>
                <w:b/>
                <w:bCs/>
                <w:sz w:val="20"/>
                <w:szCs w:val="20"/>
              </w:rPr>
              <w:t>20</w:t>
            </w:r>
            <w:r w:rsidR="005D038C" w:rsidRPr="007D7A3E">
              <w:rPr>
                <w:rFonts w:ascii="Times New Roman" w:hAnsi="Times New Roman" w:cs="Times New Roman"/>
                <w:b/>
                <w:bCs/>
                <w:sz w:val="20"/>
                <w:szCs w:val="20"/>
              </w:rPr>
              <w:t xml:space="preserve"> </w:t>
            </w:r>
            <w:r w:rsidR="00EF3E3B" w:rsidRPr="007D7A3E">
              <w:rPr>
                <w:rFonts w:ascii="Times New Roman" w:hAnsi="Times New Roman" w:cs="Times New Roman"/>
                <w:b/>
                <w:bCs/>
                <w:sz w:val="20"/>
                <w:szCs w:val="20"/>
              </w:rPr>
              <w:t>r.</w:t>
            </w:r>
          </w:p>
        </w:tc>
      </w:tr>
      <w:tr w:rsidR="000E3272" w:rsidRPr="007D7A3E" w14:paraId="6E3876E3" w14:textId="77777777" w:rsidTr="00F9182B">
        <w:tc>
          <w:tcPr>
            <w:tcW w:w="3111" w:type="dxa"/>
          </w:tcPr>
          <w:p w14:paraId="1DCDFFE3" w14:textId="77777777" w:rsidR="00EF3E3B" w:rsidRPr="007D7A3E" w:rsidRDefault="00EF3E3B" w:rsidP="00F44B5F">
            <w:pPr>
              <w:numPr>
                <w:ilvl w:val="0"/>
                <w:numId w:val="2"/>
              </w:numPr>
              <w:tabs>
                <w:tab w:val="left" w:pos="0"/>
              </w:tabs>
              <w:spacing w:after="0" w:line="264" w:lineRule="auto"/>
              <w:ind w:left="357" w:hanging="357"/>
              <w:jc w:val="both"/>
              <w:rPr>
                <w:rFonts w:ascii="Times New Roman" w:hAnsi="Times New Roman" w:cs="Times New Roman"/>
                <w:b/>
                <w:bCs/>
                <w:sz w:val="20"/>
                <w:szCs w:val="20"/>
              </w:rPr>
            </w:pPr>
            <w:r w:rsidRPr="007D7A3E">
              <w:rPr>
                <w:rFonts w:ascii="Times New Roman" w:hAnsi="Times New Roman" w:cs="Times New Roman"/>
                <w:sz w:val="20"/>
                <w:szCs w:val="20"/>
                <w:u w:val="single"/>
              </w:rPr>
              <w:t xml:space="preserve">Ryzyko niedopasowania </w:t>
            </w:r>
          </w:p>
        </w:tc>
        <w:tc>
          <w:tcPr>
            <w:tcW w:w="1843" w:type="dxa"/>
            <w:vAlign w:val="center"/>
          </w:tcPr>
          <w:p w14:paraId="02DE5F71" w14:textId="77777777" w:rsidR="00EF3E3B" w:rsidRPr="007D7A3E" w:rsidRDefault="00EF3E3B" w:rsidP="00174CA0">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2</w:t>
            </w:r>
          </w:p>
        </w:tc>
        <w:tc>
          <w:tcPr>
            <w:tcW w:w="2318" w:type="dxa"/>
            <w:vAlign w:val="center"/>
          </w:tcPr>
          <w:p w14:paraId="28001977" w14:textId="77777777" w:rsidR="00EF3E3B" w:rsidRPr="007D7A3E" w:rsidRDefault="00EF3E3B" w:rsidP="00174CA0">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 xml:space="preserve">max 15 % funduszy własnych Banku </w:t>
            </w:r>
          </w:p>
          <w:p w14:paraId="26DDB28A" w14:textId="77777777" w:rsidR="00EF3E3B" w:rsidRPr="007D7A3E" w:rsidRDefault="00EF3E3B" w:rsidP="00174CA0">
            <w:pPr>
              <w:spacing w:after="0" w:line="264" w:lineRule="auto"/>
              <w:jc w:val="center"/>
              <w:rPr>
                <w:rFonts w:ascii="Times New Roman" w:hAnsi="Times New Roman" w:cs="Times New Roman"/>
                <w:b/>
                <w:bCs/>
                <w:i/>
                <w:sz w:val="20"/>
                <w:szCs w:val="20"/>
              </w:rPr>
            </w:pPr>
            <w:r w:rsidRPr="007D7A3E">
              <w:rPr>
                <w:rFonts w:ascii="Times New Roman" w:hAnsi="Times New Roman" w:cs="Times New Roman"/>
                <w:bCs/>
                <w:i/>
                <w:sz w:val="20"/>
                <w:szCs w:val="20"/>
              </w:rPr>
              <w:t xml:space="preserve">(limity ustalane w stosunku do planowanego wyniku odsetkowego Banku) </w:t>
            </w:r>
          </w:p>
        </w:tc>
        <w:tc>
          <w:tcPr>
            <w:tcW w:w="1784" w:type="dxa"/>
            <w:vAlign w:val="center"/>
          </w:tcPr>
          <w:p w14:paraId="22172D7A" w14:textId="77777777" w:rsidR="00EF3E3B" w:rsidRPr="007D7A3E" w:rsidRDefault="007D7A3E" w:rsidP="005100A6">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8,17</w:t>
            </w:r>
            <w:r w:rsidR="00F9182B" w:rsidRPr="007D7A3E">
              <w:rPr>
                <w:rFonts w:ascii="Times New Roman" w:hAnsi="Times New Roman" w:cs="Times New Roman"/>
                <w:bCs/>
                <w:sz w:val="20"/>
                <w:szCs w:val="20"/>
              </w:rPr>
              <w:t>%</w:t>
            </w:r>
          </w:p>
        </w:tc>
      </w:tr>
      <w:tr w:rsidR="000E3272" w:rsidRPr="007D7A3E" w14:paraId="1AB76DD1" w14:textId="77777777" w:rsidTr="00F9182B">
        <w:tc>
          <w:tcPr>
            <w:tcW w:w="3111" w:type="dxa"/>
          </w:tcPr>
          <w:p w14:paraId="0735CCF1" w14:textId="77777777" w:rsidR="00EF3E3B" w:rsidRPr="007D7A3E" w:rsidRDefault="00EF3E3B" w:rsidP="00F44B5F">
            <w:pPr>
              <w:numPr>
                <w:ilvl w:val="0"/>
                <w:numId w:val="2"/>
              </w:numPr>
              <w:tabs>
                <w:tab w:val="left" w:pos="0"/>
              </w:tabs>
              <w:spacing w:after="0" w:line="264" w:lineRule="auto"/>
              <w:ind w:left="357" w:hanging="357"/>
              <w:jc w:val="both"/>
              <w:rPr>
                <w:rFonts w:ascii="Times New Roman" w:hAnsi="Times New Roman" w:cs="Times New Roman"/>
                <w:b/>
                <w:bCs/>
                <w:sz w:val="20"/>
                <w:szCs w:val="20"/>
              </w:rPr>
            </w:pPr>
            <w:r w:rsidRPr="007D7A3E">
              <w:rPr>
                <w:rFonts w:ascii="Times New Roman" w:hAnsi="Times New Roman" w:cs="Times New Roman"/>
                <w:sz w:val="20"/>
                <w:szCs w:val="20"/>
                <w:u w:val="single"/>
              </w:rPr>
              <w:t>Ryzyko bazowe</w:t>
            </w:r>
            <w:r w:rsidRPr="007D7A3E">
              <w:rPr>
                <w:rFonts w:ascii="Times New Roman" w:hAnsi="Times New Roman" w:cs="Times New Roman"/>
                <w:b/>
                <w:sz w:val="20"/>
                <w:szCs w:val="20"/>
              </w:rPr>
              <w:t xml:space="preserve"> </w:t>
            </w:r>
          </w:p>
        </w:tc>
        <w:tc>
          <w:tcPr>
            <w:tcW w:w="1843" w:type="dxa"/>
            <w:vAlign w:val="center"/>
          </w:tcPr>
          <w:p w14:paraId="3603F160" w14:textId="77777777" w:rsidR="00EF3E3B" w:rsidRPr="007D7A3E" w:rsidDel="00EB583F" w:rsidRDefault="00EF3E3B" w:rsidP="00174CA0">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 xml:space="preserve">2 </w:t>
            </w:r>
          </w:p>
        </w:tc>
        <w:tc>
          <w:tcPr>
            <w:tcW w:w="2318" w:type="dxa"/>
            <w:vAlign w:val="center"/>
          </w:tcPr>
          <w:p w14:paraId="504FAFB7" w14:textId="77777777" w:rsidR="00EF3E3B" w:rsidRPr="007D7A3E" w:rsidRDefault="00EF3E3B" w:rsidP="00174CA0">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 xml:space="preserve">max  2 % funduszy własnych </w:t>
            </w:r>
            <w:r w:rsidRPr="007D7A3E">
              <w:rPr>
                <w:rFonts w:ascii="Times New Roman" w:hAnsi="Times New Roman" w:cs="Times New Roman"/>
                <w:bCs/>
                <w:sz w:val="20"/>
                <w:szCs w:val="20"/>
              </w:rPr>
              <w:br/>
              <w:t xml:space="preserve">Banku </w:t>
            </w:r>
          </w:p>
          <w:p w14:paraId="1C14D008" w14:textId="77777777" w:rsidR="00EF3E3B" w:rsidRPr="007D7A3E" w:rsidRDefault="00EF3E3B" w:rsidP="00174CA0">
            <w:pPr>
              <w:spacing w:after="0" w:line="264" w:lineRule="auto"/>
              <w:jc w:val="center"/>
              <w:rPr>
                <w:rFonts w:ascii="Times New Roman" w:hAnsi="Times New Roman" w:cs="Times New Roman"/>
                <w:bCs/>
                <w:i/>
                <w:sz w:val="20"/>
                <w:szCs w:val="20"/>
                <w:u w:val="single"/>
              </w:rPr>
            </w:pPr>
            <w:r w:rsidRPr="007D7A3E">
              <w:rPr>
                <w:rFonts w:ascii="Times New Roman" w:hAnsi="Times New Roman" w:cs="Times New Roman"/>
                <w:bCs/>
                <w:sz w:val="20"/>
                <w:szCs w:val="20"/>
              </w:rPr>
              <w:t>(limity ustalane  w stosunku do planowanego  wyniku odsetkowego Banku)</w:t>
            </w:r>
          </w:p>
        </w:tc>
        <w:tc>
          <w:tcPr>
            <w:tcW w:w="1784" w:type="dxa"/>
            <w:vAlign w:val="center"/>
          </w:tcPr>
          <w:p w14:paraId="657D807F" w14:textId="77777777" w:rsidR="00EF3E3B" w:rsidRPr="007D7A3E" w:rsidRDefault="007D7A3E" w:rsidP="00F440CB">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1,89</w:t>
            </w:r>
            <w:r w:rsidR="00F9182B" w:rsidRPr="007D7A3E">
              <w:rPr>
                <w:rFonts w:ascii="Times New Roman" w:hAnsi="Times New Roman" w:cs="Times New Roman"/>
                <w:bCs/>
                <w:sz w:val="20"/>
                <w:szCs w:val="20"/>
              </w:rPr>
              <w:t>%</w:t>
            </w:r>
          </w:p>
        </w:tc>
      </w:tr>
      <w:tr w:rsidR="000E3272" w:rsidRPr="007D7A3E" w14:paraId="554A26B5" w14:textId="77777777" w:rsidTr="005100A6">
        <w:trPr>
          <w:trHeight w:val="1529"/>
        </w:trPr>
        <w:tc>
          <w:tcPr>
            <w:tcW w:w="3111" w:type="dxa"/>
            <w:vMerge w:val="restart"/>
          </w:tcPr>
          <w:p w14:paraId="09FCB110" w14:textId="77777777" w:rsidR="005100A6" w:rsidRPr="007D7A3E" w:rsidRDefault="005100A6" w:rsidP="00F44B5F">
            <w:pPr>
              <w:numPr>
                <w:ilvl w:val="0"/>
                <w:numId w:val="2"/>
              </w:numPr>
              <w:tabs>
                <w:tab w:val="left" w:pos="0"/>
              </w:tabs>
              <w:spacing w:after="0" w:line="264" w:lineRule="auto"/>
              <w:ind w:left="357" w:hanging="357"/>
              <w:jc w:val="both"/>
              <w:rPr>
                <w:rFonts w:ascii="Times New Roman" w:hAnsi="Times New Roman" w:cs="Times New Roman"/>
                <w:b/>
                <w:bCs/>
                <w:sz w:val="20"/>
                <w:szCs w:val="20"/>
              </w:rPr>
            </w:pPr>
            <w:r w:rsidRPr="007D7A3E">
              <w:rPr>
                <w:rFonts w:ascii="Times New Roman" w:hAnsi="Times New Roman" w:cs="Times New Roman"/>
                <w:sz w:val="20"/>
                <w:szCs w:val="20"/>
                <w:u w:val="single"/>
              </w:rPr>
              <w:lastRenderedPageBreak/>
              <w:t>Ryzyko opcji klienta</w:t>
            </w:r>
            <w:r w:rsidRPr="007D7A3E">
              <w:rPr>
                <w:rFonts w:ascii="Times New Roman" w:hAnsi="Times New Roman" w:cs="Times New Roman"/>
                <w:sz w:val="20"/>
                <w:szCs w:val="20"/>
              </w:rPr>
              <w:t xml:space="preserve"> </w:t>
            </w:r>
          </w:p>
        </w:tc>
        <w:tc>
          <w:tcPr>
            <w:tcW w:w="1843" w:type="dxa"/>
            <w:vMerge w:val="restart"/>
            <w:vAlign w:val="center"/>
          </w:tcPr>
          <w:p w14:paraId="3E2166E3" w14:textId="77777777" w:rsidR="005100A6" w:rsidRPr="007D7A3E" w:rsidRDefault="005100A6" w:rsidP="005100A6">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 xml:space="preserve">2 </w:t>
            </w:r>
          </w:p>
          <w:p w14:paraId="2274F586" w14:textId="77777777" w:rsidR="005100A6" w:rsidRPr="007D7A3E" w:rsidRDefault="005100A6" w:rsidP="00A609AF">
            <w:pPr>
              <w:spacing w:after="0" w:line="264" w:lineRule="auto"/>
              <w:jc w:val="center"/>
              <w:rPr>
                <w:rFonts w:ascii="Times New Roman" w:hAnsi="Times New Roman" w:cs="Times New Roman"/>
                <w:bCs/>
                <w:sz w:val="20"/>
                <w:szCs w:val="20"/>
              </w:rPr>
            </w:pPr>
          </w:p>
        </w:tc>
        <w:tc>
          <w:tcPr>
            <w:tcW w:w="2318" w:type="dxa"/>
          </w:tcPr>
          <w:p w14:paraId="7BFBCE19" w14:textId="77777777" w:rsidR="005100A6" w:rsidRPr="007D7A3E" w:rsidRDefault="005100A6" w:rsidP="00993749">
            <w:pPr>
              <w:numPr>
                <w:ilvl w:val="1"/>
                <w:numId w:val="2"/>
              </w:numPr>
              <w:tabs>
                <w:tab w:val="clear" w:pos="1440"/>
                <w:tab w:val="num" w:pos="290"/>
              </w:tabs>
              <w:spacing w:after="0" w:line="264" w:lineRule="auto"/>
              <w:ind w:left="290" w:hanging="290"/>
              <w:rPr>
                <w:rFonts w:ascii="Times New Roman" w:hAnsi="Times New Roman" w:cs="Times New Roman"/>
                <w:bCs/>
                <w:sz w:val="20"/>
                <w:szCs w:val="20"/>
              </w:rPr>
            </w:pPr>
            <w:r w:rsidRPr="007D7A3E">
              <w:rPr>
                <w:rFonts w:ascii="Times New Roman" w:hAnsi="Times New Roman" w:cs="Times New Roman"/>
                <w:bCs/>
                <w:sz w:val="20"/>
                <w:szCs w:val="20"/>
              </w:rPr>
              <w:t xml:space="preserve">zrywalność depozytów (z opcją ) w okresie miesiąca na poziomie max 2% stanu depozytów terminowych </w:t>
            </w:r>
          </w:p>
          <w:p w14:paraId="061E8CAC" w14:textId="77777777" w:rsidR="005100A6" w:rsidRPr="007D7A3E" w:rsidRDefault="005100A6" w:rsidP="005100A6">
            <w:pPr>
              <w:spacing w:after="0" w:line="264" w:lineRule="auto"/>
              <w:rPr>
                <w:rFonts w:ascii="Times New Roman" w:hAnsi="Times New Roman" w:cs="Times New Roman"/>
                <w:bCs/>
                <w:sz w:val="20"/>
                <w:szCs w:val="20"/>
              </w:rPr>
            </w:pPr>
          </w:p>
        </w:tc>
        <w:tc>
          <w:tcPr>
            <w:tcW w:w="1784" w:type="dxa"/>
          </w:tcPr>
          <w:p w14:paraId="5D075210" w14:textId="77777777" w:rsidR="005100A6" w:rsidRPr="007D7A3E" w:rsidRDefault="00F440CB" w:rsidP="005100A6">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0,</w:t>
            </w:r>
            <w:r w:rsidR="007D7A3E" w:rsidRPr="007D7A3E">
              <w:rPr>
                <w:rFonts w:ascii="Times New Roman" w:hAnsi="Times New Roman" w:cs="Times New Roman"/>
                <w:bCs/>
                <w:sz w:val="20"/>
                <w:szCs w:val="20"/>
              </w:rPr>
              <w:t>89</w:t>
            </w:r>
            <w:r w:rsidR="005100A6" w:rsidRPr="007D7A3E">
              <w:rPr>
                <w:rFonts w:ascii="Times New Roman" w:hAnsi="Times New Roman" w:cs="Times New Roman"/>
                <w:bCs/>
                <w:sz w:val="20"/>
                <w:szCs w:val="20"/>
              </w:rPr>
              <w:t>%</w:t>
            </w:r>
          </w:p>
          <w:p w14:paraId="7CE416C3" w14:textId="77777777" w:rsidR="005100A6" w:rsidRPr="007D7A3E" w:rsidRDefault="005100A6" w:rsidP="005100A6">
            <w:pPr>
              <w:spacing w:after="0" w:line="264" w:lineRule="auto"/>
              <w:jc w:val="center"/>
              <w:rPr>
                <w:rFonts w:ascii="Times New Roman" w:hAnsi="Times New Roman" w:cs="Times New Roman"/>
                <w:bCs/>
                <w:sz w:val="20"/>
                <w:szCs w:val="20"/>
              </w:rPr>
            </w:pPr>
          </w:p>
        </w:tc>
      </w:tr>
      <w:tr w:rsidR="000E3272" w:rsidRPr="007D7A3E" w14:paraId="6785BBE6" w14:textId="77777777" w:rsidTr="005100A6">
        <w:trPr>
          <w:trHeight w:val="1529"/>
        </w:trPr>
        <w:tc>
          <w:tcPr>
            <w:tcW w:w="3111" w:type="dxa"/>
            <w:vMerge/>
          </w:tcPr>
          <w:p w14:paraId="18BBCEF0" w14:textId="77777777" w:rsidR="005100A6" w:rsidRPr="007D7A3E" w:rsidRDefault="005100A6" w:rsidP="00993749">
            <w:pPr>
              <w:numPr>
                <w:ilvl w:val="0"/>
                <w:numId w:val="2"/>
              </w:numPr>
              <w:tabs>
                <w:tab w:val="left" w:pos="0"/>
              </w:tabs>
              <w:spacing w:after="0" w:line="264" w:lineRule="auto"/>
              <w:ind w:left="357" w:hanging="357"/>
              <w:jc w:val="both"/>
              <w:rPr>
                <w:rFonts w:ascii="Times New Roman" w:hAnsi="Times New Roman" w:cs="Times New Roman"/>
                <w:b/>
                <w:bCs/>
                <w:sz w:val="20"/>
                <w:szCs w:val="20"/>
              </w:rPr>
            </w:pPr>
          </w:p>
        </w:tc>
        <w:tc>
          <w:tcPr>
            <w:tcW w:w="1843" w:type="dxa"/>
            <w:vMerge/>
            <w:vAlign w:val="center"/>
          </w:tcPr>
          <w:p w14:paraId="77FE9737" w14:textId="77777777" w:rsidR="005100A6" w:rsidRPr="007D7A3E" w:rsidRDefault="005100A6" w:rsidP="00174CA0">
            <w:pPr>
              <w:spacing w:after="0" w:line="264" w:lineRule="auto"/>
              <w:jc w:val="center"/>
              <w:rPr>
                <w:rFonts w:ascii="Times New Roman" w:hAnsi="Times New Roman" w:cs="Times New Roman"/>
                <w:bCs/>
                <w:sz w:val="20"/>
                <w:szCs w:val="20"/>
              </w:rPr>
            </w:pPr>
          </w:p>
        </w:tc>
        <w:tc>
          <w:tcPr>
            <w:tcW w:w="2318" w:type="dxa"/>
          </w:tcPr>
          <w:p w14:paraId="7CFC0480" w14:textId="77777777" w:rsidR="005100A6" w:rsidRPr="007D7A3E" w:rsidRDefault="005100A6" w:rsidP="00993749">
            <w:pPr>
              <w:numPr>
                <w:ilvl w:val="1"/>
                <w:numId w:val="2"/>
              </w:numPr>
              <w:tabs>
                <w:tab w:val="clear" w:pos="1440"/>
                <w:tab w:val="num" w:pos="290"/>
              </w:tabs>
              <w:spacing w:after="0" w:line="264" w:lineRule="auto"/>
              <w:ind w:left="290" w:hanging="290"/>
              <w:rPr>
                <w:rFonts w:ascii="Times New Roman" w:hAnsi="Times New Roman" w:cs="Times New Roman"/>
                <w:bCs/>
                <w:sz w:val="20"/>
                <w:szCs w:val="20"/>
              </w:rPr>
            </w:pPr>
            <w:r w:rsidRPr="007D7A3E">
              <w:rPr>
                <w:rFonts w:ascii="Times New Roman" w:hAnsi="Times New Roman" w:cs="Times New Roman"/>
                <w:bCs/>
                <w:sz w:val="20"/>
                <w:szCs w:val="20"/>
              </w:rPr>
              <w:t>wcześniejsze spłaty kredytów w okresie miesiąca na poziomie</w:t>
            </w:r>
            <w:r w:rsidRPr="007D7A3E">
              <w:rPr>
                <w:rFonts w:ascii="Times New Roman" w:hAnsi="Times New Roman" w:cs="Times New Roman"/>
                <w:bCs/>
                <w:sz w:val="20"/>
                <w:szCs w:val="20"/>
              </w:rPr>
              <w:br/>
              <w:t xml:space="preserve">max 2% stanu kredytów terminowych </w:t>
            </w:r>
          </w:p>
        </w:tc>
        <w:tc>
          <w:tcPr>
            <w:tcW w:w="1784" w:type="dxa"/>
          </w:tcPr>
          <w:p w14:paraId="6B459583" w14:textId="77777777" w:rsidR="005100A6" w:rsidRPr="007D7A3E" w:rsidRDefault="007D7A3E" w:rsidP="00F9182B">
            <w:pPr>
              <w:spacing w:after="0" w:line="264" w:lineRule="auto"/>
              <w:jc w:val="center"/>
              <w:rPr>
                <w:rFonts w:ascii="Times New Roman" w:hAnsi="Times New Roman" w:cs="Times New Roman"/>
                <w:bCs/>
                <w:sz w:val="20"/>
                <w:szCs w:val="20"/>
              </w:rPr>
            </w:pPr>
            <w:r w:rsidRPr="007D7A3E">
              <w:rPr>
                <w:rFonts w:ascii="Times New Roman" w:hAnsi="Times New Roman" w:cs="Times New Roman"/>
                <w:bCs/>
                <w:sz w:val="20"/>
                <w:szCs w:val="20"/>
              </w:rPr>
              <w:t>0,19</w:t>
            </w:r>
            <w:r w:rsidR="005100A6" w:rsidRPr="007D7A3E">
              <w:rPr>
                <w:rFonts w:ascii="Times New Roman" w:hAnsi="Times New Roman" w:cs="Times New Roman"/>
                <w:bCs/>
                <w:sz w:val="20"/>
                <w:szCs w:val="20"/>
              </w:rPr>
              <w:t>%</w:t>
            </w:r>
          </w:p>
        </w:tc>
      </w:tr>
    </w:tbl>
    <w:p w14:paraId="10864365" w14:textId="77777777" w:rsidR="005728C8" w:rsidRPr="007D7A3E" w:rsidRDefault="00EF3E3B" w:rsidP="00174CA0">
      <w:pPr>
        <w:spacing w:after="0" w:line="264" w:lineRule="auto"/>
        <w:rPr>
          <w:rFonts w:ascii="Times New Roman" w:hAnsi="Times New Roman" w:cs="Times New Roman"/>
        </w:rPr>
      </w:pPr>
      <w:r w:rsidRPr="007D7A3E">
        <w:rPr>
          <w:rStyle w:val="Odwoanieprzypisudolnego"/>
          <w:rFonts w:ascii="Times New Roman" w:hAnsi="Times New Roman" w:cs="Times New Roman"/>
        </w:rPr>
        <w:footnoteRef/>
      </w:r>
      <w:r w:rsidRPr="007D7A3E">
        <w:rPr>
          <w:rFonts w:ascii="Times New Roman" w:hAnsi="Times New Roman" w:cs="Times New Roman"/>
        </w:rPr>
        <w:t xml:space="preserve"> </w:t>
      </w:r>
      <w:r w:rsidRPr="007D7A3E">
        <w:rPr>
          <w:rFonts w:ascii="Times New Roman" w:hAnsi="Times New Roman" w:cs="Times New Roman"/>
          <w:sz w:val="18"/>
          <w:szCs w:val="18"/>
        </w:rPr>
        <w:t xml:space="preserve">Legenda do zastosowanej w tabeli skali: stopień 0 – brak ryzyka, stopień 1  - niski poziom ryzyka, stopień 2 – umiarkowany poziom ryzyka, 3 – podwyższony poziom ryzyka, stopień 4 - wysoki poziom ryzyka, stopień 5 – bardzo wysoki poziom ryzyka. </w:t>
      </w:r>
      <w:r w:rsidRPr="007D7A3E">
        <w:rPr>
          <w:rFonts w:ascii="Times New Roman" w:hAnsi="Times New Roman" w:cs="Times New Roman"/>
        </w:rPr>
        <w:t xml:space="preserve">     </w:t>
      </w:r>
    </w:p>
    <w:p w14:paraId="09D42F32" w14:textId="77777777" w:rsidR="00F9182B" w:rsidRPr="007D7A3E" w:rsidRDefault="00F9182B" w:rsidP="00174CA0">
      <w:pPr>
        <w:spacing w:after="0" w:line="264" w:lineRule="auto"/>
        <w:rPr>
          <w:rFonts w:ascii="Times New Roman" w:hAnsi="Times New Roman" w:cs="Times New Roman"/>
          <w:sz w:val="24"/>
          <w:szCs w:val="24"/>
        </w:rPr>
      </w:pPr>
    </w:p>
    <w:p w14:paraId="2C2338CD" w14:textId="77777777" w:rsidR="00EF3E3B" w:rsidRPr="007D7A3E" w:rsidRDefault="00EF3E3B" w:rsidP="005D038C">
      <w:pPr>
        <w:spacing w:after="0" w:line="264" w:lineRule="auto"/>
        <w:rPr>
          <w:rFonts w:ascii="Times New Roman" w:hAnsi="Times New Roman" w:cs="Times New Roman"/>
          <w:sz w:val="24"/>
          <w:szCs w:val="24"/>
        </w:rPr>
      </w:pPr>
      <w:r w:rsidRPr="007D7A3E">
        <w:rPr>
          <w:rFonts w:ascii="Times New Roman" w:hAnsi="Times New Roman" w:cs="Times New Roman"/>
          <w:sz w:val="24"/>
          <w:szCs w:val="24"/>
        </w:rPr>
        <w:t>Jak obrazuje powyższa tabela</w:t>
      </w:r>
      <w:r w:rsidR="005D038C" w:rsidRPr="007D7A3E">
        <w:rPr>
          <w:rFonts w:ascii="Times New Roman" w:hAnsi="Times New Roman" w:cs="Times New Roman"/>
          <w:sz w:val="24"/>
          <w:szCs w:val="24"/>
        </w:rPr>
        <w:t>,</w:t>
      </w:r>
      <w:r w:rsidRPr="007D7A3E">
        <w:rPr>
          <w:rFonts w:ascii="Times New Roman" w:hAnsi="Times New Roman" w:cs="Times New Roman"/>
          <w:sz w:val="24"/>
          <w:szCs w:val="24"/>
        </w:rPr>
        <w:t xml:space="preserve"> cele strategiczne zostały osiągnięte. </w:t>
      </w:r>
    </w:p>
    <w:p w14:paraId="5E46EDAF" w14:textId="77777777" w:rsidR="006C34F1" w:rsidRPr="007D7A3E" w:rsidRDefault="007A6C79" w:rsidP="005D038C">
      <w:pPr>
        <w:spacing w:after="0" w:line="264" w:lineRule="auto"/>
        <w:jc w:val="both"/>
        <w:rPr>
          <w:rFonts w:ascii="Times New Roman" w:hAnsi="Times New Roman" w:cs="Times New Roman"/>
          <w:sz w:val="24"/>
          <w:szCs w:val="24"/>
        </w:rPr>
      </w:pPr>
      <w:r w:rsidRPr="007D7A3E">
        <w:rPr>
          <w:rFonts w:ascii="Times New Roman" w:hAnsi="Times New Roman" w:cs="Times New Roman"/>
          <w:sz w:val="24"/>
          <w:szCs w:val="24"/>
        </w:rPr>
        <w:t xml:space="preserve">Informacje dotyczące ryzyka stopy procentowej podano również w części 15. </w:t>
      </w:r>
      <w:r w:rsidR="006C34F1" w:rsidRPr="007D7A3E">
        <w:rPr>
          <w:rFonts w:ascii="Times New Roman" w:hAnsi="Times New Roman" w:cs="Times New Roman"/>
          <w:i/>
          <w:sz w:val="24"/>
          <w:szCs w:val="24"/>
        </w:rPr>
        <w:t>Ekspozycja na ryzyko stopy procentowej przypisane pozycjom nieuwzględnionym w portfelu handlowym</w:t>
      </w:r>
      <w:r w:rsidR="006C34F1" w:rsidRPr="007D7A3E">
        <w:rPr>
          <w:rFonts w:ascii="Times New Roman" w:hAnsi="Times New Roman" w:cs="Times New Roman"/>
          <w:sz w:val="24"/>
          <w:szCs w:val="24"/>
        </w:rPr>
        <w:t xml:space="preserve"> </w:t>
      </w:r>
      <w:r w:rsidRPr="007D7A3E">
        <w:rPr>
          <w:rFonts w:ascii="Times New Roman" w:hAnsi="Times New Roman" w:cs="Times New Roman"/>
          <w:sz w:val="24"/>
          <w:szCs w:val="24"/>
        </w:rPr>
        <w:t>z</w:t>
      </w:r>
      <w:r w:rsidR="006C34F1" w:rsidRPr="007D7A3E">
        <w:rPr>
          <w:rFonts w:ascii="Times New Roman" w:hAnsi="Times New Roman" w:cs="Times New Roman"/>
          <w:sz w:val="24"/>
          <w:szCs w:val="24"/>
        </w:rPr>
        <w:t xml:space="preserve">awartej w Ujawnieniu. </w:t>
      </w:r>
    </w:p>
    <w:p w14:paraId="62192AEA" w14:textId="77777777" w:rsidR="007A6C79" w:rsidRPr="007D7A3E" w:rsidRDefault="007A6C79" w:rsidP="00174CA0">
      <w:pPr>
        <w:spacing w:after="0" w:line="264" w:lineRule="auto"/>
        <w:jc w:val="both"/>
        <w:rPr>
          <w:rFonts w:ascii="Times New Roman" w:hAnsi="Times New Roman" w:cs="Times New Roman"/>
          <w:i/>
          <w:sz w:val="24"/>
          <w:szCs w:val="24"/>
        </w:rPr>
      </w:pPr>
    </w:p>
    <w:p w14:paraId="7A9032C3" w14:textId="77777777" w:rsidR="006C34F1" w:rsidRPr="007D7A3E" w:rsidRDefault="006C34F1" w:rsidP="00993749">
      <w:pPr>
        <w:pStyle w:val="Nagwek1"/>
        <w:numPr>
          <w:ilvl w:val="0"/>
          <w:numId w:val="22"/>
        </w:numPr>
        <w:rPr>
          <w:rFonts w:ascii="Times New Roman" w:hAnsi="Times New Roman" w:cs="Times New Roman"/>
          <w:b/>
          <w:color w:val="auto"/>
          <w:sz w:val="24"/>
          <w:szCs w:val="24"/>
        </w:rPr>
      </w:pPr>
      <w:bookmarkStart w:id="24" w:name="_Toc44930269"/>
      <w:r w:rsidRPr="007D7A3E">
        <w:rPr>
          <w:rFonts w:ascii="Times New Roman" w:hAnsi="Times New Roman" w:cs="Times New Roman"/>
          <w:b/>
          <w:color w:val="auto"/>
          <w:sz w:val="24"/>
          <w:szCs w:val="24"/>
        </w:rPr>
        <w:t>RYZYKO WALUTOWE</w:t>
      </w:r>
      <w:bookmarkEnd w:id="24"/>
      <w:r w:rsidRPr="007D7A3E">
        <w:rPr>
          <w:rFonts w:ascii="Times New Roman" w:hAnsi="Times New Roman" w:cs="Times New Roman"/>
          <w:b/>
          <w:color w:val="auto"/>
          <w:sz w:val="24"/>
          <w:szCs w:val="24"/>
        </w:rPr>
        <w:t xml:space="preserve"> </w:t>
      </w:r>
    </w:p>
    <w:p w14:paraId="08F8684A" w14:textId="77777777" w:rsidR="00F9182B" w:rsidRPr="007D7A3E" w:rsidRDefault="00F9182B" w:rsidP="00174CA0">
      <w:pPr>
        <w:spacing w:after="0" w:line="264" w:lineRule="auto"/>
        <w:rPr>
          <w:rFonts w:ascii="Times New Roman" w:hAnsi="Times New Roman" w:cs="Times New Roman"/>
          <w:b/>
          <w:sz w:val="24"/>
          <w:szCs w:val="24"/>
        </w:rPr>
      </w:pPr>
    </w:p>
    <w:p w14:paraId="3CC5A5B1" w14:textId="77777777" w:rsidR="006C34F1" w:rsidRPr="007D7A3E" w:rsidRDefault="006C34F1" w:rsidP="00174CA0">
      <w:pPr>
        <w:spacing w:after="0" w:line="264" w:lineRule="auto"/>
        <w:ind w:firstLine="708"/>
        <w:jc w:val="both"/>
        <w:rPr>
          <w:rFonts w:ascii="Times New Roman" w:hAnsi="Times New Roman" w:cs="Times New Roman"/>
          <w:sz w:val="24"/>
          <w:szCs w:val="24"/>
        </w:rPr>
      </w:pPr>
      <w:r w:rsidRPr="007D7A3E">
        <w:rPr>
          <w:rFonts w:ascii="Times New Roman" w:hAnsi="Times New Roman" w:cs="Times New Roman"/>
          <w:sz w:val="24"/>
          <w:szCs w:val="24"/>
        </w:rPr>
        <w:t xml:space="preserve">Zarządzanie ryzykiem walutowym prowadzone jest w oparciu o Strategię zarządzania </w:t>
      </w:r>
      <w:r w:rsidR="00D0578D" w:rsidRPr="007D7A3E">
        <w:rPr>
          <w:rFonts w:ascii="Times New Roman" w:hAnsi="Times New Roman" w:cs="Times New Roman"/>
          <w:sz w:val="24"/>
          <w:szCs w:val="24"/>
        </w:rPr>
        <w:t xml:space="preserve">ryzykiem, </w:t>
      </w:r>
      <w:r w:rsidRPr="007D7A3E">
        <w:rPr>
          <w:rFonts w:ascii="Times New Roman" w:hAnsi="Times New Roman" w:cs="Times New Roman"/>
          <w:sz w:val="24"/>
          <w:szCs w:val="24"/>
        </w:rPr>
        <w:t xml:space="preserve">Politykę zarządzania ryzykiem </w:t>
      </w:r>
      <w:r w:rsidR="00D0578D" w:rsidRPr="007D7A3E">
        <w:rPr>
          <w:rFonts w:ascii="Times New Roman" w:hAnsi="Times New Roman" w:cs="Times New Roman"/>
          <w:sz w:val="24"/>
          <w:szCs w:val="24"/>
        </w:rPr>
        <w:t xml:space="preserve">rynkowym </w:t>
      </w:r>
      <w:r w:rsidRPr="007D7A3E">
        <w:rPr>
          <w:rFonts w:ascii="Times New Roman" w:hAnsi="Times New Roman" w:cs="Times New Roman"/>
          <w:sz w:val="24"/>
          <w:szCs w:val="24"/>
        </w:rPr>
        <w:t xml:space="preserve">oraz procedury szczegółowe. Bank posiada system limitów dla całkowitej i indywidualnych pozycji walutowych oraz przeprowadza testy warunków skrajnych. </w:t>
      </w:r>
    </w:p>
    <w:p w14:paraId="057243BB" w14:textId="77777777" w:rsidR="00B528D2" w:rsidRPr="007D7A3E" w:rsidRDefault="00B528D2" w:rsidP="00174CA0">
      <w:pPr>
        <w:pStyle w:val="Tekstpodstawowywcity2"/>
        <w:spacing w:after="0" w:line="264" w:lineRule="auto"/>
        <w:ind w:left="0" w:firstLine="708"/>
        <w:jc w:val="both"/>
        <w:rPr>
          <w:rFonts w:ascii="Times New Roman" w:hAnsi="Times New Roman" w:cs="Times New Roman"/>
          <w:sz w:val="24"/>
          <w:szCs w:val="24"/>
        </w:rPr>
      </w:pPr>
      <w:r w:rsidRPr="007D7A3E">
        <w:rPr>
          <w:rFonts w:ascii="Times New Roman" w:hAnsi="Times New Roman" w:cs="Times New Roman"/>
          <w:sz w:val="24"/>
          <w:szCs w:val="24"/>
        </w:rPr>
        <w:t xml:space="preserve">Ryzyko walutowe rozumiane jest jako ryzyko poniesienia straty z tytułu zmian kursów walutowych, generowane przez utrzymywanie otwartych pozycji walutowych </w:t>
      </w:r>
      <w:r w:rsidR="005D038C" w:rsidRPr="007D7A3E">
        <w:rPr>
          <w:rFonts w:ascii="Times New Roman" w:hAnsi="Times New Roman" w:cs="Times New Roman"/>
          <w:sz w:val="24"/>
          <w:szCs w:val="24"/>
        </w:rPr>
        <w:t xml:space="preserve">                                   </w:t>
      </w:r>
      <w:r w:rsidRPr="007D7A3E">
        <w:rPr>
          <w:rFonts w:ascii="Times New Roman" w:hAnsi="Times New Roman" w:cs="Times New Roman"/>
          <w:sz w:val="24"/>
          <w:szCs w:val="24"/>
        </w:rPr>
        <w:t>w poszczególnych walutach. Globalny poziom narażenia na ryzyko walutowe ogranicza limit całkowitej pozycji walutowej na koniec dnia, którego maksymalną wysokość ustala się na 2% funduszy własnych Banku, tj. na poziomie niepowodującym konieczności tworzenia wymogu kapitałowego z tytułu ryzyka walutowego.</w:t>
      </w:r>
    </w:p>
    <w:p w14:paraId="0B9D1AE7" w14:textId="77777777" w:rsidR="006C34F1" w:rsidRPr="000E3272" w:rsidRDefault="006C34F1" w:rsidP="00174CA0">
      <w:pPr>
        <w:spacing w:after="0" w:line="264" w:lineRule="auto"/>
        <w:rPr>
          <w:rFonts w:ascii="Times New Roman" w:hAnsi="Times New Roman" w:cs="Times New Roman"/>
          <w:color w:val="FF0000"/>
          <w:sz w:val="24"/>
          <w:szCs w:val="24"/>
        </w:rPr>
      </w:pPr>
    </w:p>
    <w:p w14:paraId="251DCBB6" w14:textId="77777777" w:rsidR="00471675" w:rsidRPr="000E3272" w:rsidRDefault="00471675" w:rsidP="00174CA0">
      <w:pPr>
        <w:spacing w:after="0" w:line="264" w:lineRule="auto"/>
        <w:rPr>
          <w:rFonts w:ascii="Times New Roman" w:hAnsi="Times New Roman" w:cs="Times New Roman"/>
          <w:color w:val="FF0000"/>
          <w:sz w:val="24"/>
          <w:szCs w:val="24"/>
        </w:rPr>
      </w:pPr>
    </w:p>
    <w:p w14:paraId="031CDD03" w14:textId="77777777" w:rsidR="006C34F1" w:rsidRPr="007D7A3E" w:rsidRDefault="008D144F" w:rsidP="00993749">
      <w:pPr>
        <w:pStyle w:val="Nagwek1"/>
        <w:numPr>
          <w:ilvl w:val="1"/>
          <w:numId w:val="22"/>
        </w:numPr>
        <w:rPr>
          <w:rFonts w:ascii="Times New Roman" w:hAnsi="Times New Roman" w:cs="Times New Roman"/>
          <w:b/>
          <w:color w:val="auto"/>
          <w:sz w:val="24"/>
          <w:szCs w:val="24"/>
        </w:rPr>
      </w:pPr>
      <w:r w:rsidRPr="007D7A3E">
        <w:rPr>
          <w:rFonts w:ascii="Times New Roman" w:hAnsi="Times New Roman" w:cs="Times New Roman"/>
          <w:b/>
          <w:color w:val="auto"/>
          <w:sz w:val="24"/>
          <w:szCs w:val="24"/>
        </w:rPr>
        <w:t xml:space="preserve"> </w:t>
      </w:r>
      <w:bookmarkStart w:id="25" w:name="_Toc44930270"/>
      <w:r w:rsidR="006C34F1" w:rsidRPr="007D7A3E">
        <w:rPr>
          <w:rFonts w:ascii="Times New Roman" w:hAnsi="Times New Roman" w:cs="Times New Roman"/>
          <w:b/>
          <w:color w:val="auto"/>
          <w:sz w:val="24"/>
          <w:szCs w:val="24"/>
        </w:rPr>
        <w:t>REALIZACJA CELÓW STRATEGICZNYCH</w:t>
      </w:r>
      <w:bookmarkEnd w:id="25"/>
      <w:r w:rsidR="006C34F1" w:rsidRPr="007D7A3E">
        <w:rPr>
          <w:rFonts w:ascii="Times New Roman" w:hAnsi="Times New Roman" w:cs="Times New Roman"/>
          <w:b/>
          <w:color w:val="auto"/>
          <w:sz w:val="24"/>
          <w:szCs w:val="24"/>
        </w:rPr>
        <w:t xml:space="preserve"> </w:t>
      </w:r>
    </w:p>
    <w:p w14:paraId="0557720B" w14:textId="77777777" w:rsidR="00F9182B" w:rsidRPr="007D7A3E" w:rsidRDefault="00F9182B" w:rsidP="00174CA0">
      <w:pPr>
        <w:spacing w:after="0" w:line="264" w:lineRule="auto"/>
        <w:rPr>
          <w:rFonts w:ascii="Times New Roman" w:hAnsi="Times New Roman" w:cs="Times New Roman"/>
          <w:b/>
          <w:sz w:val="24"/>
          <w:szCs w:val="24"/>
        </w:rPr>
      </w:pPr>
    </w:p>
    <w:p w14:paraId="06BEBB16" w14:textId="77777777" w:rsidR="000F4D5F" w:rsidRPr="007D7A3E" w:rsidRDefault="006C34F1" w:rsidP="00F9182B">
      <w:pPr>
        <w:spacing w:after="0" w:line="264" w:lineRule="auto"/>
        <w:ind w:firstLine="708"/>
        <w:jc w:val="both"/>
        <w:rPr>
          <w:rFonts w:ascii="Times New Roman" w:hAnsi="Times New Roman" w:cs="Times New Roman"/>
          <w:sz w:val="24"/>
          <w:szCs w:val="24"/>
        </w:rPr>
      </w:pPr>
      <w:r w:rsidRPr="007D7A3E">
        <w:rPr>
          <w:rFonts w:ascii="Times New Roman" w:hAnsi="Times New Roman" w:cs="Times New Roman"/>
          <w:sz w:val="24"/>
          <w:szCs w:val="24"/>
        </w:rPr>
        <w:t xml:space="preserve">Celem strategicznym w zakresie zarządzania ryzykiem walutowym jest utrzymanie tolerancji na ryzyko zgodnej z założonym apetytem na ryzyko wyrażonym poprzez kluczowe wskaźniki apetytu na ryzyko. </w:t>
      </w:r>
      <w:r w:rsidR="000F4D5F" w:rsidRPr="007D7A3E">
        <w:rPr>
          <w:rFonts w:ascii="Times New Roman" w:hAnsi="Times New Roman" w:cs="Times New Roman"/>
          <w:sz w:val="24"/>
          <w:szCs w:val="24"/>
        </w:rPr>
        <w:t>Podstawowym celem Banku jest utrzymywanie pozycji walutowej całkowitej w wysokości nie przekraczającej 2% funduszy własnych, która nie wiąże się z koniecznością utrzymywania regulacyjnego wymogu kapitałowego na ryzyko walutowe.</w:t>
      </w:r>
    </w:p>
    <w:p w14:paraId="5E1BF01B" w14:textId="77777777" w:rsidR="006C34F1" w:rsidRPr="007D7A3E" w:rsidRDefault="00F35186" w:rsidP="00D32AEC">
      <w:pPr>
        <w:spacing w:after="0" w:line="264" w:lineRule="auto"/>
        <w:ind w:firstLine="708"/>
        <w:jc w:val="both"/>
        <w:rPr>
          <w:rFonts w:ascii="Times New Roman" w:hAnsi="Times New Roman" w:cs="Times New Roman"/>
          <w:sz w:val="24"/>
          <w:szCs w:val="24"/>
        </w:rPr>
      </w:pPr>
      <w:r w:rsidRPr="007D7A3E">
        <w:rPr>
          <w:rFonts w:ascii="Times New Roman" w:hAnsi="Times New Roman" w:cs="Times New Roman"/>
          <w:sz w:val="24"/>
          <w:szCs w:val="24"/>
        </w:rPr>
        <w:t xml:space="preserve">Na koniec </w:t>
      </w:r>
      <w:r w:rsidR="00F440CB" w:rsidRPr="007D7A3E">
        <w:rPr>
          <w:rFonts w:ascii="Times New Roman" w:hAnsi="Times New Roman" w:cs="Times New Roman"/>
          <w:sz w:val="24"/>
          <w:szCs w:val="24"/>
        </w:rPr>
        <w:t>20</w:t>
      </w:r>
      <w:r w:rsidR="007D7A3E" w:rsidRPr="007D7A3E">
        <w:rPr>
          <w:rFonts w:ascii="Times New Roman" w:hAnsi="Times New Roman" w:cs="Times New Roman"/>
          <w:sz w:val="24"/>
          <w:szCs w:val="24"/>
        </w:rPr>
        <w:t>20</w:t>
      </w:r>
      <w:r w:rsidR="006C34F1" w:rsidRPr="007D7A3E">
        <w:rPr>
          <w:rFonts w:ascii="Times New Roman" w:hAnsi="Times New Roman" w:cs="Times New Roman"/>
          <w:sz w:val="24"/>
          <w:szCs w:val="24"/>
        </w:rPr>
        <w:t xml:space="preserve"> roku cele strategiczne zostały osiągnięt</w:t>
      </w:r>
      <w:r w:rsidR="005D038C" w:rsidRPr="007D7A3E">
        <w:rPr>
          <w:rFonts w:ascii="Times New Roman" w:hAnsi="Times New Roman" w:cs="Times New Roman"/>
          <w:sz w:val="24"/>
          <w:szCs w:val="24"/>
        </w:rPr>
        <w:t>e, co obrazuje poniższa tabela.</w:t>
      </w:r>
    </w:p>
    <w:p w14:paraId="70D7246F" w14:textId="77777777" w:rsidR="00384805" w:rsidRPr="000E3272" w:rsidRDefault="00384805" w:rsidP="00D32AEC">
      <w:pPr>
        <w:spacing w:after="0" w:line="264" w:lineRule="auto"/>
        <w:ind w:firstLine="708"/>
        <w:jc w:val="both"/>
        <w:rPr>
          <w:rFonts w:ascii="Times New Roman" w:hAnsi="Times New Roman" w:cs="Times New Roman"/>
          <w:color w:val="FF0000"/>
          <w:sz w:val="24"/>
          <w:szCs w:val="24"/>
        </w:rPr>
      </w:pPr>
    </w:p>
    <w:p w14:paraId="089DAD77" w14:textId="77777777" w:rsidR="000F4D5F" w:rsidRPr="007D7A3E" w:rsidRDefault="000F4D5F" w:rsidP="00174CA0">
      <w:pPr>
        <w:spacing w:after="0" w:line="264" w:lineRule="auto"/>
        <w:jc w:val="both"/>
        <w:rPr>
          <w:rFonts w:ascii="Times New Roman" w:hAnsi="Times New Roman" w:cs="Times New Roman"/>
          <w:i/>
          <w:sz w:val="24"/>
          <w:szCs w:val="24"/>
        </w:rPr>
      </w:pPr>
      <w:r w:rsidRPr="007D7A3E">
        <w:rPr>
          <w:rFonts w:ascii="Times New Roman" w:hAnsi="Times New Roman" w:cs="Times New Roman"/>
          <w:i/>
          <w:sz w:val="24"/>
          <w:szCs w:val="24"/>
        </w:rPr>
        <w:t>Tabela- cele strategiczne w zakres</w:t>
      </w:r>
      <w:r w:rsidR="00F35186" w:rsidRPr="007D7A3E">
        <w:rPr>
          <w:rFonts w:ascii="Times New Roman" w:hAnsi="Times New Roman" w:cs="Times New Roman"/>
          <w:i/>
          <w:sz w:val="24"/>
          <w:szCs w:val="24"/>
        </w:rPr>
        <w:t>ie ryzyka walutowego -31.12.</w:t>
      </w:r>
      <w:r w:rsidR="00F440CB" w:rsidRPr="007D7A3E">
        <w:rPr>
          <w:rFonts w:ascii="Times New Roman" w:hAnsi="Times New Roman" w:cs="Times New Roman"/>
          <w:i/>
          <w:sz w:val="24"/>
          <w:szCs w:val="24"/>
        </w:rPr>
        <w:t>20</w:t>
      </w:r>
      <w:r w:rsidR="007D7A3E" w:rsidRPr="007D7A3E">
        <w:rPr>
          <w:rFonts w:ascii="Times New Roman" w:hAnsi="Times New Roman" w:cs="Times New Roman"/>
          <w:i/>
          <w:sz w:val="24"/>
          <w:szCs w:val="24"/>
        </w:rPr>
        <w:t>20</w:t>
      </w:r>
      <w:r w:rsidR="004B6E96" w:rsidRPr="007D7A3E">
        <w:rPr>
          <w:rFonts w:ascii="Times New Roman" w:hAnsi="Times New Roman" w:cs="Times New Roman"/>
          <w:i/>
          <w:sz w:val="24"/>
          <w:szCs w:val="24"/>
        </w:rPr>
        <w:t xml:space="preserve"> r.</w:t>
      </w:r>
    </w:p>
    <w:tbl>
      <w:tblPr>
        <w:tblStyle w:val="Tabela-Siatka"/>
        <w:tblW w:w="0" w:type="auto"/>
        <w:tblLook w:val="04A0" w:firstRow="1" w:lastRow="0" w:firstColumn="1" w:lastColumn="0" w:noHBand="0" w:noVBand="1"/>
      </w:tblPr>
      <w:tblGrid>
        <w:gridCol w:w="564"/>
        <w:gridCol w:w="2407"/>
        <w:gridCol w:w="2464"/>
        <w:gridCol w:w="1931"/>
        <w:gridCol w:w="1695"/>
      </w:tblGrid>
      <w:tr w:rsidR="000E3272" w:rsidRPr="007D7A3E" w14:paraId="73A83E8D" w14:textId="77777777" w:rsidTr="004B6E96">
        <w:tc>
          <w:tcPr>
            <w:tcW w:w="564" w:type="dxa"/>
          </w:tcPr>
          <w:p w14:paraId="24145A84" w14:textId="77777777" w:rsidR="000F4D5F" w:rsidRPr="007D7A3E" w:rsidRDefault="000F4D5F" w:rsidP="00174CA0">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L.p.</w:t>
            </w:r>
          </w:p>
        </w:tc>
        <w:tc>
          <w:tcPr>
            <w:tcW w:w="2407" w:type="dxa"/>
          </w:tcPr>
          <w:p w14:paraId="3BE13AD7" w14:textId="77777777" w:rsidR="000F4D5F" w:rsidRPr="007D7A3E" w:rsidRDefault="000F4D5F" w:rsidP="00174CA0">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Nazwa wskaźnika</w:t>
            </w:r>
          </w:p>
        </w:tc>
        <w:tc>
          <w:tcPr>
            <w:tcW w:w="2464" w:type="dxa"/>
          </w:tcPr>
          <w:p w14:paraId="4A9B2F7C" w14:textId="77777777" w:rsidR="000F4D5F" w:rsidRPr="007D7A3E" w:rsidRDefault="000F4D5F" w:rsidP="00174CA0">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Wartość</w:t>
            </w:r>
          </w:p>
        </w:tc>
        <w:tc>
          <w:tcPr>
            <w:tcW w:w="1931" w:type="dxa"/>
          </w:tcPr>
          <w:p w14:paraId="3E7978AC" w14:textId="77777777" w:rsidR="000F4D5F" w:rsidRPr="007D7A3E" w:rsidRDefault="00F35186" w:rsidP="007D7A3E">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Stan na 31.12.</w:t>
            </w:r>
            <w:r w:rsidR="00F440CB" w:rsidRPr="007D7A3E">
              <w:rPr>
                <w:rFonts w:ascii="Times New Roman" w:hAnsi="Times New Roman" w:cs="Times New Roman"/>
                <w:sz w:val="20"/>
                <w:szCs w:val="20"/>
              </w:rPr>
              <w:t>20</w:t>
            </w:r>
            <w:r w:rsidR="007D7A3E" w:rsidRPr="007D7A3E">
              <w:rPr>
                <w:rFonts w:ascii="Times New Roman" w:hAnsi="Times New Roman" w:cs="Times New Roman"/>
                <w:sz w:val="20"/>
                <w:szCs w:val="20"/>
              </w:rPr>
              <w:t>20</w:t>
            </w:r>
            <w:r w:rsidR="004B6E96" w:rsidRPr="007D7A3E">
              <w:rPr>
                <w:rFonts w:ascii="Times New Roman" w:hAnsi="Times New Roman" w:cs="Times New Roman"/>
                <w:sz w:val="20"/>
                <w:szCs w:val="20"/>
              </w:rPr>
              <w:t xml:space="preserve"> r.</w:t>
            </w:r>
            <w:r w:rsidR="000F4D5F" w:rsidRPr="007D7A3E">
              <w:rPr>
                <w:rFonts w:ascii="Times New Roman" w:hAnsi="Times New Roman" w:cs="Times New Roman"/>
                <w:sz w:val="20"/>
                <w:szCs w:val="20"/>
              </w:rPr>
              <w:t xml:space="preserve"> </w:t>
            </w:r>
          </w:p>
        </w:tc>
        <w:tc>
          <w:tcPr>
            <w:tcW w:w="1695" w:type="dxa"/>
          </w:tcPr>
          <w:p w14:paraId="5517230B" w14:textId="77777777" w:rsidR="000F4D5F" w:rsidRPr="007D7A3E" w:rsidRDefault="000F4D5F" w:rsidP="00174CA0">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 xml:space="preserve">Osiągniecie celu strategicznego </w:t>
            </w:r>
          </w:p>
        </w:tc>
      </w:tr>
      <w:tr w:rsidR="000F4D5F" w:rsidRPr="007D7A3E" w14:paraId="34F66A6C" w14:textId="77777777" w:rsidTr="004B6E96">
        <w:tc>
          <w:tcPr>
            <w:tcW w:w="564" w:type="dxa"/>
          </w:tcPr>
          <w:p w14:paraId="18749419" w14:textId="77777777" w:rsidR="000F4D5F" w:rsidRPr="007D7A3E" w:rsidRDefault="000F4D5F" w:rsidP="00174CA0">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1</w:t>
            </w:r>
          </w:p>
        </w:tc>
        <w:tc>
          <w:tcPr>
            <w:tcW w:w="2407" w:type="dxa"/>
          </w:tcPr>
          <w:p w14:paraId="4B6233B6" w14:textId="77777777" w:rsidR="000F4D5F" w:rsidRPr="007D7A3E" w:rsidRDefault="000F4D5F" w:rsidP="00174CA0">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limit całkowitej pozycji walutowej na koniec dnia</w:t>
            </w:r>
          </w:p>
        </w:tc>
        <w:tc>
          <w:tcPr>
            <w:tcW w:w="2464" w:type="dxa"/>
          </w:tcPr>
          <w:p w14:paraId="1166A28A" w14:textId="77777777" w:rsidR="000F4D5F" w:rsidRPr="007D7A3E" w:rsidRDefault="000F4D5F" w:rsidP="00174CA0">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2% funduszy własnych Banku</w:t>
            </w:r>
          </w:p>
        </w:tc>
        <w:tc>
          <w:tcPr>
            <w:tcW w:w="1931" w:type="dxa"/>
          </w:tcPr>
          <w:p w14:paraId="29763E4F" w14:textId="77777777" w:rsidR="000F4D5F" w:rsidRPr="007D7A3E" w:rsidRDefault="00D32AEC" w:rsidP="00D32AEC">
            <w:pPr>
              <w:spacing w:line="264" w:lineRule="auto"/>
              <w:jc w:val="center"/>
              <w:rPr>
                <w:rFonts w:ascii="Times New Roman" w:hAnsi="Times New Roman" w:cs="Times New Roman"/>
                <w:sz w:val="20"/>
                <w:szCs w:val="20"/>
              </w:rPr>
            </w:pPr>
            <w:r w:rsidRPr="007D7A3E">
              <w:rPr>
                <w:rFonts w:ascii="Times New Roman" w:hAnsi="Times New Roman" w:cs="Times New Roman"/>
                <w:sz w:val="20"/>
                <w:szCs w:val="20"/>
              </w:rPr>
              <w:t>0,0</w:t>
            </w:r>
            <w:r w:rsidR="007D7A3E" w:rsidRPr="007D7A3E">
              <w:rPr>
                <w:rFonts w:ascii="Times New Roman" w:hAnsi="Times New Roman" w:cs="Times New Roman"/>
                <w:sz w:val="20"/>
                <w:szCs w:val="20"/>
              </w:rPr>
              <w:t>5</w:t>
            </w:r>
            <w:r w:rsidRPr="007D7A3E">
              <w:rPr>
                <w:rFonts w:ascii="Times New Roman" w:hAnsi="Times New Roman" w:cs="Times New Roman"/>
                <w:sz w:val="20"/>
                <w:szCs w:val="20"/>
              </w:rPr>
              <w:t>%</w:t>
            </w:r>
          </w:p>
        </w:tc>
        <w:tc>
          <w:tcPr>
            <w:tcW w:w="1695" w:type="dxa"/>
          </w:tcPr>
          <w:p w14:paraId="38411CB0" w14:textId="77777777" w:rsidR="000F4D5F" w:rsidRPr="007D7A3E" w:rsidRDefault="00D32AEC" w:rsidP="00174CA0">
            <w:pPr>
              <w:spacing w:line="264" w:lineRule="auto"/>
              <w:jc w:val="both"/>
              <w:rPr>
                <w:rFonts w:ascii="Times New Roman" w:hAnsi="Times New Roman" w:cs="Times New Roman"/>
                <w:sz w:val="20"/>
                <w:szCs w:val="20"/>
              </w:rPr>
            </w:pPr>
            <w:r w:rsidRPr="007D7A3E">
              <w:rPr>
                <w:rFonts w:ascii="Times New Roman" w:hAnsi="Times New Roman" w:cs="Times New Roman"/>
                <w:sz w:val="20"/>
                <w:szCs w:val="20"/>
              </w:rPr>
              <w:t>c</w:t>
            </w:r>
            <w:r w:rsidR="000F4D5F" w:rsidRPr="007D7A3E">
              <w:rPr>
                <w:rFonts w:ascii="Times New Roman" w:hAnsi="Times New Roman" w:cs="Times New Roman"/>
                <w:sz w:val="20"/>
                <w:szCs w:val="20"/>
              </w:rPr>
              <w:t xml:space="preserve">el osiągnięty </w:t>
            </w:r>
          </w:p>
        </w:tc>
      </w:tr>
    </w:tbl>
    <w:p w14:paraId="6C5D8CF2" w14:textId="77777777" w:rsidR="000F4D5F" w:rsidRPr="007D7A3E" w:rsidRDefault="000F4D5F" w:rsidP="00174CA0">
      <w:pPr>
        <w:spacing w:after="0" w:line="264" w:lineRule="auto"/>
        <w:jc w:val="both"/>
        <w:rPr>
          <w:rFonts w:ascii="Times New Roman" w:hAnsi="Times New Roman" w:cs="Times New Roman"/>
          <w:sz w:val="24"/>
          <w:szCs w:val="24"/>
        </w:rPr>
      </w:pPr>
    </w:p>
    <w:p w14:paraId="5BF50657" w14:textId="77777777" w:rsidR="000F4D5F" w:rsidRPr="007D7A3E" w:rsidRDefault="000F4D5F" w:rsidP="00D32AEC">
      <w:pPr>
        <w:spacing w:after="0" w:line="264" w:lineRule="auto"/>
        <w:ind w:firstLine="708"/>
        <w:jc w:val="both"/>
        <w:rPr>
          <w:rFonts w:ascii="Times New Roman" w:hAnsi="Times New Roman" w:cs="Times New Roman"/>
          <w:sz w:val="24"/>
          <w:szCs w:val="24"/>
        </w:rPr>
      </w:pPr>
      <w:r w:rsidRPr="007D7A3E">
        <w:rPr>
          <w:rFonts w:ascii="Times New Roman" w:hAnsi="Times New Roman" w:cs="Times New Roman"/>
          <w:sz w:val="24"/>
          <w:szCs w:val="24"/>
        </w:rPr>
        <w:t xml:space="preserve">Pozostałe cele strategiczne w zakresie zarządzania ryzykiem walutowym to dążenie </w:t>
      </w:r>
      <w:r w:rsidR="005D038C" w:rsidRPr="007D7A3E">
        <w:rPr>
          <w:rFonts w:ascii="Times New Roman" w:hAnsi="Times New Roman" w:cs="Times New Roman"/>
          <w:sz w:val="24"/>
          <w:szCs w:val="24"/>
        </w:rPr>
        <w:t xml:space="preserve">     </w:t>
      </w:r>
      <w:r w:rsidRPr="007D7A3E">
        <w:rPr>
          <w:rFonts w:ascii="Times New Roman" w:hAnsi="Times New Roman" w:cs="Times New Roman"/>
          <w:sz w:val="24"/>
          <w:szCs w:val="24"/>
        </w:rPr>
        <w:t>do pełnego zaspokojenia potrzeb klientów w zakresie obsługi dewizowej, stałe zwiększanie obrotu dewizowego przy stałym wzroście przychodów z tytuł wymiany i jednoczesnym utrzymywaniu pozycji walutowej na poziomie zapewniającym bezpieczeństwo Banku.</w:t>
      </w:r>
    </w:p>
    <w:p w14:paraId="62011D22" w14:textId="77777777" w:rsidR="004F0D8E" w:rsidRPr="000E3272" w:rsidRDefault="004F0D8E" w:rsidP="00D32AEC">
      <w:pPr>
        <w:spacing w:after="0" w:line="264" w:lineRule="auto"/>
        <w:ind w:firstLine="708"/>
        <w:jc w:val="both"/>
        <w:rPr>
          <w:rFonts w:ascii="Times New Roman" w:hAnsi="Times New Roman" w:cs="Times New Roman"/>
          <w:color w:val="FF0000"/>
          <w:sz w:val="24"/>
          <w:szCs w:val="24"/>
        </w:rPr>
      </w:pPr>
    </w:p>
    <w:p w14:paraId="5FC77FE9" w14:textId="77777777" w:rsidR="006C34F1" w:rsidRPr="00E8535A" w:rsidRDefault="006C34F1" w:rsidP="00993749">
      <w:pPr>
        <w:pStyle w:val="Nagwek1"/>
        <w:numPr>
          <w:ilvl w:val="0"/>
          <w:numId w:val="22"/>
        </w:numPr>
        <w:rPr>
          <w:rFonts w:ascii="Times New Roman" w:hAnsi="Times New Roman" w:cs="Times New Roman"/>
          <w:b/>
          <w:color w:val="auto"/>
          <w:sz w:val="24"/>
          <w:szCs w:val="24"/>
        </w:rPr>
      </w:pPr>
      <w:bookmarkStart w:id="26" w:name="_Toc44930271"/>
      <w:r w:rsidRPr="00E8535A">
        <w:rPr>
          <w:rFonts w:ascii="Times New Roman" w:hAnsi="Times New Roman" w:cs="Times New Roman"/>
          <w:b/>
          <w:color w:val="auto"/>
          <w:sz w:val="24"/>
          <w:szCs w:val="24"/>
        </w:rPr>
        <w:t>RYZYKO OPERACYJNE</w:t>
      </w:r>
      <w:bookmarkEnd w:id="26"/>
      <w:r w:rsidRPr="00E8535A">
        <w:rPr>
          <w:rFonts w:ascii="Times New Roman" w:hAnsi="Times New Roman" w:cs="Times New Roman"/>
          <w:b/>
          <w:color w:val="auto"/>
          <w:sz w:val="24"/>
          <w:szCs w:val="24"/>
        </w:rPr>
        <w:t xml:space="preserve"> </w:t>
      </w:r>
    </w:p>
    <w:p w14:paraId="0382F054" w14:textId="77777777" w:rsidR="00D32AEC" w:rsidRPr="000E3272" w:rsidRDefault="00D32AEC" w:rsidP="00174CA0">
      <w:pPr>
        <w:spacing w:after="0" w:line="264" w:lineRule="auto"/>
        <w:rPr>
          <w:rFonts w:ascii="Times New Roman" w:hAnsi="Times New Roman" w:cs="Times New Roman"/>
          <w:b/>
          <w:color w:val="FF0000"/>
          <w:sz w:val="24"/>
          <w:szCs w:val="24"/>
        </w:rPr>
      </w:pPr>
    </w:p>
    <w:p w14:paraId="514A8275" w14:textId="77777777" w:rsidR="00E8535A" w:rsidRPr="0009110B" w:rsidRDefault="00E8535A" w:rsidP="00E8535A">
      <w:pPr>
        <w:autoSpaceDE w:val="0"/>
        <w:autoSpaceDN w:val="0"/>
        <w:adjustRightInd w:val="0"/>
        <w:spacing w:after="0" w:line="264" w:lineRule="auto"/>
        <w:ind w:firstLine="708"/>
        <w:jc w:val="both"/>
        <w:rPr>
          <w:rFonts w:ascii="Times New Roman" w:hAnsi="Times New Roman" w:cs="Times New Roman"/>
          <w:color w:val="000000" w:themeColor="text1"/>
          <w:sz w:val="24"/>
          <w:szCs w:val="24"/>
        </w:rPr>
      </w:pPr>
      <w:r w:rsidRPr="0009110B">
        <w:rPr>
          <w:rFonts w:ascii="Times New Roman" w:hAnsi="Times New Roman" w:cs="Times New Roman"/>
          <w:color w:val="000000" w:themeColor="text1"/>
          <w:sz w:val="24"/>
          <w:szCs w:val="24"/>
        </w:rPr>
        <w:t xml:space="preserve">Zarządzanie ryzykiem operacyjnym prowadzone jest w oparciu o Strategię zarządzania ryzykiem, Strategię zarządzania ryzykiem operacyjnym, Politykę zarządzania ryzykiem operacyjnym oraz procedury szczegółowe. </w:t>
      </w:r>
    </w:p>
    <w:p w14:paraId="327BA855" w14:textId="77777777" w:rsidR="00E8535A" w:rsidRPr="0009110B" w:rsidRDefault="00E8535A" w:rsidP="00E8535A">
      <w:pPr>
        <w:autoSpaceDE w:val="0"/>
        <w:autoSpaceDN w:val="0"/>
        <w:adjustRightInd w:val="0"/>
        <w:spacing w:after="0" w:line="264" w:lineRule="auto"/>
        <w:ind w:firstLine="708"/>
        <w:jc w:val="both"/>
        <w:rPr>
          <w:rFonts w:ascii="Times New Roman" w:hAnsi="Times New Roman" w:cs="Times New Roman"/>
          <w:color w:val="000000" w:themeColor="text1"/>
          <w:sz w:val="24"/>
          <w:szCs w:val="24"/>
        </w:rPr>
      </w:pPr>
      <w:r w:rsidRPr="0009110B">
        <w:rPr>
          <w:rFonts w:ascii="Times New Roman" w:hAnsi="Times New Roman" w:cs="Times New Roman"/>
          <w:color w:val="000000" w:themeColor="text1"/>
          <w:sz w:val="24"/>
          <w:szCs w:val="24"/>
        </w:rPr>
        <w:t>Ryzyko operacyjne określa się w Banku jako możliwość wystąpienia straty wynikającej z nieodpowiednich lub zawodnych procedur wewnętrznych, błędów ludzi i systemów lub ze zdarzeń zewnętrznych, obejmując także ryzyko prawne, rozumiane jako ryzyko poniesienia strat na skutek błędnego lub zbyt późnego opracowania lub uchwalenia regulacji, ich niestabilności, zmian w orzecznictwie, błędnego ukształtowania stosunków prawnych, jakości dokumentacji formalno-prawnej czy niekorzystnych rozstrzygnięć sądów lub innych organów w sprawach spornych prowadzonych z innymi podmiotami. Ryzyko operacyjne obejmuje również ryzyko IT, czyli niepewność związana z prawidłowym, efektywnym i bezpiecznym wspieraniem działalności Banku przez jego środowisko teleinformatyczne w szczególności ryzyko IT należy rozpoznawać w kontekście zagrożeń oraz podatności istniejącego komponentu lub grupy komponentów środowiska teleinformatycznego i wpływu tych relacji na bezpieczne funkcjonowanie infrastruktury teleinformatycznej i procesów z nią związanych oraz bezpieczeństwa danych wykorzystywanych dla potrzeb działalności banku oraz do świadczenia usług dla klientów.</w:t>
      </w:r>
    </w:p>
    <w:p w14:paraId="4CF598F3" w14:textId="77777777" w:rsidR="000F4D5F" w:rsidRPr="000E3272" w:rsidRDefault="000F4D5F" w:rsidP="00174CA0">
      <w:pPr>
        <w:spacing w:after="0" w:line="264" w:lineRule="auto"/>
        <w:rPr>
          <w:rFonts w:ascii="Times New Roman" w:hAnsi="Times New Roman" w:cs="Times New Roman"/>
          <w:b/>
          <w:color w:val="FF0000"/>
          <w:sz w:val="24"/>
          <w:szCs w:val="24"/>
        </w:rPr>
      </w:pPr>
    </w:p>
    <w:p w14:paraId="04F9747A" w14:textId="77777777" w:rsidR="006C34F1" w:rsidRPr="000E3272" w:rsidRDefault="004F0D8E" w:rsidP="00993749">
      <w:pPr>
        <w:pStyle w:val="Nagwek1"/>
        <w:numPr>
          <w:ilvl w:val="1"/>
          <w:numId w:val="22"/>
        </w:numPr>
        <w:rPr>
          <w:rFonts w:ascii="Times New Roman" w:hAnsi="Times New Roman" w:cs="Times New Roman"/>
          <w:b/>
          <w:color w:val="FF0000"/>
          <w:sz w:val="24"/>
          <w:szCs w:val="24"/>
        </w:rPr>
      </w:pPr>
      <w:r w:rsidRPr="00E8535A">
        <w:rPr>
          <w:rFonts w:ascii="Times New Roman" w:hAnsi="Times New Roman" w:cs="Times New Roman"/>
          <w:b/>
          <w:color w:val="auto"/>
          <w:sz w:val="24"/>
          <w:szCs w:val="24"/>
        </w:rPr>
        <w:t xml:space="preserve"> </w:t>
      </w:r>
      <w:bookmarkStart w:id="27" w:name="_Toc44930272"/>
      <w:r w:rsidR="006C34F1" w:rsidRPr="00E8535A">
        <w:rPr>
          <w:rFonts w:ascii="Times New Roman" w:hAnsi="Times New Roman" w:cs="Times New Roman"/>
          <w:b/>
          <w:color w:val="auto"/>
          <w:sz w:val="24"/>
          <w:szCs w:val="24"/>
        </w:rPr>
        <w:t>REALIZACJA CELÓW STRATEGICZNYCH</w:t>
      </w:r>
      <w:bookmarkEnd w:id="27"/>
      <w:r w:rsidR="006C34F1" w:rsidRPr="00E8535A">
        <w:rPr>
          <w:rFonts w:ascii="Times New Roman" w:hAnsi="Times New Roman" w:cs="Times New Roman"/>
          <w:b/>
          <w:color w:val="auto"/>
          <w:sz w:val="24"/>
          <w:szCs w:val="24"/>
        </w:rPr>
        <w:t xml:space="preserve"> </w:t>
      </w:r>
    </w:p>
    <w:p w14:paraId="70F629C2" w14:textId="77777777" w:rsidR="00D32AEC" w:rsidRPr="000E3272" w:rsidRDefault="00D32AEC" w:rsidP="00174CA0">
      <w:pPr>
        <w:spacing w:after="0" w:line="264" w:lineRule="auto"/>
        <w:rPr>
          <w:rFonts w:ascii="Times New Roman" w:hAnsi="Times New Roman" w:cs="Times New Roman"/>
          <w:b/>
          <w:color w:val="FF0000"/>
          <w:sz w:val="24"/>
          <w:szCs w:val="24"/>
        </w:rPr>
      </w:pPr>
    </w:p>
    <w:p w14:paraId="2EACF595" w14:textId="77777777" w:rsidR="00E8535A" w:rsidRPr="00E8535A" w:rsidRDefault="00E8535A" w:rsidP="00E8535A">
      <w:pPr>
        <w:spacing w:before="100" w:beforeAutospacing="1" w:after="0" w:line="264" w:lineRule="auto"/>
        <w:jc w:val="both"/>
        <w:rPr>
          <w:rFonts w:ascii="Times New Roman" w:eastAsia="Times New Roman" w:hAnsi="Times New Roman" w:cs="Times New Roman"/>
          <w:color w:val="FF0000"/>
          <w:sz w:val="24"/>
          <w:szCs w:val="24"/>
          <w:lang w:eastAsia="pl-PL"/>
        </w:rPr>
      </w:pPr>
      <w:bookmarkStart w:id="28" w:name="_Toc44930273"/>
      <w:r w:rsidRPr="00E8535A">
        <w:rPr>
          <w:rFonts w:ascii="Times New Roman" w:eastAsia="Times New Roman" w:hAnsi="Times New Roman" w:cs="Times New Roman"/>
          <w:color w:val="000000" w:themeColor="text1"/>
          <w:sz w:val="24"/>
          <w:szCs w:val="24"/>
          <w:lang w:eastAsia="pl-PL"/>
        </w:rPr>
        <w:t xml:space="preserve">W Strategii zarządzania ryzykiem operacyjnym Bank określił apetyt, tolerancję oraz limity  na ryzyko  operacyjne. Apetyt na ryzyko operacyjne został określony jako całkowity poziom ryzyka, na które Bank jest gotowy i które jest skłonny podjąć przed jego faktyczną materializacją. Apetyt na ryzyko określono na poziomie 30% wymogu kapitałowego na ryzyko operacyjne. Bank wyznacza limity, tolerancję w ramach apetytu na ryzyko dla poszczególnych rodzajów zdarzeń, które określają akceptowalny poziom ryzyka operacyjnego. </w:t>
      </w:r>
    </w:p>
    <w:p w14:paraId="3C562394" w14:textId="77777777" w:rsidR="00E8535A" w:rsidRPr="00E8535A" w:rsidRDefault="00E8535A" w:rsidP="009711D1">
      <w:pPr>
        <w:spacing w:before="100" w:beforeAutospacing="1" w:after="0" w:line="264" w:lineRule="auto"/>
        <w:jc w:val="both"/>
        <w:rPr>
          <w:rFonts w:ascii="Times New Roman" w:eastAsia="Times New Roman" w:hAnsi="Times New Roman" w:cs="Times New Roman"/>
          <w:color w:val="FF0000"/>
          <w:sz w:val="24"/>
          <w:szCs w:val="24"/>
          <w:lang w:eastAsia="pl-PL"/>
        </w:rPr>
      </w:pPr>
      <w:r w:rsidRPr="00E8535A">
        <w:rPr>
          <w:rFonts w:ascii="Times New Roman" w:eastAsia="Times New Roman" w:hAnsi="Times New Roman" w:cs="Times New Roman"/>
          <w:sz w:val="24"/>
          <w:szCs w:val="24"/>
          <w:lang w:eastAsia="pl-PL"/>
        </w:rPr>
        <w:lastRenderedPageBreak/>
        <w:t xml:space="preserve">Na dzień 31.12.2020 r. roczna strata, oszacowana z tytułu zdarzeń operacyjnych, </w:t>
      </w:r>
      <w:r w:rsidR="009711D1">
        <w:rPr>
          <w:rFonts w:ascii="Times New Roman" w:eastAsia="Times New Roman" w:hAnsi="Times New Roman" w:cs="Times New Roman"/>
          <w:sz w:val="24"/>
          <w:szCs w:val="24"/>
          <w:lang w:eastAsia="pl-PL"/>
        </w:rPr>
        <w:t>z</w:t>
      </w:r>
      <w:r w:rsidRPr="00E8535A">
        <w:rPr>
          <w:rFonts w:ascii="Times New Roman" w:eastAsia="Times New Roman" w:hAnsi="Times New Roman" w:cs="Times New Roman"/>
          <w:sz w:val="24"/>
          <w:szCs w:val="24"/>
          <w:lang w:eastAsia="pl-PL"/>
        </w:rPr>
        <w:t>arejestrowanych w rejestrze zdarzeń operacyjnych AZRO wyni</w:t>
      </w:r>
      <w:r w:rsidR="009711D1">
        <w:rPr>
          <w:rFonts w:ascii="Times New Roman" w:eastAsia="Times New Roman" w:hAnsi="Times New Roman" w:cs="Times New Roman"/>
          <w:sz w:val="24"/>
          <w:szCs w:val="24"/>
          <w:lang w:eastAsia="pl-PL"/>
        </w:rPr>
        <w:t xml:space="preserve">osła 50 129,66 zł brutto, co stanowiło 5,41% apetytu Banku na ryzyko operacyjne. </w:t>
      </w:r>
      <w:r w:rsidRPr="00FA2EC1">
        <w:t xml:space="preserve"> </w:t>
      </w:r>
      <w:r w:rsidRPr="00E8535A">
        <w:rPr>
          <w:rFonts w:ascii="Times New Roman" w:eastAsia="Times New Roman" w:hAnsi="Times New Roman" w:cs="Times New Roman"/>
          <w:sz w:val="24"/>
          <w:szCs w:val="24"/>
          <w:lang w:eastAsia="pl-PL"/>
        </w:rPr>
        <w:t>Zdarzenia zgłoszone w 2020 r. miały formę zdarzeń rzeczywistych ze stratą potencjalną netto zarejestrowaną w systemie AZRO równą 49 949,66 zł oraz ze stratą rzeczywistą netto równą 180</w:t>
      </w:r>
      <w:r w:rsidRPr="00E8535A">
        <w:rPr>
          <w:rFonts w:ascii="Times New Roman" w:eastAsia="Times New Roman" w:hAnsi="Times New Roman" w:cs="Times New Roman"/>
          <w:color w:val="FFFFFF" w:themeColor="background1"/>
          <w:sz w:val="24"/>
          <w:szCs w:val="24"/>
          <w:lang w:eastAsia="pl-PL"/>
        </w:rPr>
        <w:t>.</w:t>
      </w:r>
      <w:r w:rsidRPr="00E8535A">
        <w:rPr>
          <w:rFonts w:ascii="Times New Roman" w:eastAsia="Times New Roman" w:hAnsi="Times New Roman" w:cs="Times New Roman"/>
          <w:sz w:val="24"/>
          <w:szCs w:val="24"/>
          <w:lang w:eastAsia="pl-PL"/>
        </w:rPr>
        <w:t xml:space="preserve">zł.  </w:t>
      </w:r>
      <w:r w:rsidRPr="00E8535A">
        <w:rPr>
          <w:rFonts w:ascii="Times New Roman" w:eastAsia="Times New Roman" w:hAnsi="Times New Roman" w:cs="Times New Roman"/>
          <w:color w:val="FF0000"/>
          <w:sz w:val="24"/>
          <w:szCs w:val="24"/>
          <w:lang w:eastAsia="pl-PL"/>
        </w:rPr>
        <w:br/>
      </w:r>
    </w:p>
    <w:p w14:paraId="4F9FC56C" w14:textId="77777777" w:rsidR="00E8535A" w:rsidRPr="00E8535A" w:rsidRDefault="00E8535A" w:rsidP="00E8535A">
      <w:pPr>
        <w:spacing w:before="100" w:beforeAutospacing="1" w:after="0" w:line="264" w:lineRule="auto"/>
        <w:ind w:left="360"/>
        <w:jc w:val="both"/>
        <w:rPr>
          <w:rFonts w:ascii="Times New Roman" w:eastAsia="Times New Roman" w:hAnsi="Times New Roman" w:cs="Times New Roman"/>
          <w:color w:val="FF0000"/>
          <w:sz w:val="24"/>
          <w:szCs w:val="24"/>
          <w:lang w:eastAsia="pl-PL"/>
        </w:rPr>
      </w:pPr>
      <w:r w:rsidRPr="00E8535A">
        <w:rPr>
          <w:rFonts w:ascii="Times New Roman" w:eastAsia="Times New Roman" w:hAnsi="Times New Roman" w:cs="Times New Roman"/>
          <w:color w:val="FF0000"/>
          <w:sz w:val="24"/>
          <w:szCs w:val="24"/>
          <w:lang w:eastAsia="pl-PL"/>
        </w:rPr>
        <w:t> </w:t>
      </w:r>
      <w:r w:rsidRPr="00E8535A">
        <w:rPr>
          <w:rFonts w:ascii="Times New Roman" w:eastAsia="Times New Roman" w:hAnsi="Times New Roman" w:cs="Times New Roman"/>
          <w:sz w:val="24"/>
          <w:szCs w:val="24"/>
          <w:lang w:eastAsia="pl-PL"/>
        </w:rPr>
        <w:t xml:space="preserve">Tabela. </w:t>
      </w:r>
      <w:r w:rsidRPr="00E8535A">
        <w:rPr>
          <w:rFonts w:ascii="Times New Roman" w:eastAsia="Times New Roman" w:hAnsi="Times New Roman" w:cs="Times New Roman"/>
          <w:i/>
          <w:sz w:val="24"/>
          <w:szCs w:val="24"/>
          <w:lang w:eastAsia="pl-PL"/>
        </w:rPr>
        <w:t xml:space="preserve">Apetyt na ryzyko oraz tolerancję dla poszczególnych rodzajów zdarzeń na ryzyko operacyjne przyjęte przez Bank zaprezentowano w tabeli poniżej.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464"/>
        <w:gridCol w:w="2916"/>
        <w:gridCol w:w="1545"/>
        <w:gridCol w:w="1194"/>
        <w:gridCol w:w="1376"/>
      </w:tblGrid>
      <w:tr w:rsidR="00E8535A" w:rsidRPr="000E3272" w14:paraId="2C88F9F4" w14:textId="77777777" w:rsidTr="005C2765">
        <w:tc>
          <w:tcPr>
            <w:tcW w:w="568" w:type="dxa"/>
            <w:tcBorders>
              <w:top w:val="single" w:sz="4" w:space="0" w:color="auto"/>
              <w:left w:val="single" w:sz="4" w:space="0" w:color="auto"/>
              <w:bottom w:val="single" w:sz="4" w:space="0" w:color="auto"/>
              <w:right w:val="single" w:sz="4" w:space="0" w:color="auto"/>
            </w:tcBorders>
            <w:vAlign w:val="center"/>
            <w:hideMark/>
          </w:tcPr>
          <w:p w14:paraId="3F65A636" w14:textId="77777777" w:rsidR="00E8535A" w:rsidRPr="006E1346" w:rsidRDefault="00E8535A" w:rsidP="00E8535A">
            <w:pPr>
              <w:spacing w:after="0" w:line="264" w:lineRule="auto"/>
              <w:jc w:val="both"/>
              <w:rPr>
                <w:rFonts w:ascii="Times New Roman" w:hAnsi="Times New Roman" w:cs="Times New Roman"/>
                <w:b/>
                <w:sz w:val="18"/>
                <w:szCs w:val="18"/>
              </w:rPr>
            </w:pPr>
            <w:r w:rsidRPr="006E1346">
              <w:rPr>
                <w:rFonts w:ascii="Times New Roman" w:hAnsi="Times New Roman" w:cs="Times New Roman"/>
                <w:b/>
                <w:sz w:val="18"/>
                <w:szCs w:val="18"/>
              </w:rPr>
              <w:t>L.p.</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9A647A0" w14:textId="77777777" w:rsidR="00E8535A" w:rsidRPr="006E1346" w:rsidRDefault="00E8535A" w:rsidP="00E8535A">
            <w:pPr>
              <w:spacing w:after="0" w:line="264" w:lineRule="auto"/>
              <w:jc w:val="both"/>
              <w:rPr>
                <w:rFonts w:ascii="Times New Roman" w:hAnsi="Times New Roman" w:cs="Times New Roman"/>
                <w:b/>
                <w:sz w:val="18"/>
                <w:szCs w:val="18"/>
              </w:rPr>
            </w:pPr>
            <w:r w:rsidRPr="006E1346">
              <w:rPr>
                <w:rFonts w:ascii="Times New Roman" w:eastAsia="TimesNewRomanPSMT" w:hAnsi="Times New Roman" w:cs="Times New Roman"/>
                <w:b/>
                <w:sz w:val="18"/>
                <w:szCs w:val="18"/>
              </w:rPr>
              <w:t>Rodzaj zdarzenia</w:t>
            </w:r>
          </w:p>
        </w:tc>
        <w:tc>
          <w:tcPr>
            <w:tcW w:w="2955" w:type="dxa"/>
            <w:tcBorders>
              <w:top w:val="single" w:sz="4" w:space="0" w:color="auto"/>
              <w:left w:val="single" w:sz="4" w:space="0" w:color="auto"/>
              <w:bottom w:val="single" w:sz="4" w:space="0" w:color="auto"/>
              <w:right w:val="single" w:sz="4" w:space="0" w:color="auto"/>
            </w:tcBorders>
            <w:vAlign w:val="center"/>
            <w:hideMark/>
          </w:tcPr>
          <w:p w14:paraId="3B168F14" w14:textId="77777777" w:rsidR="00E8535A" w:rsidRPr="006E1346" w:rsidRDefault="00E8535A" w:rsidP="00E8535A">
            <w:pPr>
              <w:spacing w:after="0" w:line="264" w:lineRule="auto"/>
              <w:jc w:val="center"/>
              <w:rPr>
                <w:rFonts w:ascii="Times New Roman" w:hAnsi="Times New Roman" w:cs="Times New Roman"/>
                <w:b/>
                <w:sz w:val="18"/>
                <w:szCs w:val="18"/>
              </w:rPr>
            </w:pPr>
            <w:r w:rsidRPr="006E1346">
              <w:rPr>
                <w:rFonts w:ascii="Times New Roman" w:eastAsia="TimesNewRomanPSMT" w:hAnsi="Times New Roman" w:cs="Times New Roman"/>
                <w:b/>
                <w:sz w:val="18"/>
                <w:szCs w:val="18"/>
              </w:rPr>
              <w:t>Definicja zdarzenia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7BD6D1"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Apetyt Banku</w:t>
            </w:r>
          </w:p>
          <w:p w14:paraId="08ED06FE"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na ryzyko</w:t>
            </w:r>
          </w:p>
          <w:p w14:paraId="0831E384"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operacyjne</w:t>
            </w:r>
          </w:p>
          <w:p w14:paraId="7CF1FCFE"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 wyrażony</w:t>
            </w:r>
          </w:p>
          <w:p w14:paraId="6A838565"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jako %</w:t>
            </w:r>
          </w:p>
          <w:p w14:paraId="52A16DE6"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utworzonego</w:t>
            </w:r>
          </w:p>
          <w:p w14:paraId="1601F436"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wymogu</w:t>
            </w:r>
          </w:p>
          <w:p w14:paraId="6402856B"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kapitałowego</w:t>
            </w:r>
          </w:p>
          <w:p w14:paraId="4FC556DA"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na dany rok</w:t>
            </w:r>
          </w:p>
          <w:p w14:paraId="60A1C222"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kalendarzowy i jako wartość w PLN )</w:t>
            </w:r>
          </w:p>
          <w:p w14:paraId="38A1837E" w14:textId="77777777" w:rsidR="00E8535A" w:rsidRPr="006E1346" w:rsidRDefault="00E8535A" w:rsidP="00E8535A">
            <w:pPr>
              <w:spacing w:after="0" w:line="264" w:lineRule="auto"/>
              <w:jc w:val="center"/>
              <w:rPr>
                <w:rFonts w:ascii="Times New Roman" w:hAnsi="Times New Roman" w:cs="Times New Roman"/>
                <w:b/>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hideMark/>
          </w:tcPr>
          <w:p w14:paraId="273E5D41"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Tolerancja w</w:t>
            </w:r>
          </w:p>
          <w:p w14:paraId="1E8C5058"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ramach</w:t>
            </w:r>
          </w:p>
          <w:p w14:paraId="07F30F9F"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apetytu</w:t>
            </w:r>
          </w:p>
          <w:p w14:paraId="12AAFD76"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 wyrażona</w:t>
            </w:r>
          </w:p>
          <w:p w14:paraId="44CA6245"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jako %</w:t>
            </w:r>
          </w:p>
          <w:p w14:paraId="2328D912"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apetytu na</w:t>
            </w:r>
          </w:p>
          <w:p w14:paraId="711C3F82"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ryzyko</w:t>
            </w:r>
          </w:p>
          <w:p w14:paraId="63BD525D"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operacyjne</w:t>
            </w:r>
          </w:p>
          <w:p w14:paraId="710DA89A"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dla danego</w:t>
            </w:r>
          </w:p>
          <w:p w14:paraId="340A0E96"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rodzaju</w:t>
            </w:r>
          </w:p>
          <w:p w14:paraId="00DE670A"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zdarzenia i jako wartość w PLN )</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F23963D"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Wykorzystanie limitu tolerancji na ryzyko operacyjne w 2020 r. według stanu na dzień 31.12.2020 r.</w:t>
            </w:r>
          </w:p>
          <w:p w14:paraId="4347976D" w14:textId="77777777" w:rsidR="00E8535A" w:rsidRPr="006E1346" w:rsidRDefault="00E8535A" w:rsidP="00E8535A">
            <w:pPr>
              <w:autoSpaceDE w:val="0"/>
              <w:autoSpaceDN w:val="0"/>
              <w:adjustRightInd w:val="0"/>
              <w:spacing w:after="0" w:line="264" w:lineRule="auto"/>
              <w:jc w:val="center"/>
              <w:rPr>
                <w:rFonts w:ascii="Times New Roman" w:eastAsia="TimesNewRomanPSMT" w:hAnsi="Times New Roman" w:cs="Times New Roman"/>
                <w:b/>
                <w:sz w:val="18"/>
                <w:szCs w:val="18"/>
              </w:rPr>
            </w:pPr>
            <w:r w:rsidRPr="006E1346">
              <w:rPr>
                <w:rFonts w:ascii="Times New Roman" w:eastAsia="TimesNewRomanPSMT" w:hAnsi="Times New Roman" w:cs="Times New Roman"/>
                <w:b/>
                <w:sz w:val="18"/>
                <w:szCs w:val="18"/>
              </w:rPr>
              <w:t>(wyrażone w PLN)</w:t>
            </w:r>
          </w:p>
        </w:tc>
      </w:tr>
      <w:tr w:rsidR="00E8535A" w:rsidRPr="000E3272" w14:paraId="584639E7" w14:textId="77777777" w:rsidTr="005C2765">
        <w:tc>
          <w:tcPr>
            <w:tcW w:w="568" w:type="dxa"/>
            <w:tcBorders>
              <w:top w:val="single" w:sz="4" w:space="0" w:color="auto"/>
              <w:left w:val="single" w:sz="4" w:space="0" w:color="auto"/>
              <w:bottom w:val="single" w:sz="4" w:space="0" w:color="auto"/>
              <w:right w:val="single" w:sz="4" w:space="0" w:color="auto"/>
            </w:tcBorders>
            <w:vAlign w:val="center"/>
            <w:hideMark/>
          </w:tcPr>
          <w:p w14:paraId="1DE9D8D0" w14:textId="77777777" w:rsidR="00E8535A" w:rsidRPr="0009110B" w:rsidRDefault="00E8535A" w:rsidP="00E8535A">
            <w:pPr>
              <w:autoSpaceDE w:val="0"/>
              <w:autoSpaceDN w:val="0"/>
              <w:adjustRightInd w:val="0"/>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1</w:t>
            </w:r>
            <w:r>
              <w:rPr>
                <w:rFonts w:ascii="Times New Roman" w:eastAsia="Times New Roman" w:hAnsi="Times New Roman" w:cs="Times New Roman"/>
                <w:sz w:val="18"/>
                <w:szCs w:val="18"/>
                <w:lang w:eastAsia="pl-PL"/>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F2F6EDE"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Oszustwa</w:t>
            </w:r>
          </w:p>
          <w:p w14:paraId="49BD032E"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wewnętrzne</w:t>
            </w:r>
          </w:p>
          <w:p w14:paraId="732FCEF4" w14:textId="77777777" w:rsidR="00E8535A" w:rsidRPr="0009110B" w:rsidRDefault="00E8535A" w:rsidP="00E8535A">
            <w:pPr>
              <w:spacing w:after="0" w:line="264" w:lineRule="auto"/>
              <w:jc w:val="center"/>
              <w:rPr>
                <w:rFonts w:ascii="Times New Roman" w:hAnsi="Times New Roman" w:cs="Times New Roman"/>
                <w:sz w:val="18"/>
                <w:szCs w:val="18"/>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0C235F47"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Straty spowodowane celowym działaniem polegającym na defraudacji, sprzeniewierzeniu majątku, obejściach regulacji, przepisów Prawa lub przepisów</w:t>
            </w:r>
          </w:p>
          <w:p w14:paraId="440AEB5A"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wewnętrznych Banku, wyłączając straty wynikające z różnicowania/dyskryminacji</w:t>
            </w:r>
          </w:p>
          <w:p w14:paraId="71F3BD40"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pracowników, które dotyczą co najmniej jednej strony wewnętrznej.</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B02D1F"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2% /</w:t>
            </w:r>
          </w:p>
          <w:p w14:paraId="37BFD541"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61 765,42</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564F408"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0% /</w:t>
            </w:r>
          </w:p>
          <w:p w14:paraId="1CF2B372"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0,00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5DADC68"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0,00</w:t>
            </w:r>
          </w:p>
        </w:tc>
      </w:tr>
      <w:tr w:rsidR="00E8535A" w:rsidRPr="000E3272" w14:paraId="65CD7D8F" w14:textId="77777777" w:rsidTr="005C2765">
        <w:tc>
          <w:tcPr>
            <w:tcW w:w="568" w:type="dxa"/>
            <w:tcBorders>
              <w:top w:val="single" w:sz="4" w:space="0" w:color="auto"/>
              <w:left w:val="single" w:sz="4" w:space="0" w:color="auto"/>
              <w:bottom w:val="single" w:sz="4" w:space="0" w:color="auto"/>
              <w:right w:val="single" w:sz="4" w:space="0" w:color="auto"/>
            </w:tcBorders>
            <w:vAlign w:val="center"/>
            <w:hideMark/>
          </w:tcPr>
          <w:p w14:paraId="19282EA2" w14:textId="77777777" w:rsidR="00E8535A" w:rsidRPr="0009110B" w:rsidRDefault="00E8535A" w:rsidP="00E8535A">
            <w:pPr>
              <w:autoSpaceDE w:val="0"/>
              <w:autoSpaceDN w:val="0"/>
              <w:adjustRightInd w:val="0"/>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2</w:t>
            </w:r>
            <w:r>
              <w:rPr>
                <w:rFonts w:ascii="Times New Roman" w:eastAsia="Times New Roman" w:hAnsi="Times New Roman" w:cs="Times New Roman"/>
                <w:sz w:val="18"/>
                <w:szCs w:val="18"/>
                <w:lang w:eastAsia="pl-PL"/>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591BCEB"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Oszustwa</w:t>
            </w:r>
          </w:p>
          <w:p w14:paraId="33094276"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zewnętrzne</w:t>
            </w:r>
          </w:p>
          <w:p w14:paraId="05478076" w14:textId="77777777" w:rsidR="00E8535A" w:rsidRPr="0009110B" w:rsidRDefault="00E8535A" w:rsidP="00E8535A">
            <w:pPr>
              <w:spacing w:after="0" w:line="264" w:lineRule="auto"/>
              <w:jc w:val="center"/>
              <w:rPr>
                <w:rFonts w:ascii="Times New Roman" w:hAnsi="Times New Roman" w:cs="Times New Roman"/>
                <w:sz w:val="18"/>
                <w:szCs w:val="18"/>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2317EF4F"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Straty spowodowane celowym działaniem polegającym na defraudacji, sprzeniewierzeniu majątku lub obejściu regulacji prawnych przez stronę trzecią.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8446544"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2% /</w:t>
            </w:r>
          </w:p>
          <w:p w14:paraId="22EDCB0E"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61 765,42</w:t>
            </w:r>
          </w:p>
        </w:tc>
        <w:tc>
          <w:tcPr>
            <w:tcW w:w="1202" w:type="dxa"/>
            <w:tcBorders>
              <w:top w:val="single" w:sz="4" w:space="0" w:color="auto"/>
              <w:left w:val="single" w:sz="4" w:space="0" w:color="auto"/>
              <w:bottom w:val="single" w:sz="4" w:space="0" w:color="auto"/>
              <w:right w:val="single" w:sz="4" w:space="0" w:color="auto"/>
            </w:tcBorders>
            <w:vAlign w:val="center"/>
            <w:hideMark/>
          </w:tcPr>
          <w:p w14:paraId="17939A66"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0% /</w:t>
            </w:r>
          </w:p>
          <w:p w14:paraId="14970B61"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0,00</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19C574B"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49 949,66</w:t>
            </w:r>
          </w:p>
        </w:tc>
      </w:tr>
      <w:tr w:rsidR="00E8535A" w:rsidRPr="000E3272" w14:paraId="2DCE1BCD" w14:textId="77777777" w:rsidTr="005C2765">
        <w:tc>
          <w:tcPr>
            <w:tcW w:w="568" w:type="dxa"/>
            <w:tcBorders>
              <w:top w:val="single" w:sz="4" w:space="0" w:color="auto"/>
              <w:left w:val="single" w:sz="4" w:space="0" w:color="auto"/>
              <w:bottom w:val="single" w:sz="4" w:space="0" w:color="auto"/>
              <w:right w:val="single" w:sz="4" w:space="0" w:color="auto"/>
            </w:tcBorders>
            <w:vAlign w:val="center"/>
            <w:hideMark/>
          </w:tcPr>
          <w:p w14:paraId="1756C253"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3</w:t>
            </w:r>
            <w:r>
              <w:rPr>
                <w:rFonts w:ascii="Times New Roman" w:eastAsia="Times New Roman" w:hAnsi="Times New Roman" w:cs="Times New Roman"/>
                <w:sz w:val="18"/>
                <w:szCs w:val="18"/>
                <w:lang w:eastAsia="pl-PL"/>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669B441"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Zasady dotyczące</w:t>
            </w:r>
          </w:p>
          <w:p w14:paraId="5035141A"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zatrudnienia oraz</w:t>
            </w:r>
          </w:p>
          <w:p w14:paraId="1F511844"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bezpieczeństwo w</w:t>
            </w:r>
          </w:p>
          <w:p w14:paraId="051CB4FC"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miejscu pracy</w:t>
            </w:r>
          </w:p>
          <w:p w14:paraId="3957D794" w14:textId="77777777" w:rsidR="00E8535A" w:rsidRPr="0009110B" w:rsidRDefault="00E8535A" w:rsidP="00E8535A">
            <w:pPr>
              <w:spacing w:after="0" w:line="264" w:lineRule="auto"/>
              <w:jc w:val="center"/>
              <w:rPr>
                <w:rFonts w:ascii="Times New Roman" w:hAnsi="Times New Roman" w:cs="Times New Roman"/>
                <w:sz w:val="18"/>
                <w:szCs w:val="18"/>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9F60CCC"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Straty powstałe na skutek działań</w:t>
            </w:r>
          </w:p>
          <w:p w14:paraId="6F55EB9D"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niezgodnych z przepisami lub</w:t>
            </w:r>
          </w:p>
          <w:p w14:paraId="4E3CC977" w14:textId="77777777" w:rsidR="00E8535A" w:rsidRPr="0009110B" w:rsidRDefault="00E8535A" w:rsidP="00E8535A">
            <w:pPr>
              <w:autoSpaceDE w:val="0"/>
              <w:autoSpaceDN w:val="0"/>
              <w:adjustRightInd w:val="0"/>
              <w:spacing w:after="0" w:line="264" w:lineRule="auto"/>
              <w:jc w:val="center"/>
              <w:rPr>
                <w:rFonts w:ascii="Times New Roman" w:hAnsi="Times New Roman" w:cs="Times New Roman"/>
                <w:sz w:val="18"/>
                <w:szCs w:val="18"/>
              </w:rPr>
            </w:pPr>
            <w:r w:rsidRPr="0009110B">
              <w:rPr>
                <w:rFonts w:ascii="Times New Roman" w:eastAsia="TimesNewRomanPSMT" w:hAnsi="Times New Roman" w:cs="Times New Roman"/>
                <w:sz w:val="18"/>
                <w:szCs w:val="18"/>
              </w:rPr>
              <w:t>porozumieniami dotyczącymi zatrudnienia, bezpieczeństwa i higieny pracy, wypłaty odszkodowań z tytułu uszkodzenia ciała lub straty wynikające z nierównego traktowania i dyskryminacji pracowników.</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09B592"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1% /</w:t>
            </w:r>
          </w:p>
          <w:p w14:paraId="488765A0"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30 882,71</w:t>
            </w:r>
          </w:p>
        </w:tc>
        <w:tc>
          <w:tcPr>
            <w:tcW w:w="1202" w:type="dxa"/>
            <w:tcBorders>
              <w:top w:val="single" w:sz="4" w:space="0" w:color="auto"/>
              <w:left w:val="single" w:sz="4" w:space="0" w:color="auto"/>
              <w:bottom w:val="single" w:sz="4" w:space="0" w:color="auto"/>
              <w:right w:val="single" w:sz="4" w:space="0" w:color="auto"/>
            </w:tcBorders>
            <w:vAlign w:val="center"/>
            <w:hideMark/>
          </w:tcPr>
          <w:p w14:paraId="0D527ED3"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50% /</w:t>
            </w:r>
          </w:p>
          <w:p w14:paraId="30D81402"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15 441,36</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C8462C5"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0,00</w:t>
            </w:r>
          </w:p>
        </w:tc>
      </w:tr>
      <w:tr w:rsidR="00E8535A" w:rsidRPr="000E3272" w14:paraId="7A8C98EC" w14:textId="77777777" w:rsidTr="005C2765">
        <w:tc>
          <w:tcPr>
            <w:tcW w:w="568" w:type="dxa"/>
            <w:tcBorders>
              <w:top w:val="single" w:sz="4" w:space="0" w:color="auto"/>
              <w:left w:val="single" w:sz="4" w:space="0" w:color="auto"/>
              <w:bottom w:val="single" w:sz="4" w:space="0" w:color="auto"/>
              <w:right w:val="single" w:sz="4" w:space="0" w:color="auto"/>
            </w:tcBorders>
            <w:vAlign w:val="center"/>
            <w:hideMark/>
          </w:tcPr>
          <w:p w14:paraId="570D413E"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4</w:t>
            </w:r>
            <w:r>
              <w:rPr>
                <w:rFonts w:ascii="Times New Roman" w:eastAsia="Times New Roman" w:hAnsi="Times New Roman" w:cs="Times New Roman"/>
                <w:sz w:val="18"/>
                <w:szCs w:val="18"/>
                <w:lang w:eastAsia="pl-PL"/>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28CC316"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Klienci, produkty i</w:t>
            </w:r>
          </w:p>
          <w:p w14:paraId="5D24FB7B" w14:textId="77777777" w:rsidR="00E8535A" w:rsidRPr="0009110B" w:rsidRDefault="00E8535A" w:rsidP="00E8535A">
            <w:pPr>
              <w:spacing w:after="0" w:line="264" w:lineRule="auto"/>
              <w:jc w:val="center"/>
              <w:rPr>
                <w:rFonts w:ascii="Times New Roman" w:hAnsi="Times New Roman" w:cs="Times New Roman"/>
                <w:sz w:val="18"/>
                <w:szCs w:val="18"/>
              </w:rPr>
            </w:pPr>
            <w:r w:rsidRPr="0009110B">
              <w:rPr>
                <w:rFonts w:ascii="Times New Roman" w:eastAsia="TimesNewRomanPSMT" w:hAnsi="Times New Roman" w:cs="Times New Roman"/>
                <w:sz w:val="18"/>
                <w:szCs w:val="18"/>
              </w:rPr>
              <w:t>praktyki operacyjne</w:t>
            </w:r>
          </w:p>
        </w:tc>
        <w:tc>
          <w:tcPr>
            <w:tcW w:w="2955" w:type="dxa"/>
            <w:tcBorders>
              <w:top w:val="single" w:sz="4" w:space="0" w:color="auto"/>
              <w:left w:val="single" w:sz="4" w:space="0" w:color="auto"/>
              <w:bottom w:val="single" w:sz="4" w:space="0" w:color="auto"/>
              <w:right w:val="single" w:sz="4" w:space="0" w:color="auto"/>
            </w:tcBorders>
            <w:vAlign w:val="center"/>
            <w:hideMark/>
          </w:tcPr>
          <w:p w14:paraId="6ED08B60" w14:textId="77777777" w:rsidR="00E8535A" w:rsidRPr="0009110B"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09110B">
              <w:rPr>
                <w:rFonts w:ascii="Times New Roman" w:eastAsia="TimesNewRomanPSMT" w:hAnsi="Times New Roman" w:cs="Times New Roman"/>
                <w:sz w:val="18"/>
                <w:szCs w:val="18"/>
              </w:rPr>
              <w:t>Straty wynikające z nie wywiązania się z obowiązków zawodowych względem określonych klientów, będące skutkiem działań nieumyślnych lub zaniedbania (w</w:t>
            </w:r>
          </w:p>
          <w:p w14:paraId="517FDF14" w14:textId="77777777" w:rsidR="00E8535A" w:rsidRPr="0009110B" w:rsidRDefault="00E8535A" w:rsidP="00E8535A">
            <w:pPr>
              <w:autoSpaceDE w:val="0"/>
              <w:autoSpaceDN w:val="0"/>
              <w:adjustRightInd w:val="0"/>
              <w:spacing w:after="0" w:line="264" w:lineRule="auto"/>
              <w:jc w:val="center"/>
              <w:rPr>
                <w:rFonts w:ascii="Times New Roman" w:hAnsi="Times New Roman" w:cs="Times New Roman"/>
                <w:sz w:val="18"/>
                <w:szCs w:val="18"/>
              </w:rPr>
            </w:pPr>
            <w:r w:rsidRPr="0009110B">
              <w:rPr>
                <w:rFonts w:ascii="Times New Roman" w:eastAsia="TimesNewRomanPSMT" w:hAnsi="Times New Roman" w:cs="Times New Roman"/>
                <w:sz w:val="18"/>
                <w:szCs w:val="18"/>
              </w:rPr>
              <w:t xml:space="preserve">tym wymagań powierniczych i stosownego zachowania) lub też </w:t>
            </w:r>
            <w:r w:rsidRPr="0009110B">
              <w:rPr>
                <w:rFonts w:ascii="Times New Roman" w:eastAsia="TimesNewRomanPSMT" w:hAnsi="Times New Roman" w:cs="Times New Roman"/>
                <w:sz w:val="18"/>
                <w:szCs w:val="18"/>
              </w:rPr>
              <w:lastRenderedPageBreak/>
              <w:t>związane z charakterem bądź konstrukcją produktu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9DF030"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lastRenderedPageBreak/>
              <w:t>1% /</w:t>
            </w:r>
          </w:p>
          <w:p w14:paraId="131426D3"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30 882,71</w:t>
            </w:r>
          </w:p>
        </w:tc>
        <w:tc>
          <w:tcPr>
            <w:tcW w:w="1202" w:type="dxa"/>
            <w:tcBorders>
              <w:top w:val="single" w:sz="4" w:space="0" w:color="auto"/>
              <w:left w:val="single" w:sz="4" w:space="0" w:color="auto"/>
              <w:bottom w:val="single" w:sz="4" w:space="0" w:color="auto"/>
              <w:right w:val="single" w:sz="4" w:space="0" w:color="auto"/>
            </w:tcBorders>
            <w:vAlign w:val="center"/>
            <w:hideMark/>
          </w:tcPr>
          <w:p w14:paraId="072227C6"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50% /</w:t>
            </w:r>
          </w:p>
          <w:p w14:paraId="445C9678"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15 441,36</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F0554A2" w14:textId="77777777" w:rsidR="00E8535A" w:rsidRPr="0009110B"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09110B">
              <w:rPr>
                <w:rFonts w:ascii="Times New Roman" w:eastAsia="Times New Roman" w:hAnsi="Times New Roman" w:cs="Times New Roman"/>
                <w:sz w:val="18"/>
                <w:szCs w:val="18"/>
                <w:lang w:eastAsia="pl-PL"/>
              </w:rPr>
              <w:t>0,00</w:t>
            </w:r>
          </w:p>
        </w:tc>
      </w:tr>
      <w:tr w:rsidR="00E8535A" w:rsidRPr="000E3272" w14:paraId="5015EC9C" w14:textId="77777777" w:rsidTr="005C2765">
        <w:tc>
          <w:tcPr>
            <w:tcW w:w="568" w:type="dxa"/>
            <w:tcBorders>
              <w:top w:val="single" w:sz="4" w:space="0" w:color="auto"/>
              <w:left w:val="single" w:sz="4" w:space="0" w:color="auto"/>
              <w:bottom w:val="single" w:sz="4" w:space="0" w:color="auto"/>
              <w:right w:val="single" w:sz="4" w:space="0" w:color="auto"/>
            </w:tcBorders>
            <w:vAlign w:val="center"/>
            <w:hideMark/>
          </w:tcPr>
          <w:p w14:paraId="7ED3A046"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5</w:t>
            </w:r>
            <w:r>
              <w:rPr>
                <w:rFonts w:ascii="Times New Roman" w:eastAsia="Times New Roman" w:hAnsi="Times New Roman" w:cs="Times New Roman"/>
                <w:sz w:val="18"/>
                <w:szCs w:val="18"/>
                <w:lang w:eastAsia="pl-PL"/>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7B89817"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Szkody związane z</w:t>
            </w:r>
          </w:p>
          <w:p w14:paraId="1FAF6B2C"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aktywami</w:t>
            </w:r>
          </w:p>
          <w:p w14:paraId="27AF2F08"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rzeczowymi</w:t>
            </w:r>
          </w:p>
          <w:p w14:paraId="06AC1AA7" w14:textId="77777777" w:rsidR="00E8535A" w:rsidRPr="00FA2EC1" w:rsidRDefault="00E8535A" w:rsidP="00E8535A">
            <w:pPr>
              <w:spacing w:after="0" w:line="264" w:lineRule="auto"/>
              <w:jc w:val="center"/>
              <w:rPr>
                <w:rFonts w:ascii="Times New Roman" w:hAnsi="Times New Roman" w:cs="Times New Roman"/>
                <w:sz w:val="18"/>
                <w:szCs w:val="18"/>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13873CDB"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Straty powstałe na skutek straty lub</w:t>
            </w:r>
          </w:p>
          <w:p w14:paraId="46365C46"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szkody w aktywach rzeczowych w</w:t>
            </w:r>
          </w:p>
          <w:p w14:paraId="2E7EC48B"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wyniku klęski żywiołowej lub innych wydarzeń.</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46DD8A"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18%/</w:t>
            </w:r>
          </w:p>
          <w:p w14:paraId="49ADD731"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4555 888,78</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D254765"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10% /</w:t>
            </w:r>
          </w:p>
          <w:p w14:paraId="0A30CA4E"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55 588,88</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CCDD94C"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0,00</w:t>
            </w:r>
          </w:p>
        </w:tc>
      </w:tr>
      <w:tr w:rsidR="00E8535A" w:rsidRPr="000E3272" w14:paraId="5A08FB9E" w14:textId="77777777" w:rsidTr="005C2765">
        <w:tc>
          <w:tcPr>
            <w:tcW w:w="568" w:type="dxa"/>
            <w:tcBorders>
              <w:top w:val="single" w:sz="4" w:space="0" w:color="auto"/>
              <w:left w:val="single" w:sz="4" w:space="0" w:color="auto"/>
              <w:bottom w:val="single" w:sz="4" w:space="0" w:color="auto"/>
              <w:right w:val="single" w:sz="4" w:space="0" w:color="auto"/>
            </w:tcBorders>
            <w:vAlign w:val="center"/>
            <w:hideMark/>
          </w:tcPr>
          <w:p w14:paraId="7422F8C2"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6</w:t>
            </w:r>
            <w:r>
              <w:rPr>
                <w:rFonts w:ascii="Times New Roman" w:eastAsia="Times New Roman" w:hAnsi="Times New Roman" w:cs="Times New Roman"/>
                <w:sz w:val="18"/>
                <w:szCs w:val="18"/>
                <w:lang w:eastAsia="pl-PL"/>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CAE0D61"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Zakłócenia</w:t>
            </w:r>
          </w:p>
          <w:p w14:paraId="3C443973"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działalności banku</w:t>
            </w:r>
          </w:p>
          <w:p w14:paraId="205CCA52"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i awarie systemów</w:t>
            </w:r>
          </w:p>
          <w:p w14:paraId="22CA6197" w14:textId="77777777" w:rsidR="00E8535A" w:rsidRPr="00FA2EC1" w:rsidRDefault="00E8535A" w:rsidP="00E8535A">
            <w:pPr>
              <w:spacing w:after="0" w:line="264" w:lineRule="auto"/>
              <w:jc w:val="center"/>
              <w:rPr>
                <w:rFonts w:ascii="Times New Roman" w:hAnsi="Times New Roman" w:cs="Times New Roman"/>
                <w:sz w:val="18"/>
                <w:szCs w:val="18"/>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490EA15E"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Straty powstałe na skutek zakłóceń</w:t>
            </w:r>
          </w:p>
          <w:p w14:paraId="51515FE0"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działalności banku lub awarii</w:t>
            </w:r>
          </w:p>
          <w:p w14:paraId="39D7EE37"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systemów.</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DA85A7"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3% /</w:t>
            </w:r>
          </w:p>
          <w:p w14:paraId="7946310E"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92 648,13</w:t>
            </w:r>
          </w:p>
        </w:tc>
        <w:tc>
          <w:tcPr>
            <w:tcW w:w="1202" w:type="dxa"/>
            <w:tcBorders>
              <w:top w:val="single" w:sz="4" w:space="0" w:color="auto"/>
              <w:left w:val="single" w:sz="4" w:space="0" w:color="auto"/>
              <w:bottom w:val="single" w:sz="4" w:space="0" w:color="auto"/>
              <w:right w:val="single" w:sz="4" w:space="0" w:color="auto"/>
            </w:tcBorders>
            <w:vAlign w:val="center"/>
            <w:hideMark/>
          </w:tcPr>
          <w:p w14:paraId="14D4DAAD"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30% /</w:t>
            </w:r>
          </w:p>
          <w:p w14:paraId="44D5EA9A"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27 794,44</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D95E1EC"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0,00</w:t>
            </w:r>
          </w:p>
        </w:tc>
      </w:tr>
      <w:tr w:rsidR="00E8535A" w:rsidRPr="000E3272" w14:paraId="3230D256" w14:textId="77777777" w:rsidTr="005C2765">
        <w:tc>
          <w:tcPr>
            <w:tcW w:w="568" w:type="dxa"/>
            <w:tcBorders>
              <w:top w:val="single" w:sz="4" w:space="0" w:color="auto"/>
              <w:left w:val="single" w:sz="4" w:space="0" w:color="auto"/>
              <w:bottom w:val="single" w:sz="4" w:space="0" w:color="auto"/>
              <w:right w:val="single" w:sz="4" w:space="0" w:color="auto"/>
            </w:tcBorders>
            <w:vAlign w:val="center"/>
            <w:hideMark/>
          </w:tcPr>
          <w:p w14:paraId="25A9B0EB"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7</w:t>
            </w:r>
            <w:r>
              <w:rPr>
                <w:rFonts w:ascii="Times New Roman" w:eastAsia="Times New Roman" w:hAnsi="Times New Roman" w:cs="Times New Roman"/>
                <w:sz w:val="18"/>
                <w:szCs w:val="18"/>
                <w:lang w:eastAsia="pl-PL"/>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F4FD03"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Wykonanie</w:t>
            </w:r>
          </w:p>
          <w:p w14:paraId="469B4D88"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transakcji, dostawa</w:t>
            </w:r>
          </w:p>
          <w:p w14:paraId="4EFA348B"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i zarządzanie</w:t>
            </w:r>
          </w:p>
          <w:p w14:paraId="6FBEA60A"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procesami</w:t>
            </w:r>
          </w:p>
          <w:p w14:paraId="7FF4BCE6"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operacyjnymi</w:t>
            </w:r>
          </w:p>
          <w:p w14:paraId="6AFFB9B7"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F848C8D"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Straty powstałe na skutek</w:t>
            </w:r>
          </w:p>
          <w:p w14:paraId="4B10ECCA"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nieprawidłowego rozliczenia</w:t>
            </w:r>
          </w:p>
          <w:p w14:paraId="6358ED0E"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transakcji lub wadliwego</w:t>
            </w:r>
          </w:p>
          <w:p w14:paraId="658B0C99"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zarządzania procesami</w:t>
            </w:r>
          </w:p>
          <w:p w14:paraId="226F339C"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operacyjnymi oraz wynikłe ze</w:t>
            </w:r>
          </w:p>
          <w:p w14:paraId="1F1B9BF9"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stosunków z kontrahentami i</w:t>
            </w:r>
          </w:p>
          <w:p w14:paraId="013B710F" w14:textId="77777777" w:rsidR="00E8535A" w:rsidRPr="00FA2EC1" w:rsidRDefault="00E8535A" w:rsidP="00E8535A">
            <w:pPr>
              <w:autoSpaceDE w:val="0"/>
              <w:autoSpaceDN w:val="0"/>
              <w:adjustRightInd w:val="0"/>
              <w:spacing w:after="0" w:line="264" w:lineRule="auto"/>
              <w:jc w:val="center"/>
              <w:rPr>
                <w:rFonts w:ascii="Times New Roman" w:eastAsia="TimesNewRomanPSMT" w:hAnsi="Times New Roman" w:cs="Times New Roman"/>
                <w:sz w:val="18"/>
                <w:szCs w:val="18"/>
              </w:rPr>
            </w:pPr>
            <w:r w:rsidRPr="00FA2EC1">
              <w:rPr>
                <w:rFonts w:ascii="Times New Roman" w:eastAsia="TimesNewRomanPSMT" w:hAnsi="Times New Roman" w:cs="Times New Roman"/>
                <w:sz w:val="18"/>
                <w:szCs w:val="18"/>
              </w:rPr>
              <w:t>sprzedawcami.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6CF881"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3% /</w:t>
            </w:r>
          </w:p>
          <w:p w14:paraId="4F866593"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92 648,13</w:t>
            </w:r>
          </w:p>
        </w:tc>
        <w:tc>
          <w:tcPr>
            <w:tcW w:w="1202" w:type="dxa"/>
            <w:tcBorders>
              <w:top w:val="single" w:sz="4" w:space="0" w:color="auto"/>
              <w:left w:val="single" w:sz="4" w:space="0" w:color="auto"/>
              <w:bottom w:val="single" w:sz="4" w:space="0" w:color="auto"/>
              <w:right w:val="single" w:sz="4" w:space="0" w:color="auto"/>
            </w:tcBorders>
            <w:vAlign w:val="center"/>
            <w:hideMark/>
          </w:tcPr>
          <w:p w14:paraId="71F38F3E"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30% /</w:t>
            </w:r>
          </w:p>
          <w:p w14:paraId="27CB2B5F"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27 794,44</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84B9A14"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18"/>
                <w:szCs w:val="18"/>
                <w:lang w:eastAsia="pl-PL"/>
              </w:rPr>
            </w:pPr>
          </w:p>
          <w:p w14:paraId="4762BE71" w14:textId="77777777" w:rsidR="00E8535A" w:rsidRPr="00FA2EC1" w:rsidRDefault="00E8535A" w:rsidP="00E8535A">
            <w:pPr>
              <w:spacing w:before="100" w:beforeAutospacing="1" w:after="0" w:line="264" w:lineRule="auto"/>
              <w:jc w:val="center"/>
              <w:rPr>
                <w:rFonts w:ascii="Times New Roman" w:eastAsia="Times New Roman" w:hAnsi="Times New Roman" w:cs="Times New Roman"/>
                <w:sz w:val="24"/>
                <w:szCs w:val="24"/>
                <w:lang w:eastAsia="pl-PL"/>
              </w:rPr>
            </w:pPr>
            <w:r w:rsidRPr="00FA2EC1">
              <w:rPr>
                <w:rFonts w:ascii="Times New Roman" w:eastAsia="Times New Roman" w:hAnsi="Times New Roman" w:cs="Times New Roman"/>
                <w:sz w:val="18"/>
                <w:szCs w:val="18"/>
                <w:lang w:eastAsia="pl-PL"/>
              </w:rPr>
              <w:t>180</w:t>
            </w:r>
          </w:p>
        </w:tc>
      </w:tr>
      <w:tr w:rsidR="00E8535A" w:rsidRPr="000E3272" w14:paraId="31D2F3C8" w14:textId="77777777" w:rsidTr="005C2765">
        <w:tc>
          <w:tcPr>
            <w:tcW w:w="4993" w:type="dxa"/>
            <w:gridSpan w:val="3"/>
            <w:tcBorders>
              <w:top w:val="single" w:sz="4" w:space="0" w:color="auto"/>
              <w:left w:val="single" w:sz="4" w:space="0" w:color="auto"/>
              <w:bottom w:val="single" w:sz="4" w:space="0" w:color="auto"/>
              <w:right w:val="single" w:sz="4" w:space="0" w:color="auto"/>
            </w:tcBorders>
            <w:vAlign w:val="center"/>
            <w:hideMark/>
          </w:tcPr>
          <w:p w14:paraId="16020C8E" w14:textId="77777777" w:rsidR="00E8535A" w:rsidRPr="006E1346" w:rsidRDefault="00E8535A" w:rsidP="00E8535A">
            <w:pPr>
              <w:autoSpaceDE w:val="0"/>
              <w:autoSpaceDN w:val="0"/>
              <w:adjustRightInd w:val="0"/>
              <w:spacing w:before="100" w:beforeAutospacing="1" w:after="0" w:line="264" w:lineRule="auto"/>
              <w:jc w:val="center"/>
              <w:rPr>
                <w:rFonts w:ascii="Times New Roman" w:eastAsia="Times New Roman" w:hAnsi="Times New Roman" w:cs="Times New Roman"/>
                <w:b/>
                <w:sz w:val="24"/>
                <w:szCs w:val="24"/>
                <w:lang w:eastAsia="pl-PL"/>
              </w:rPr>
            </w:pPr>
            <w:r w:rsidRPr="006E1346">
              <w:rPr>
                <w:rFonts w:ascii="Times New Roman" w:eastAsia="Times New Roman" w:hAnsi="Times New Roman" w:cs="Times New Roman"/>
                <w:b/>
                <w:sz w:val="18"/>
                <w:szCs w:val="18"/>
                <w:lang w:eastAsia="pl-PL"/>
              </w:rPr>
              <w:t>Razem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7A858DC" w14:textId="77777777" w:rsidR="00E8535A" w:rsidRPr="006E1346" w:rsidRDefault="00E8535A" w:rsidP="00E8535A">
            <w:pPr>
              <w:spacing w:before="100" w:beforeAutospacing="1" w:after="0" w:line="264" w:lineRule="auto"/>
              <w:jc w:val="center"/>
              <w:rPr>
                <w:rFonts w:ascii="Times New Roman" w:eastAsia="Times New Roman" w:hAnsi="Times New Roman" w:cs="Times New Roman"/>
                <w:b/>
                <w:sz w:val="24"/>
                <w:szCs w:val="24"/>
                <w:lang w:eastAsia="pl-PL"/>
              </w:rPr>
            </w:pPr>
            <w:r w:rsidRPr="006E1346">
              <w:rPr>
                <w:rFonts w:ascii="Times New Roman" w:eastAsia="Times New Roman" w:hAnsi="Times New Roman" w:cs="Times New Roman"/>
                <w:b/>
                <w:sz w:val="18"/>
                <w:szCs w:val="18"/>
                <w:lang w:eastAsia="pl-PL"/>
              </w:rPr>
              <w:t>926 481,30</w:t>
            </w:r>
          </w:p>
        </w:tc>
        <w:tc>
          <w:tcPr>
            <w:tcW w:w="1202" w:type="dxa"/>
            <w:tcBorders>
              <w:top w:val="single" w:sz="4" w:space="0" w:color="auto"/>
              <w:left w:val="single" w:sz="4" w:space="0" w:color="auto"/>
              <w:bottom w:val="single" w:sz="4" w:space="0" w:color="auto"/>
              <w:right w:val="single" w:sz="4" w:space="0" w:color="auto"/>
            </w:tcBorders>
            <w:vAlign w:val="center"/>
            <w:hideMark/>
          </w:tcPr>
          <w:p w14:paraId="4065CF61" w14:textId="77777777" w:rsidR="00E8535A" w:rsidRPr="006E1346" w:rsidRDefault="00E8535A" w:rsidP="00E8535A">
            <w:pPr>
              <w:spacing w:before="100" w:beforeAutospacing="1" w:after="0" w:line="264" w:lineRule="auto"/>
              <w:jc w:val="center"/>
              <w:rPr>
                <w:rFonts w:ascii="Times New Roman" w:eastAsia="Times New Roman" w:hAnsi="Times New Roman" w:cs="Times New Roman"/>
                <w:b/>
                <w:sz w:val="24"/>
                <w:szCs w:val="24"/>
                <w:lang w:eastAsia="pl-PL"/>
              </w:rPr>
            </w:pPr>
            <w:r w:rsidRPr="006E1346">
              <w:rPr>
                <w:rFonts w:ascii="Times New Roman" w:eastAsia="Times New Roman" w:hAnsi="Times New Roman" w:cs="Times New Roman"/>
                <w:b/>
                <w:sz w:val="18"/>
                <w:szCs w:val="18"/>
                <w:lang w:eastAsia="pl-PL"/>
              </w:rPr>
              <w:t>142 060,47</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CD1A5D1" w14:textId="77777777" w:rsidR="00E8535A" w:rsidRPr="006E1346" w:rsidRDefault="00E8535A" w:rsidP="00E8535A">
            <w:pPr>
              <w:spacing w:before="100" w:beforeAutospacing="1" w:after="0" w:line="264" w:lineRule="auto"/>
              <w:jc w:val="center"/>
              <w:rPr>
                <w:rFonts w:ascii="Times New Roman" w:eastAsia="Times New Roman" w:hAnsi="Times New Roman" w:cs="Times New Roman"/>
                <w:b/>
                <w:sz w:val="24"/>
                <w:szCs w:val="24"/>
                <w:lang w:eastAsia="pl-PL"/>
              </w:rPr>
            </w:pPr>
            <w:r w:rsidRPr="006E1346">
              <w:rPr>
                <w:rFonts w:ascii="Times New Roman" w:eastAsia="Times New Roman" w:hAnsi="Times New Roman" w:cs="Times New Roman"/>
                <w:b/>
                <w:sz w:val="18"/>
                <w:szCs w:val="18"/>
                <w:lang w:eastAsia="pl-PL"/>
              </w:rPr>
              <w:t>50 129,66</w:t>
            </w:r>
          </w:p>
        </w:tc>
      </w:tr>
    </w:tbl>
    <w:p w14:paraId="04DF039F" w14:textId="77777777" w:rsidR="00E8535A" w:rsidRPr="00E8535A" w:rsidRDefault="00E8535A" w:rsidP="00E8535A">
      <w:pPr>
        <w:spacing w:before="100" w:beforeAutospacing="1" w:after="0" w:line="264"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 xml:space="preserve">Całkowity limit tolerancji w ramach apetytu na ryzyko operacyjne w 2020 roku nie został przekroczony. Przekroczono natomiast wartość tolerancji w ramach apetytu dla zdarzeń operacyjnych –w grupie </w:t>
      </w:r>
      <w:r w:rsidRPr="00E8535A">
        <w:rPr>
          <w:rFonts w:ascii="Times New Roman" w:eastAsia="Times New Roman" w:hAnsi="Times New Roman" w:cs="Times New Roman"/>
          <w:i/>
          <w:sz w:val="24"/>
          <w:szCs w:val="24"/>
          <w:lang w:eastAsia="pl-PL"/>
        </w:rPr>
        <w:t>oszustwa zewnętrzne</w:t>
      </w:r>
      <w:r w:rsidRPr="00E8535A">
        <w:rPr>
          <w:rFonts w:ascii="Times New Roman" w:eastAsia="Times New Roman" w:hAnsi="Times New Roman" w:cs="Times New Roman"/>
          <w:sz w:val="24"/>
          <w:szCs w:val="24"/>
          <w:lang w:eastAsia="pl-PL"/>
        </w:rPr>
        <w:t xml:space="preserve"> o kwotę 49 959,66 zł.</w:t>
      </w:r>
    </w:p>
    <w:p w14:paraId="7A9A9492" w14:textId="77777777" w:rsidR="00E8535A" w:rsidRPr="00E8535A" w:rsidRDefault="00E8535A" w:rsidP="00E8535A">
      <w:pPr>
        <w:spacing w:before="100" w:beforeAutospacing="1" w:after="0" w:line="264"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W Banku został wyznaczony minimalny próg straty w wysokości 100 PLN w zakresie ewidencji i raportowania rzeczywistych zdarzeń operacyjnych dla wszystkich kategorii ryzyka operacyjnego, z wyłączeniem zdarzeń zaklasyfikowanych do kategorii:</w:t>
      </w:r>
    </w:p>
    <w:p w14:paraId="17428C85"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1) oszustwa wewnętrzne;</w:t>
      </w:r>
    </w:p>
    <w:p w14:paraId="6F1577F2"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2) oszustwa zewnętrzne;</w:t>
      </w:r>
    </w:p>
    <w:p w14:paraId="25A77082"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3) zasady dotyczące zatrudniania dla:</w:t>
      </w:r>
    </w:p>
    <w:p w14:paraId="2393ECCA"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a) absencja kluczowych pracowników;</w:t>
      </w:r>
    </w:p>
    <w:p w14:paraId="7CEFD8BF"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b) bezpieczeństwo środowiska pracy;</w:t>
      </w:r>
    </w:p>
    <w:p w14:paraId="185B0FA6"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4) klienci, produkty i praktyki operacyjne:</w:t>
      </w:r>
    </w:p>
    <w:p w14:paraId="78741B4F"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a) nieautoryzowane wykorzystanie informacji poufnej;</w:t>
      </w:r>
    </w:p>
    <w:p w14:paraId="194894E5"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b) niedopasowanie, nieprzestrzeganie regulacji prawnych;</w:t>
      </w:r>
    </w:p>
    <w:p w14:paraId="1084DDF3"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c) działania przy użyciu informacji poufnych (na rachunek Banku);</w:t>
      </w:r>
    </w:p>
    <w:p w14:paraId="54437510"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d) pranie pieniędzy.</w:t>
      </w:r>
    </w:p>
    <w:p w14:paraId="3AEED316"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 xml:space="preserve">5) wykonywanie transakcji, dostawa oraz zarządzanie procesami operacyjnymi – uniemożliwienie kontroli, </w:t>
      </w:r>
    </w:p>
    <w:p w14:paraId="7724B886" w14:textId="77777777" w:rsidR="00E8535A" w:rsidRPr="00E8535A" w:rsidRDefault="00E8535A" w:rsidP="00E8535A">
      <w:pPr>
        <w:autoSpaceDE w:val="0"/>
        <w:autoSpaceDN w:val="0"/>
        <w:adjustRightInd w:val="0"/>
        <w:spacing w:after="0" w:line="264"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które podlegają obowiązkowi ewidencji niezależnie od kwoty skutku finansowego.</w:t>
      </w:r>
    </w:p>
    <w:p w14:paraId="56C7DC19" w14:textId="77777777" w:rsidR="00E8535A" w:rsidRPr="00E8535A" w:rsidRDefault="00E8535A" w:rsidP="00E8535A">
      <w:pPr>
        <w:spacing w:before="100" w:beforeAutospacing="1" w:after="0" w:line="264" w:lineRule="auto"/>
        <w:jc w:val="both"/>
        <w:rPr>
          <w:rFonts w:ascii="Times New Roman" w:eastAsia="Times New Roman" w:hAnsi="Times New Roman" w:cs="Times New Roman"/>
          <w:color w:val="FF0000"/>
          <w:sz w:val="24"/>
          <w:szCs w:val="24"/>
          <w:lang w:eastAsia="pl-PL"/>
        </w:rPr>
      </w:pPr>
      <w:r w:rsidRPr="00E8535A">
        <w:rPr>
          <w:rFonts w:ascii="Times New Roman" w:eastAsia="Times New Roman" w:hAnsi="Times New Roman" w:cs="Times New Roman"/>
          <w:color w:val="FF0000"/>
          <w:sz w:val="24"/>
          <w:szCs w:val="24"/>
          <w:lang w:eastAsia="pl-PL"/>
        </w:rPr>
        <w:t> </w:t>
      </w:r>
      <w:r w:rsidRPr="00E8535A">
        <w:rPr>
          <w:rFonts w:ascii="Times New Roman" w:eastAsia="Times New Roman" w:hAnsi="Times New Roman" w:cs="Times New Roman"/>
          <w:color w:val="FF0000"/>
          <w:sz w:val="24"/>
          <w:szCs w:val="24"/>
          <w:lang w:eastAsia="pl-PL"/>
        </w:rPr>
        <w:tab/>
      </w:r>
      <w:r w:rsidRPr="00E8535A">
        <w:rPr>
          <w:rFonts w:ascii="Times New Roman" w:eastAsia="Times New Roman" w:hAnsi="Times New Roman" w:cs="Times New Roman"/>
          <w:sz w:val="24"/>
          <w:szCs w:val="24"/>
          <w:lang w:eastAsia="pl-PL"/>
        </w:rPr>
        <w:t xml:space="preserve">W celu efektywnego monitorowania zmian w bieżącym profilu i poziomie ryzyka operacyjnego Bank wyznaczył zestaw kluczowych wskaźników ryzyka (KRI). Są to miary ilościowe, które dedykowane są do pomiaru i obserwacji (monitoringu) zmian w poziomie (profilu) ryzyka operacyjnego. KRI, ze swojego założenia, wskazują wyprzedzająco obszary,       w których może nastąpić eskalacja poziomu ryzyka operacyjnego. </w:t>
      </w:r>
    </w:p>
    <w:p w14:paraId="4C5388D1" w14:textId="77777777" w:rsidR="00E8535A" w:rsidRPr="00E8535A" w:rsidRDefault="00E8535A" w:rsidP="00E8535A">
      <w:pPr>
        <w:spacing w:before="100" w:beforeAutospacing="1" w:after="0" w:line="264"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lastRenderedPageBreak/>
        <w:t>Na podstawie Instrukcji pomiaru i monitorowania kluczowych wskaźników ryzyka, Bank wyznaczył zbiór KRI i ich poziomy referencyjne. Bank wyznaczył KRI dla poszczególnych obszarów ryzyka operacyjnego:</w:t>
      </w:r>
    </w:p>
    <w:p w14:paraId="3BB49CAF" w14:textId="77777777" w:rsidR="00E8535A" w:rsidRPr="00E8535A" w:rsidRDefault="00E8535A" w:rsidP="00E8535A">
      <w:pPr>
        <w:autoSpaceDE w:val="0"/>
        <w:autoSpaceDN w:val="0"/>
        <w:adjustRightInd w:val="0"/>
        <w:spacing w:after="0" w:line="264" w:lineRule="auto"/>
        <w:ind w:firstLine="426"/>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1) kadr;</w:t>
      </w:r>
    </w:p>
    <w:p w14:paraId="1AEBA87D" w14:textId="77777777" w:rsidR="00E8535A" w:rsidRPr="00E8535A" w:rsidRDefault="00E8535A" w:rsidP="00E8535A">
      <w:pPr>
        <w:autoSpaceDE w:val="0"/>
        <w:autoSpaceDN w:val="0"/>
        <w:adjustRightInd w:val="0"/>
        <w:spacing w:after="0" w:line="264" w:lineRule="auto"/>
        <w:ind w:firstLine="426"/>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2) procesów i systemów;</w:t>
      </w:r>
    </w:p>
    <w:p w14:paraId="5DAB7EC0" w14:textId="77777777" w:rsidR="00E8535A" w:rsidRPr="00E8535A" w:rsidRDefault="00E8535A" w:rsidP="00E8535A">
      <w:pPr>
        <w:autoSpaceDE w:val="0"/>
        <w:autoSpaceDN w:val="0"/>
        <w:adjustRightInd w:val="0"/>
        <w:spacing w:after="0" w:line="264" w:lineRule="auto"/>
        <w:ind w:firstLine="426"/>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3) zdarzeń zewnętrznych;</w:t>
      </w:r>
    </w:p>
    <w:p w14:paraId="172A868F" w14:textId="77777777" w:rsidR="00E8535A" w:rsidRPr="00E8535A" w:rsidRDefault="00E8535A" w:rsidP="00E8535A">
      <w:pPr>
        <w:spacing w:after="0" w:line="264" w:lineRule="auto"/>
        <w:ind w:firstLine="426"/>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4) zlecania czynności na zewnątrz.</w:t>
      </w:r>
    </w:p>
    <w:p w14:paraId="5578EA9F"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W określeniu profilu ryzyka Banku uwzględniane są informacje z bazy zdarzeń operacyjnych (m. in. rodzaje zdarzeń operacyjnych, czynniki występ</w:t>
      </w:r>
      <w:r>
        <w:rPr>
          <w:rFonts w:ascii="Times New Roman" w:eastAsia="Times New Roman" w:hAnsi="Times New Roman" w:cs="Times New Roman"/>
          <w:sz w:val="24"/>
          <w:szCs w:val="24"/>
          <w:lang w:eastAsia="pl-PL"/>
        </w:rPr>
        <w:t>owania, częstotliwość</w:t>
      </w:r>
      <w:r w:rsidRPr="00E8535A">
        <w:rPr>
          <w:rFonts w:ascii="Times New Roman" w:eastAsia="Times New Roman" w:hAnsi="Times New Roman" w:cs="Times New Roman"/>
          <w:sz w:val="24"/>
          <w:szCs w:val="24"/>
          <w:lang w:eastAsia="pl-PL"/>
        </w:rPr>
        <w:t xml:space="preserve"> i dotkliwość zdarzeń operacyjnych, rodzaje linii biznesowych), Kluczowe Wskaźniki Ryzyka (KRI) oraz wyniki procesu samooceny ryzyka i kontroli. Sporządzana jest mapa ryzyka operacyjnego Banku, która odzwierciedla aktualny profil ryzyka Banku.</w:t>
      </w:r>
    </w:p>
    <w:p w14:paraId="1ACDCB54"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Docelowy profil ryzyka operacyjnego w Banku powinien kształtować się następująco:</w:t>
      </w:r>
    </w:p>
    <w:p w14:paraId="63FE08C4" w14:textId="77777777" w:rsidR="00E8535A" w:rsidRPr="00E8535A" w:rsidRDefault="00E8535A" w:rsidP="00E8535A">
      <w:pPr>
        <w:autoSpaceDE w:val="0"/>
        <w:autoSpaceDN w:val="0"/>
        <w:adjustRightInd w:val="0"/>
        <w:spacing w:after="0" w:line="276" w:lineRule="auto"/>
        <w:ind w:left="709" w:hanging="283"/>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1) straty finansowe z tytułu ryzyka operacyjnego nieprzekraczające przyjętych wartości progowych tolerancji na ryzyko operacyjne,</w:t>
      </w:r>
    </w:p>
    <w:p w14:paraId="23A32A56" w14:textId="77777777" w:rsidR="00E8535A" w:rsidRPr="00E8535A" w:rsidRDefault="00E8535A" w:rsidP="00E8535A">
      <w:pPr>
        <w:autoSpaceDE w:val="0"/>
        <w:autoSpaceDN w:val="0"/>
        <w:adjustRightInd w:val="0"/>
        <w:spacing w:after="0" w:line="276" w:lineRule="auto"/>
        <w:ind w:left="709" w:hanging="283"/>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2) wartości monitorowanych Kluczowych Wskaźników Ryzyka Operacyjnego (KRI) na poziomie akceptowalnym.</w:t>
      </w:r>
    </w:p>
    <w:p w14:paraId="459BE4A2" w14:textId="77777777" w:rsidR="00E8535A" w:rsidRPr="00E8535A" w:rsidRDefault="00E8535A" w:rsidP="00E8535A">
      <w:pPr>
        <w:spacing w:after="0" w:line="276" w:lineRule="auto"/>
        <w:jc w:val="both"/>
        <w:rPr>
          <w:rFonts w:ascii="Times New Roman" w:eastAsia="Times New Roman" w:hAnsi="Times New Roman" w:cs="Times New Roman"/>
          <w:color w:val="FF0000"/>
          <w:sz w:val="24"/>
          <w:szCs w:val="24"/>
          <w:lang w:eastAsia="pl-PL"/>
        </w:rPr>
      </w:pPr>
      <w:r w:rsidRPr="00E8535A">
        <w:rPr>
          <w:rFonts w:ascii="Times New Roman" w:eastAsia="Times New Roman" w:hAnsi="Times New Roman" w:cs="Times New Roman"/>
          <w:color w:val="FF0000"/>
          <w:sz w:val="24"/>
          <w:szCs w:val="24"/>
          <w:lang w:eastAsia="pl-PL"/>
        </w:rPr>
        <w:t> </w:t>
      </w:r>
    </w:p>
    <w:p w14:paraId="089EE7F5" w14:textId="77777777" w:rsidR="00E8535A" w:rsidRPr="00E8535A" w:rsidRDefault="00E8535A" w:rsidP="00E8535A">
      <w:pPr>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 xml:space="preserve">Na podstawie analizy zapisów rejestru incydentów i strat operacyjnych oraz KRI można stwierdzić, iż na datę badania straty finansowe z tytułu ryzyka operacyjnego nie przekroczyły przyjętych wartości progowych apetytu Banku  na ryzyko, a wskaźniki KRI kształtowały się na poziomie akceptowalnym. Bieżący profil ryzyka operacyjnego kształtuje się na niskim poziomie i jest zgodny z docelowym profilem ryzyka operacyjnego, określonym przez Radę Nadzorczą w Strategii zarządzania ryzykiem operacyjnym. </w:t>
      </w:r>
    </w:p>
    <w:p w14:paraId="533551F5" w14:textId="77777777" w:rsidR="00E8535A" w:rsidRPr="00E8535A" w:rsidRDefault="00E8535A" w:rsidP="00E8535A">
      <w:pPr>
        <w:spacing w:after="0" w:line="276" w:lineRule="auto"/>
        <w:rPr>
          <w:rFonts w:ascii="Times New Roman" w:eastAsia="Times New Roman" w:hAnsi="Times New Roman" w:cs="Times New Roman"/>
          <w:color w:val="FF0000"/>
          <w:sz w:val="24"/>
          <w:szCs w:val="24"/>
          <w:lang w:eastAsia="pl-PL"/>
        </w:rPr>
      </w:pPr>
      <w:r w:rsidRPr="00E8535A">
        <w:rPr>
          <w:rFonts w:ascii="Times New Roman" w:eastAsia="Times New Roman" w:hAnsi="Times New Roman" w:cs="Times New Roman"/>
          <w:color w:val="FF0000"/>
          <w:sz w:val="24"/>
          <w:szCs w:val="24"/>
          <w:lang w:eastAsia="pl-PL"/>
        </w:rPr>
        <w:t> </w:t>
      </w:r>
    </w:p>
    <w:p w14:paraId="3F96076F"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Cele strategiczne w zakresie zarządzania ryzykiem operacyjnym to:</w:t>
      </w:r>
    </w:p>
    <w:p w14:paraId="79A80895" w14:textId="77777777" w:rsidR="00E8535A" w:rsidRPr="00E8535A" w:rsidRDefault="00E8535A" w:rsidP="00E8535A">
      <w:pPr>
        <w:autoSpaceDE w:val="0"/>
        <w:autoSpaceDN w:val="0"/>
        <w:adjustRightInd w:val="0"/>
        <w:spacing w:after="0" w:line="276" w:lineRule="auto"/>
        <w:ind w:left="709" w:hanging="283"/>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1. Ograniczenie możliwości wystąpienia nieoczekiwanych strat z tytułu zdarzeń ryzyka operacyjnego poprzez wdrożenie skutecznego i adekwatnego do aktualnego profilu ryzyka procesu zarządzania ryzykiem operacyjnym, budowę świadomości pracowników poprzez odpowiednie szkolenia i działania zarządcze, a także poprzez wdrożenie skutecznego systemu monitorowania ryzyka i kontroli wewnętrznej.</w:t>
      </w:r>
    </w:p>
    <w:p w14:paraId="3E5E4579" w14:textId="77777777" w:rsidR="00E8535A" w:rsidRPr="00E8535A" w:rsidRDefault="00E8535A" w:rsidP="00E8535A">
      <w:pPr>
        <w:autoSpaceDE w:val="0"/>
        <w:autoSpaceDN w:val="0"/>
        <w:adjustRightInd w:val="0"/>
        <w:spacing w:after="0" w:line="276" w:lineRule="auto"/>
        <w:ind w:left="709" w:hanging="283"/>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2. W zakresie części ryzyka operacyjnego obejmującego ryzyko prawne i ryzyko braku zgodności celem jest stałe dążenie do minimalizowania skutków nieprzestrzegania zewnętrznych i wewnętrznych regulacji prawnych, a także właściwą ochronę interesów Banku poprzez stałe aktualizowanie/dostosowywanie procedur bankowych, kontrolę ich przestrzegania, wsparcie informatyczne, szkolenia, a także korzystanie z</w:t>
      </w:r>
      <w:r>
        <w:rPr>
          <w:rFonts w:ascii="Times New Roman" w:eastAsia="Times New Roman" w:hAnsi="Times New Roman" w:cs="Times New Roman"/>
          <w:sz w:val="24"/>
          <w:szCs w:val="24"/>
          <w:lang w:eastAsia="pl-PL"/>
        </w:rPr>
        <w:t> </w:t>
      </w:r>
      <w:r w:rsidRPr="00E8535A">
        <w:rPr>
          <w:rFonts w:ascii="Times New Roman" w:eastAsia="Times New Roman" w:hAnsi="Times New Roman" w:cs="Times New Roman"/>
          <w:sz w:val="24"/>
          <w:szCs w:val="24"/>
          <w:lang w:eastAsia="pl-PL"/>
        </w:rPr>
        <w:t>zewnętrznego wsparcia prawnego.</w:t>
      </w:r>
    </w:p>
    <w:p w14:paraId="419C0AD9" w14:textId="77777777" w:rsidR="00E8535A" w:rsidRPr="00E8535A" w:rsidRDefault="00E8535A" w:rsidP="00E8535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E8535A">
        <w:rPr>
          <w:rFonts w:ascii="Times New Roman" w:eastAsia="Times New Roman" w:hAnsi="Times New Roman" w:cs="Times New Roman"/>
          <w:sz w:val="24"/>
          <w:szCs w:val="24"/>
          <w:lang w:eastAsia="pl-PL"/>
        </w:rPr>
        <w:t>Na dzień 31.12.2020 r. cele strategiczne zostały osiągnięte.</w:t>
      </w:r>
    </w:p>
    <w:p w14:paraId="1A590325" w14:textId="77777777" w:rsidR="003748E2" w:rsidRPr="00FD5A26" w:rsidRDefault="00D81BC9" w:rsidP="00A2151F">
      <w:pPr>
        <w:pStyle w:val="Nagwek1"/>
        <w:numPr>
          <w:ilvl w:val="0"/>
          <w:numId w:val="27"/>
        </w:numPr>
        <w:rPr>
          <w:rFonts w:ascii="Times New Roman" w:hAnsi="Times New Roman" w:cs="Times New Roman"/>
          <w:b/>
          <w:color w:val="auto"/>
          <w:sz w:val="24"/>
          <w:szCs w:val="24"/>
        </w:rPr>
      </w:pPr>
      <w:r w:rsidRPr="00FD5A26">
        <w:rPr>
          <w:rFonts w:ascii="Times New Roman" w:hAnsi="Times New Roman" w:cs="Times New Roman"/>
          <w:b/>
          <w:color w:val="auto"/>
          <w:sz w:val="24"/>
          <w:szCs w:val="24"/>
        </w:rPr>
        <w:t>RYZYKO BRAKU ZGODNOŚCI</w:t>
      </w:r>
      <w:bookmarkEnd w:id="28"/>
      <w:r w:rsidRPr="00FD5A26">
        <w:rPr>
          <w:rFonts w:ascii="Times New Roman" w:hAnsi="Times New Roman" w:cs="Times New Roman"/>
          <w:b/>
          <w:color w:val="auto"/>
          <w:sz w:val="24"/>
          <w:szCs w:val="24"/>
        </w:rPr>
        <w:t xml:space="preserve"> </w:t>
      </w:r>
    </w:p>
    <w:p w14:paraId="63DA73E3" w14:textId="77777777" w:rsidR="001E125A" w:rsidRPr="00FD5A26" w:rsidRDefault="001E125A" w:rsidP="00174CA0">
      <w:pPr>
        <w:pStyle w:val="Tekstkomentarza"/>
        <w:spacing w:before="0" w:after="0" w:line="264" w:lineRule="auto"/>
        <w:rPr>
          <w:b/>
          <w:caps/>
          <w:szCs w:val="24"/>
          <w:lang w:val="pl-PL"/>
        </w:rPr>
      </w:pPr>
    </w:p>
    <w:p w14:paraId="4E9CB650" w14:textId="77777777" w:rsidR="003748E2" w:rsidRPr="007B60B7" w:rsidRDefault="003748E2" w:rsidP="001E125A">
      <w:pPr>
        <w:pStyle w:val="Tekstkomentarza"/>
        <w:spacing w:before="0" w:after="0" w:line="264" w:lineRule="auto"/>
        <w:ind w:firstLine="708"/>
        <w:rPr>
          <w:szCs w:val="24"/>
          <w:lang w:val="pl-PL"/>
        </w:rPr>
      </w:pPr>
      <w:r w:rsidRPr="00FD5A26">
        <w:rPr>
          <w:szCs w:val="24"/>
          <w:lang w:val="pl-PL"/>
        </w:rPr>
        <w:t xml:space="preserve"> Zarządzanie ryzykiem braku zgodności prowadzone jest w oparciu o </w:t>
      </w:r>
      <w:r w:rsidRPr="00FD5A26">
        <w:rPr>
          <w:szCs w:val="24"/>
        </w:rPr>
        <w:t xml:space="preserve">Politykę </w:t>
      </w:r>
      <w:r w:rsidRPr="00FD5A26">
        <w:rPr>
          <w:szCs w:val="24"/>
        </w:rPr>
        <w:lastRenderedPageBreak/>
        <w:t>zgodności</w:t>
      </w:r>
      <w:r w:rsidR="00C41611" w:rsidRPr="00FD5A26">
        <w:rPr>
          <w:szCs w:val="24"/>
          <w:lang w:val="pl-PL"/>
        </w:rPr>
        <w:t xml:space="preserve">, </w:t>
      </w:r>
      <w:r w:rsidR="002B3C20" w:rsidRPr="00FD5A26">
        <w:rPr>
          <w:szCs w:val="24"/>
          <w:lang w:val="pl-PL"/>
        </w:rPr>
        <w:t xml:space="preserve">Instrukcję zarządzania ryzykiem braku zgodności oraz </w:t>
      </w:r>
      <w:r w:rsidR="00557FA6" w:rsidRPr="00FD5A26">
        <w:rPr>
          <w:szCs w:val="24"/>
          <w:lang w:val="pl-PL"/>
        </w:rPr>
        <w:t>R</w:t>
      </w:r>
      <w:r w:rsidR="00C41611" w:rsidRPr="00FD5A26">
        <w:rPr>
          <w:szCs w:val="24"/>
          <w:lang w:val="pl-PL"/>
        </w:rPr>
        <w:t xml:space="preserve">egulamin funkcjonowania </w:t>
      </w:r>
      <w:r w:rsidR="002B3C20" w:rsidRPr="00FD5A26">
        <w:rPr>
          <w:szCs w:val="24"/>
          <w:lang w:val="pl-PL"/>
        </w:rPr>
        <w:t>Zespołu Zarządzania Zgodnością</w:t>
      </w:r>
      <w:r w:rsidR="003C47AF" w:rsidRPr="00FD5A26">
        <w:rPr>
          <w:szCs w:val="24"/>
          <w:lang w:val="pl-PL"/>
        </w:rPr>
        <w:t>.</w:t>
      </w:r>
      <w:r w:rsidRPr="007B60B7">
        <w:rPr>
          <w:szCs w:val="24"/>
          <w:lang w:val="pl-PL"/>
        </w:rPr>
        <w:t xml:space="preserve"> </w:t>
      </w:r>
    </w:p>
    <w:p w14:paraId="6D0AF5A6" w14:textId="77777777" w:rsidR="00C41611" w:rsidRPr="000E3272" w:rsidRDefault="00C41611" w:rsidP="00174CA0">
      <w:pPr>
        <w:pStyle w:val="Tekstkomentarza"/>
        <w:spacing w:before="0" w:after="0" w:line="264" w:lineRule="auto"/>
        <w:rPr>
          <w:color w:val="FF0000"/>
          <w:szCs w:val="24"/>
          <w:lang w:val="pl-PL"/>
        </w:rPr>
      </w:pPr>
    </w:p>
    <w:p w14:paraId="587ED24C" w14:textId="77777777" w:rsidR="003748E2" w:rsidRPr="007B60B7" w:rsidRDefault="00A2151F" w:rsidP="00D81BC9">
      <w:pPr>
        <w:pStyle w:val="Nagwek1"/>
        <w:rPr>
          <w:rFonts w:ascii="Times New Roman" w:hAnsi="Times New Roman" w:cs="Times New Roman"/>
          <w:b/>
          <w:color w:val="auto"/>
          <w:sz w:val="24"/>
          <w:szCs w:val="24"/>
        </w:rPr>
      </w:pPr>
      <w:bookmarkStart w:id="29" w:name="_Toc44930274"/>
      <w:r w:rsidRPr="007B60B7">
        <w:rPr>
          <w:rFonts w:ascii="Times New Roman" w:hAnsi="Times New Roman" w:cs="Times New Roman"/>
          <w:b/>
          <w:color w:val="auto"/>
          <w:sz w:val="24"/>
          <w:szCs w:val="24"/>
        </w:rPr>
        <w:t>8</w:t>
      </w:r>
      <w:r w:rsidR="003748E2" w:rsidRPr="007B60B7">
        <w:rPr>
          <w:rFonts w:ascii="Times New Roman" w:hAnsi="Times New Roman" w:cs="Times New Roman"/>
          <w:b/>
          <w:color w:val="auto"/>
          <w:sz w:val="24"/>
          <w:szCs w:val="24"/>
        </w:rPr>
        <w:t>.1 REALIZACJA CELÓW STRATEGICZNYCH</w:t>
      </w:r>
      <w:bookmarkEnd w:id="29"/>
    </w:p>
    <w:p w14:paraId="14568428" w14:textId="77777777" w:rsidR="00C41611" w:rsidRPr="007B60B7" w:rsidRDefault="00C41611" w:rsidP="00174CA0">
      <w:pPr>
        <w:spacing w:after="0" w:line="264" w:lineRule="auto"/>
        <w:jc w:val="both"/>
        <w:rPr>
          <w:rFonts w:ascii="Times New Roman" w:hAnsi="Times New Roman" w:cs="Times New Roman"/>
          <w:sz w:val="24"/>
        </w:rPr>
      </w:pPr>
    </w:p>
    <w:p w14:paraId="56189E23" w14:textId="77777777" w:rsidR="00C41611" w:rsidRPr="007B60B7" w:rsidRDefault="00C41611" w:rsidP="001E125A">
      <w:pPr>
        <w:spacing w:after="0" w:line="264" w:lineRule="auto"/>
        <w:ind w:firstLine="426"/>
        <w:jc w:val="both"/>
        <w:rPr>
          <w:rFonts w:ascii="Times New Roman" w:hAnsi="Times New Roman" w:cs="Times New Roman"/>
          <w:sz w:val="24"/>
          <w:szCs w:val="24"/>
        </w:rPr>
      </w:pPr>
      <w:r w:rsidRPr="007B60B7">
        <w:rPr>
          <w:rFonts w:ascii="Times New Roman" w:hAnsi="Times New Roman" w:cs="Times New Roman"/>
          <w:sz w:val="24"/>
        </w:rPr>
        <w:t>Celem zarządzania ryzykiem braku zgodności jest identyfikacja potencjalnych zagrożeń dla działania Banku, monitorowanie zaistniałych incydentów, podejmowanie działań wspierających oraz naprawczych</w:t>
      </w:r>
      <w:r w:rsidRPr="007B60B7">
        <w:rPr>
          <w:rFonts w:ascii="Times New Roman" w:hAnsi="Times New Roman" w:cs="Times New Roman"/>
          <w:sz w:val="24"/>
          <w:szCs w:val="24"/>
        </w:rPr>
        <w:t xml:space="preserve">, zapobiegających narażaniu Banku na występowanie zdarzeń wynikających z ryzyka braku zgodności oraz potencjalnych skutków nieprzestrzegania przez Bank przepisów prawa, wymogów organów nadzorczych, rekomendacji i standardów rynkowych,  a w szczególności poprzez zapobieganie: </w:t>
      </w:r>
    </w:p>
    <w:p w14:paraId="097799FB" w14:textId="77777777" w:rsidR="00C41611" w:rsidRPr="007B60B7" w:rsidRDefault="00C41611" w:rsidP="00993749">
      <w:pPr>
        <w:numPr>
          <w:ilvl w:val="0"/>
          <w:numId w:val="5"/>
        </w:numPr>
        <w:spacing w:after="0" w:line="264" w:lineRule="auto"/>
        <w:ind w:left="426" w:hanging="426"/>
        <w:jc w:val="both"/>
        <w:rPr>
          <w:rFonts w:ascii="Times New Roman" w:hAnsi="Times New Roman" w:cs="Times New Roman"/>
          <w:sz w:val="24"/>
          <w:szCs w:val="24"/>
        </w:rPr>
      </w:pPr>
      <w:r w:rsidRPr="007B60B7">
        <w:rPr>
          <w:rFonts w:ascii="Times New Roman" w:hAnsi="Times New Roman" w:cs="Times New Roman"/>
          <w:sz w:val="24"/>
          <w:szCs w:val="24"/>
        </w:rPr>
        <w:t>utracie reputacji oraz zaufania klientów, partnerów biznesowych i pracowników;</w:t>
      </w:r>
    </w:p>
    <w:p w14:paraId="4C5AEFED" w14:textId="77777777" w:rsidR="00C41611" w:rsidRPr="007B60B7" w:rsidRDefault="00C41611" w:rsidP="00993749">
      <w:pPr>
        <w:numPr>
          <w:ilvl w:val="0"/>
          <w:numId w:val="5"/>
        </w:numPr>
        <w:spacing w:after="0" w:line="264" w:lineRule="auto"/>
        <w:ind w:left="426" w:hanging="426"/>
        <w:jc w:val="both"/>
        <w:rPr>
          <w:rFonts w:ascii="Times New Roman" w:hAnsi="Times New Roman" w:cs="Times New Roman"/>
          <w:sz w:val="24"/>
          <w:szCs w:val="24"/>
        </w:rPr>
      </w:pPr>
      <w:r w:rsidRPr="007B60B7">
        <w:rPr>
          <w:rFonts w:ascii="Times New Roman" w:hAnsi="Times New Roman" w:cs="Times New Roman"/>
          <w:sz w:val="24"/>
          <w:szCs w:val="24"/>
        </w:rPr>
        <w:t>karom pieniężnym i odszkodowaniom;</w:t>
      </w:r>
    </w:p>
    <w:p w14:paraId="57B32459" w14:textId="77777777" w:rsidR="00C41611" w:rsidRPr="007B60B7" w:rsidRDefault="00C41611" w:rsidP="00993749">
      <w:pPr>
        <w:numPr>
          <w:ilvl w:val="0"/>
          <w:numId w:val="5"/>
        </w:numPr>
        <w:spacing w:after="0" w:line="264" w:lineRule="auto"/>
        <w:ind w:left="426" w:hanging="426"/>
        <w:jc w:val="both"/>
        <w:rPr>
          <w:rFonts w:ascii="Times New Roman" w:hAnsi="Times New Roman" w:cs="Times New Roman"/>
          <w:sz w:val="24"/>
          <w:szCs w:val="24"/>
        </w:rPr>
      </w:pPr>
      <w:r w:rsidRPr="007B60B7">
        <w:rPr>
          <w:rFonts w:ascii="Times New Roman" w:hAnsi="Times New Roman" w:cs="Times New Roman"/>
          <w:sz w:val="24"/>
          <w:szCs w:val="24"/>
        </w:rPr>
        <w:t>negatywnym decyzjom ze strony instytucji/organów nadzorczych.</w:t>
      </w:r>
    </w:p>
    <w:p w14:paraId="0E864E97" w14:textId="77777777" w:rsidR="00C41611" w:rsidRPr="007B60B7" w:rsidRDefault="00C41611" w:rsidP="00174CA0">
      <w:pPr>
        <w:spacing w:after="0" w:line="264" w:lineRule="auto"/>
        <w:ind w:left="426"/>
        <w:jc w:val="both"/>
        <w:rPr>
          <w:rFonts w:ascii="Times New Roman" w:hAnsi="Times New Roman" w:cs="Times New Roman"/>
          <w:sz w:val="24"/>
          <w:szCs w:val="24"/>
        </w:rPr>
      </w:pPr>
    </w:p>
    <w:p w14:paraId="5181ABAE" w14:textId="77777777" w:rsidR="00C41611" w:rsidRPr="007B60B7" w:rsidRDefault="00C41611" w:rsidP="00D35A22">
      <w:pPr>
        <w:spacing w:after="0" w:line="264" w:lineRule="auto"/>
        <w:ind w:firstLine="426"/>
        <w:jc w:val="both"/>
        <w:rPr>
          <w:rFonts w:ascii="Times New Roman" w:hAnsi="Times New Roman" w:cs="Times New Roman"/>
          <w:sz w:val="24"/>
          <w:szCs w:val="24"/>
        </w:rPr>
      </w:pPr>
      <w:r w:rsidRPr="007B60B7">
        <w:rPr>
          <w:rFonts w:ascii="Times New Roman" w:hAnsi="Times New Roman" w:cs="Times New Roman"/>
          <w:sz w:val="24"/>
          <w:szCs w:val="24"/>
        </w:rPr>
        <w:t>Bank zalicza ryzyko braku zgodności do kategori</w:t>
      </w:r>
      <w:r w:rsidR="001E32AF" w:rsidRPr="007B60B7">
        <w:rPr>
          <w:rFonts w:ascii="Times New Roman" w:hAnsi="Times New Roman" w:cs="Times New Roman"/>
          <w:sz w:val="24"/>
          <w:szCs w:val="24"/>
        </w:rPr>
        <w:t>i ryzyk trudno</w:t>
      </w:r>
      <w:r w:rsidR="00582167">
        <w:rPr>
          <w:rFonts w:ascii="Times New Roman" w:hAnsi="Times New Roman" w:cs="Times New Roman"/>
          <w:sz w:val="24"/>
          <w:szCs w:val="24"/>
        </w:rPr>
        <w:t xml:space="preserve"> </w:t>
      </w:r>
      <w:r w:rsidRPr="007B60B7">
        <w:rPr>
          <w:rFonts w:ascii="Times New Roman" w:hAnsi="Times New Roman" w:cs="Times New Roman"/>
          <w:sz w:val="24"/>
          <w:szCs w:val="24"/>
        </w:rPr>
        <w:t xml:space="preserve">mierzalnych i uznaje ryzyko za istotne, lecz mające umiarkowany wpływ na sytuację finansową Banku. </w:t>
      </w:r>
    </w:p>
    <w:p w14:paraId="76A40E38" w14:textId="77777777" w:rsidR="00C41611" w:rsidRPr="00E05BC9" w:rsidRDefault="00C41611" w:rsidP="00D35A22">
      <w:pPr>
        <w:spacing w:after="0" w:line="264" w:lineRule="auto"/>
        <w:jc w:val="both"/>
        <w:rPr>
          <w:rFonts w:ascii="Times New Roman" w:hAnsi="Times New Roman" w:cs="Times New Roman"/>
          <w:sz w:val="24"/>
          <w:szCs w:val="24"/>
        </w:rPr>
      </w:pPr>
      <w:r w:rsidRPr="007B60B7">
        <w:rPr>
          <w:rFonts w:ascii="Times New Roman" w:hAnsi="Times New Roman" w:cs="Times New Roman"/>
          <w:sz w:val="24"/>
          <w:szCs w:val="24"/>
        </w:rPr>
        <w:t xml:space="preserve">W Banku przyjmuje się limit tolerancji/apetytu na ryzyko braku zgodności, zgodnie z definicją określoną w </w:t>
      </w:r>
      <w:r w:rsidRPr="007B60B7">
        <w:rPr>
          <w:rFonts w:ascii="Times New Roman" w:hAnsi="Times New Roman" w:cs="Times New Roman"/>
          <w:i/>
          <w:sz w:val="24"/>
          <w:szCs w:val="24"/>
        </w:rPr>
        <w:t>Polityce</w:t>
      </w:r>
      <w:r w:rsidRPr="007B60B7">
        <w:rPr>
          <w:rFonts w:ascii="Times New Roman" w:hAnsi="Times New Roman" w:cs="Times New Roman"/>
          <w:sz w:val="24"/>
          <w:szCs w:val="24"/>
        </w:rPr>
        <w:t xml:space="preserve">, na poziomie 2% kosztów ogółem Banku poniesionych w roku </w:t>
      </w:r>
      <w:r w:rsidRPr="00E05BC9">
        <w:rPr>
          <w:rFonts w:ascii="Times New Roman" w:hAnsi="Times New Roman" w:cs="Times New Roman"/>
          <w:sz w:val="24"/>
          <w:szCs w:val="24"/>
        </w:rPr>
        <w:t>poprzednim.</w:t>
      </w:r>
    </w:p>
    <w:p w14:paraId="0EC27CA6" w14:textId="77777777" w:rsidR="00C41611" w:rsidRPr="00E05BC9" w:rsidRDefault="00C41611" w:rsidP="00D35A22">
      <w:pPr>
        <w:spacing w:after="0" w:line="264" w:lineRule="auto"/>
        <w:jc w:val="both"/>
        <w:rPr>
          <w:rFonts w:ascii="Times New Roman" w:hAnsi="Times New Roman" w:cs="Times New Roman"/>
          <w:sz w:val="24"/>
          <w:szCs w:val="24"/>
        </w:rPr>
      </w:pPr>
      <w:r w:rsidRPr="00E05BC9">
        <w:rPr>
          <w:rFonts w:ascii="Times New Roman" w:hAnsi="Times New Roman" w:cs="Times New Roman"/>
          <w:sz w:val="24"/>
          <w:szCs w:val="24"/>
        </w:rPr>
        <w:t>Na dzień 31.12.</w:t>
      </w:r>
      <w:r w:rsidR="00A2151F" w:rsidRPr="00E05BC9">
        <w:rPr>
          <w:rFonts w:ascii="Times New Roman" w:hAnsi="Times New Roman" w:cs="Times New Roman"/>
          <w:sz w:val="24"/>
          <w:szCs w:val="24"/>
        </w:rPr>
        <w:t>20</w:t>
      </w:r>
      <w:r w:rsidR="007B60B7" w:rsidRPr="00E05BC9">
        <w:rPr>
          <w:rFonts w:ascii="Times New Roman" w:hAnsi="Times New Roman" w:cs="Times New Roman"/>
          <w:sz w:val="24"/>
          <w:szCs w:val="24"/>
        </w:rPr>
        <w:t>20</w:t>
      </w:r>
      <w:r w:rsidR="00557FA6" w:rsidRPr="00E05BC9">
        <w:rPr>
          <w:rFonts w:ascii="Times New Roman" w:hAnsi="Times New Roman" w:cs="Times New Roman"/>
          <w:sz w:val="24"/>
          <w:szCs w:val="24"/>
        </w:rPr>
        <w:t xml:space="preserve"> </w:t>
      </w:r>
      <w:r w:rsidRPr="00E05BC9">
        <w:rPr>
          <w:rFonts w:ascii="Times New Roman" w:hAnsi="Times New Roman" w:cs="Times New Roman"/>
          <w:sz w:val="24"/>
          <w:szCs w:val="24"/>
        </w:rPr>
        <w:t xml:space="preserve">r. </w:t>
      </w:r>
      <w:r w:rsidR="00E04FEA" w:rsidRPr="00E05BC9">
        <w:rPr>
          <w:rFonts w:ascii="Times New Roman" w:hAnsi="Times New Roman" w:cs="Times New Roman"/>
          <w:sz w:val="24"/>
          <w:szCs w:val="24"/>
        </w:rPr>
        <w:t xml:space="preserve">koszty z tytułu ryzyka braku zgodności </w:t>
      </w:r>
      <w:r w:rsidR="00E05BC9" w:rsidRPr="00E05BC9">
        <w:rPr>
          <w:rFonts w:ascii="Times New Roman" w:hAnsi="Times New Roman" w:cs="Times New Roman"/>
          <w:sz w:val="24"/>
          <w:szCs w:val="24"/>
        </w:rPr>
        <w:t xml:space="preserve">za 12 miesięcy 2020 r. </w:t>
      </w:r>
      <w:r w:rsidR="00E04FEA" w:rsidRPr="00E05BC9">
        <w:rPr>
          <w:rFonts w:ascii="Times New Roman" w:hAnsi="Times New Roman" w:cs="Times New Roman"/>
          <w:sz w:val="24"/>
          <w:szCs w:val="24"/>
        </w:rPr>
        <w:t xml:space="preserve">stanowiły </w:t>
      </w:r>
      <w:r w:rsidR="007B60B7" w:rsidRPr="00E05BC9">
        <w:rPr>
          <w:rFonts w:ascii="Times New Roman" w:hAnsi="Times New Roman" w:cs="Times New Roman"/>
          <w:sz w:val="24"/>
          <w:szCs w:val="24"/>
        </w:rPr>
        <w:t>0,0008</w:t>
      </w:r>
      <w:r w:rsidR="00D35A22" w:rsidRPr="00E05BC9">
        <w:rPr>
          <w:rFonts w:ascii="Times New Roman" w:hAnsi="Times New Roman" w:cs="Times New Roman"/>
          <w:sz w:val="24"/>
          <w:szCs w:val="24"/>
        </w:rPr>
        <w:t>%</w:t>
      </w:r>
      <w:r w:rsidR="00E04FEA" w:rsidRPr="00E05BC9">
        <w:rPr>
          <w:rFonts w:ascii="Times New Roman" w:hAnsi="Times New Roman" w:cs="Times New Roman"/>
          <w:sz w:val="24"/>
          <w:szCs w:val="24"/>
        </w:rPr>
        <w:t xml:space="preserve"> kosztów ogółem Banku z</w:t>
      </w:r>
      <w:r w:rsidR="004D7087" w:rsidRPr="00E05BC9">
        <w:rPr>
          <w:rFonts w:ascii="Times New Roman" w:hAnsi="Times New Roman" w:cs="Times New Roman"/>
          <w:sz w:val="24"/>
          <w:szCs w:val="24"/>
        </w:rPr>
        <w:t>a</w:t>
      </w:r>
      <w:r w:rsidR="00E04FEA" w:rsidRPr="00E05BC9">
        <w:rPr>
          <w:rFonts w:ascii="Times New Roman" w:hAnsi="Times New Roman" w:cs="Times New Roman"/>
          <w:sz w:val="24"/>
          <w:szCs w:val="24"/>
        </w:rPr>
        <w:t xml:space="preserve"> poprzedni rok</w:t>
      </w:r>
      <w:r w:rsidRPr="00E05BC9">
        <w:rPr>
          <w:rFonts w:ascii="Times New Roman" w:hAnsi="Times New Roman" w:cs="Times New Roman"/>
          <w:sz w:val="24"/>
          <w:szCs w:val="24"/>
        </w:rPr>
        <w:t xml:space="preserve"> i nie przekroczył</w:t>
      </w:r>
      <w:r w:rsidR="004D7087" w:rsidRPr="00E05BC9">
        <w:rPr>
          <w:rFonts w:ascii="Times New Roman" w:hAnsi="Times New Roman" w:cs="Times New Roman"/>
          <w:sz w:val="24"/>
          <w:szCs w:val="24"/>
        </w:rPr>
        <w:t>y</w:t>
      </w:r>
      <w:r w:rsidRPr="00E05BC9">
        <w:rPr>
          <w:rFonts w:ascii="Times New Roman" w:hAnsi="Times New Roman" w:cs="Times New Roman"/>
          <w:sz w:val="24"/>
          <w:szCs w:val="24"/>
        </w:rPr>
        <w:t xml:space="preserve"> </w:t>
      </w:r>
      <w:r w:rsidR="00E04FEA" w:rsidRPr="00E05BC9">
        <w:rPr>
          <w:rFonts w:ascii="Times New Roman" w:hAnsi="Times New Roman" w:cs="Times New Roman"/>
          <w:sz w:val="24"/>
          <w:szCs w:val="24"/>
        </w:rPr>
        <w:t xml:space="preserve">limitu tolerancji w wysokości </w:t>
      </w:r>
      <w:r w:rsidRPr="00E05BC9">
        <w:rPr>
          <w:rFonts w:ascii="Times New Roman" w:hAnsi="Times New Roman" w:cs="Times New Roman"/>
          <w:sz w:val="24"/>
          <w:szCs w:val="24"/>
        </w:rPr>
        <w:t xml:space="preserve">2% kosztów ogółem </w:t>
      </w:r>
      <w:r w:rsidR="004D7087" w:rsidRPr="00E05BC9">
        <w:rPr>
          <w:rFonts w:ascii="Times New Roman" w:hAnsi="Times New Roman" w:cs="Times New Roman"/>
          <w:sz w:val="24"/>
          <w:szCs w:val="24"/>
        </w:rPr>
        <w:t>Banku, w</w:t>
      </w:r>
      <w:r w:rsidRPr="00E05BC9">
        <w:rPr>
          <w:rFonts w:ascii="Times New Roman" w:hAnsi="Times New Roman" w:cs="Times New Roman"/>
          <w:sz w:val="24"/>
          <w:szCs w:val="24"/>
        </w:rPr>
        <w:t xml:space="preserve"> zwią</w:t>
      </w:r>
      <w:r w:rsidR="00557FA6" w:rsidRPr="00E05BC9">
        <w:rPr>
          <w:rFonts w:ascii="Times New Roman" w:hAnsi="Times New Roman" w:cs="Times New Roman"/>
          <w:sz w:val="24"/>
          <w:szCs w:val="24"/>
        </w:rPr>
        <w:t>zku z tym cel został osiągnięty</w:t>
      </w:r>
      <w:r w:rsidRPr="00E05BC9">
        <w:rPr>
          <w:rFonts w:ascii="Times New Roman" w:hAnsi="Times New Roman" w:cs="Times New Roman"/>
          <w:sz w:val="24"/>
          <w:szCs w:val="24"/>
        </w:rPr>
        <w:t xml:space="preserve">. </w:t>
      </w:r>
    </w:p>
    <w:p w14:paraId="56349AFC" w14:textId="77777777" w:rsidR="003748E2" w:rsidRPr="000E3272" w:rsidRDefault="003748E2" w:rsidP="00174CA0">
      <w:pPr>
        <w:pStyle w:val="Tekstkomentarza"/>
        <w:spacing w:before="0" w:after="0" w:line="264" w:lineRule="auto"/>
        <w:rPr>
          <w:color w:val="FF0000"/>
          <w:szCs w:val="24"/>
          <w:lang w:val="pl-PL"/>
        </w:rPr>
      </w:pPr>
    </w:p>
    <w:p w14:paraId="3B2A959B" w14:textId="77777777" w:rsidR="006C34F1" w:rsidRPr="00E05BC9" w:rsidRDefault="006C34F1" w:rsidP="00737F6C">
      <w:pPr>
        <w:pStyle w:val="Nagwek1"/>
        <w:numPr>
          <w:ilvl w:val="0"/>
          <w:numId w:val="27"/>
        </w:numPr>
        <w:rPr>
          <w:rFonts w:ascii="Times New Roman" w:hAnsi="Times New Roman" w:cs="Times New Roman"/>
          <w:b/>
          <w:color w:val="auto"/>
          <w:sz w:val="24"/>
          <w:szCs w:val="24"/>
        </w:rPr>
      </w:pPr>
      <w:bookmarkStart w:id="30" w:name="_Toc44930275"/>
      <w:r w:rsidRPr="00E05BC9">
        <w:rPr>
          <w:rFonts w:ascii="Times New Roman" w:hAnsi="Times New Roman" w:cs="Times New Roman"/>
          <w:b/>
          <w:color w:val="auto"/>
          <w:sz w:val="24"/>
          <w:szCs w:val="24"/>
        </w:rPr>
        <w:t>ADEKWATNOŚĆ KAPITAŁOWA</w:t>
      </w:r>
      <w:bookmarkEnd w:id="30"/>
      <w:r w:rsidRPr="00E05BC9">
        <w:rPr>
          <w:rFonts w:ascii="Times New Roman" w:hAnsi="Times New Roman" w:cs="Times New Roman"/>
          <w:b/>
          <w:color w:val="auto"/>
          <w:sz w:val="24"/>
          <w:szCs w:val="24"/>
        </w:rPr>
        <w:t xml:space="preserve"> </w:t>
      </w:r>
    </w:p>
    <w:p w14:paraId="6BBA2FE6" w14:textId="77777777" w:rsidR="00D35A22" w:rsidRPr="00E05BC9" w:rsidRDefault="00D35A22" w:rsidP="00174CA0">
      <w:pPr>
        <w:spacing w:after="0" w:line="264" w:lineRule="auto"/>
        <w:rPr>
          <w:rFonts w:ascii="Times New Roman" w:hAnsi="Times New Roman" w:cs="Times New Roman"/>
          <w:b/>
          <w:sz w:val="24"/>
          <w:szCs w:val="24"/>
        </w:rPr>
      </w:pPr>
    </w:p>
    <w:p w14:paraId="60CC8D87" w14:textId="77777777" w:rsidR="006C34F1" w:rsidRPr="00E05BC9" w:rsidRDefault="006C34F1" w:rsidP="00D35A22">
      <w:pPr>
        <w:spacing w:after="0" w:line="264" w:lineRule="auto"/>
        <w:ind w:firstLine="708"/>
        <w:jc w:val="both"/>
        <w:rPr>
          <w:rFonts w:ascii="Times New Roman" w:hAnsi="Times New Roman" w:cs="Times New Roman"/>
          <w:sz w:val="24"/>
          <w:szCs w:val="24"/>
        </w:rPr>
      </w:pPr>
      <w:r w:rsidRPr="00E05BC9">
        <w:rPr>
          <w:rFonts w:ascii="Times New Roman" w:hAnsi="Times New Roman" w:cs="Times New Roman"/>
          <w:sz w:val="24"/>
          <w:szCs w:val="24"/>
        </w:rPr>
        <w:t xml:space="preserve">Proces oceny adekwatności kapitału wewnętrznego został unormowany w art. 73 Dyrektywy CRD IV, w której pojęcie kapitału wewnętrznego definiowane jest pośrednio jako: „Instytucje posiadają należyte, skuteczne i kompletne strategie i procedury służące do oceny i stałego utrzymywania kwoty, rodzaju i struktury kapitału wewnętrznego, które uważają </w:t>
      </w:r>
      <w:r w:rsidR="00557FA6" w:rsidRPr="00E05BC9">
        <w:rPr>
          <w:rFonts w:ascii="Times New Roman" w:hAnsi="Times New Roman" w:cs="Times New Roman"/>
          <w:sz w:val="24"/>
          <w:szCs w:val="24"/>
        </w:rPr>
        <w:t xml:space="preserve">          </w:t>
      </w:r>
      <w:r w:rsidRPr="00E05BC9">
        <w:rPr>
          <w:rFonts w:ascii="Times New Roman" w:hAnsi="Times New Roman" w:cs="Times New Roman"/>
          <w:sz w:val="24"/>
          <w:szCs w:val="24"/>
        </w:rPr>
        <w:t xml:space="preserve">za odpowiednie do zabezpieczenia rodzaju i skali ryzyka, na które są lub mogą być narażone.” </w:t>
      </w:r>
    </w:p>
    <w:p w14:paraId="225E615E" w14:textId="77777777" w:rsidR="00E222D3" w:rsidRPr="00E05BC9" w:rsidRDefault="00D35A22" w:rsidP="00174CA0">
      <w:pPr>
        <w:pStyle w:val="Nagwek2"/>
        <w:spacing w:line="264" w:lineRule="auto"/>
        <w:jc w:val="both"/>
        <w:rPr>
          <w:b w:val="0"/>
          <w:szCs w:val="24"/>
        </w:rPr>
      </w:pPr>
      <w:r w:rsidRPr="00E05BC9">
        <w:rPr>
          <w:b w:val="0"/>
          <w:szCs w:val="24"/>
        </w:rPr>
        <w:tab/>
      </w:r>
      <w:bookmarkStart w:id="31" w:name="_Toc13650975"/>
      <w:bookmarkStart w:id="32" w:name="_Toc44930276"/>
      <w:r w:rsidR="003C47AF" w:rsidRPr="00E05BC9">
        <w:rPr>
          <w:b w:val="0"/>
          <w:szCs w:val="24"/>
        </w:rPr>
        <w:t>S</w:t>
      </w:r>
      <w:r w:rsidR="006C34F1" w:rsidRPr="00E05BC9">
        <w:rPr>
          <w:b w:val="0"/>
          <w:szCs w:val="24"/>
        </w:rPr>
        <w:t xml:space="preserve">zczegółowy sposób szacowania kapitału wewnętrznego i dokonywania przez </w:t>
      </w:r>
      <w:r w:rsidR="00557FA6" w:rsidRPr="00E05BC9">
        <w:rPr>
          <w:b w:val="0"/>
          <w:szCs w:val="24"/>
        </w:rPr>
        <w:t>B</w:t>
      </w:r>
      <w:r w:rsidR="006C34F1" w:rsidRPr="00E05BC9">
        <w:rPr>
          <w:b w:val="0"/>
          <w:szCs w:val="24"/>
        </w:rPr>
        <w:t xml:space="preserve">ank </w:t>
      </w:r>
      <w:r w:rsidR="00C41611" w:rsidRPr="00E05BC9">
        <w:rPr>
          <w:b w:val="0"/>
          <w:szCs w:val="24"/>
        </w:rPr>
        <w:t>p</w:t>
      </w:r>
      <w:r w:rsidR="006C34F1" w:rsidRPr="00E05BC9">
        <w:rPr>
          <w:b w:val="0"/>
          <w:szCs w:val="24"/>
        </w:rPr>
        <w:t>rzeglądów s</w:t>
      </w:r>
      <w:r w:rsidR="00557FA6" w:rsidRPr="00E05BC9">
        <w:rPr>
          <w:b w:val="0"/>
          <w:szCs w:val="24"/>
        </w:rPr>
        <w:t>trategii i procedur szacowania oraz</w:t>
      </w:r>
      <w:r w:rsidR="006C34F1" w:rsidRPr="00E05BC9">
        <w:rPr>
          <w:b w:val="0"/>
          <w:szCs w:val="24"/>
        </w:rPr>
        <w:t xml:space="preserve"> stałego utrzymywania kapitału wewnętrznego ustalony zosta</w:t>
      </w:r>
      <w:r w:rsidR="00E222D3" w:rsidRPr="00E05BC9">
        <w:rPr>
          <w:b w:val="0"/>
          <w:szCs w:val="24"/>
        </w:rPr>
        <w:t>ł w Rozporządzeniu Ministra Finansów i Rozwoju z dnia 6 marca 2017 r. w sprawie systemu zarządzania ryzykiem i systemu kontroli wewnętrznej, polityki wynagrodzeń oraz szczegółowego sposobu szacowania kapitału wewnętrznego w bankach</w:t>
      </w:r>
      <w:r w:rsidR="00557FA6" w:rsidRPr="00E05BC9">
        <w:rPr>
          <w:b w:val="0"/>
          <w:szCs w:val="24"/>
        </w:rPr>
        <w:t>.</w:t>
      </w:r>
      <w:bookmarkEnd w:id="31"/>
      <w:bookmarkEnd w:id="32"/>
    </w:p>
    <w:p w14:paraId="19CA0727" w14:textId="77777777" w:rsidR="00C12495" w:rsidRPr="00E05BC9" w:rsidRDefault="007B3BD9" w:rsidP="00D35A22">
      <w:pPr>
        <w:spacing w:after="0" w:line="264" w:lineRule="auto"/>
        <w:ind w:firstLine="360"/>
        <w:jc w:val="both"/>
        <w:rPr>
          <w:rFonts w:ascii="Times New Roman" w:hAnsi="Times New Roman" w:cs="Times New Roman"/>
          <w:sz w:val="24"/>
          <w:szCs w:val="24"/>
        </w:rPr>
      </w:pPr>
      <w:r w:rsidRPr="00E05BC9">
        <w:rPr>
          <w:rFonts w:ascii="Times New Roman" w:hAnsi="Times New Roman" w:cs="Times New Roman"/>
          <w:sz w:val="24"/>
          <w:szCs w:val="24"/>
        </w:rPr>
        <w:t>Według stanu na dzień 31.12.</w:t>
      </w:r>
      <w:r w:rsidR="00737F6C" w:rsidRPr="00E05BC9">
        <w:rPr>
          <w:rFonts w:ascii="Times New Roman" w:hAnsi="Times New Roman" w:cs="Times New Roman"/>
          <w:sz w:val="24"/>
          <w:szCs w:val="24"/>
        </w:rPr>
        <w:t>20</w:t>
      </w:r>
      <w:r w:rsidR="00FD5A26">
        <w:rPr>
          <w:rFonts w:ascii="Times New Roman" w:hAnsi="Times New Roman" w:cs="Times New Roman"/>
          <w:sz w:val="24"/>
          <w:szCs w:val="24"/>
        </w:rPr>
        <w:t>20</w:t>
      </w:r>
      <w:r w:rsidR="00557FA6" w:rsidRPr="00E05BC9">
        <w:rPr>
          <w:rFonts w:ascii="Times New Roman" w:hAnsi="Times New Roman" w:cs="Times New Roman"/>
          <w:sz w:val="24"/>
          <w:szCs w:val="24"/>
        </w:rPr>
        <w:t xml:space="preserve"> </w:t>
      </w:r>
      <w:r w:rsidR="00E222D3" w:rsidRPr="00E05BC9">
        <w:rPr>
          <w:rFonts w:ascii="Times New Roman" w:hAnsi="Times New Roman" w:cs="Times New Roman"/>
          <w:sz w:val="24"/>
          <w:szCs w:val="24"/>
        </w:rPr>
        <w:t xml:space="preserve">r. </w:t>
      </w:r>
      <w:r w:rsidR="006C34F1" w:rsidRPr="00E05BC9">
        <w:rPr>
          <w:rFonts w:ascii="Times New Roman" w:hAnsi="Times New Roman" w:cs="Times New Roman"/>
          <w:sz w:val="24"/>
          <w:szCs w:val="24"/>
        </w:rPr>
        <w:t>proces szacowania kapitału wewnęt</w:t>
      </w:r>
      <w:r w:rsidR="00912B18" w:rsidRPr="00E05BC9">
        <w:rPr>
          <w:rFonts w:ascii="Times New Roman" w:hAnsi="Times New Roman" w:cs="Times New Roman"/>
          <w:sz w:val="24"/>
          <w:szCs w:val="24"/>
        </w:rPr>
        <w:t>rz</w:t>
      </w:r>
      <w:r w:rsidR="00557FA6" w:rsidRPr="00E05BC9">
        <w:rPr>
          <w:rFonts w:ascii="Times New Roman" w:hAnsi="Times New Roman" w:cs="Times New Roman"/>
          <w:sz w:val="24"/>
          <w:szCs w:val="24"/>
        </w:rPr>
        <w:t>nego przeprowadzono w oparciu o</w:t>
      </w:r>
      <w:r w:rsidR="00912B18" w:rsidRPr="00E05BC9">
        <w:rPr>
          <w:rFonts w:ascii="Times New Roman" w:hAnsi="Times New Roman" w:cs="Times New Roman"/>
          <w:sz w:val="24"/>
          <w:szCs w:val="24"/>
        </w:rPr>
        <w:t>:</w:t>
      </w:r>
    </w:p>
    <w:p w14:paraId="768118E3" w14:textId="77777777" w:rsidR="00C12495" w:rsidRPr="00E05BC9" w:rsidRDefault="00C12495" w:rsidP="00993749">
      <w:pPr>
        <w:pStyle w:val="Akapitzlist"/>
        <w:numPr>
          <w:ilvl w:val="0"/>
          <w:numId w:val="6"/>
        </w:numPr>
        <w:spacing w:after="0" w:line="264" w:lineRule="auto"/>
        <w:jc w:val="both"/>
        <w:rPr>
          <w:rFonts w:ascii="Times New Roman" w:hAnsi="Times New Roman" w:cs="Times New Roman"/>
          <w:sz w:val="24"/>
          <w:szCs w:val="24"/>
        </w:rPr>
      </w:pPr>
      <w:bookmarkStart w:id="33" w:name="OLE_LINK1"/>
      <w:r w:rsidRPr="00E05BC9">
        <w:rPr>
          <w:rFonts w:ascii="Times New Roman" w:hAnsi="Times New Roman" w:cs="Times New Roman"/>
          <w:sz w:val="24"/>
          <w:szCs w:val="24"/>
        </w:rPr>
        <w:t xml:space="preserve">Instrukcję funkcjonowania procesu oceny adekwatności poziomu kapitału wewnętrznego (ICAAP) w </w:t>
      </w:r>
      <w:bookmarkEnd w:id="33"/>
      <w:r w:rsidRPr="00E05BC9">
        <w:rPr>
          <w:rFonts w:ascii="Times New Roman" w:hAnsi="Times New Roman" w:cs="Times New Roman"/>
          <w:sz w:val="24"/>
          <w:szCs w:val="24"/>
        </w:rPr>
        <w:t>Warmińsko-Mazurskim Banku Spółdzielczym</w:t>
      </w:r>
      <w:r w:rsidR="00557FA6" w:rsidRPr="00E05BC9">
        <w:rPr>
          <w:rFonts w:ascii="Times New Roman" w:hAnsi="Times New Roman" w:cs="Times New Roman"/>
          <w:sz w:val="24"/>
          <w:szCs w:val="24"/>
        </w:rPr>
        <w:t>,</w:t>
      </w:r>
    </w:p>
    <w:p w14:paraId="51A4C5BC" w14:textId="77777777" w:rsidR="00912B18" w:rsidRPr="00E05BC9" w:rsidRDefault="00912B18" w:rsidP="00993749">
      <w:pPr>
        <w:pStyle w:val="Akapitzlist"/>
        <w:numPr>
          <w:ilvl w:val="0"/>
          <w:numId w:val="6"/>
        </w:numPr>
        <w:spacing w:after="0" w:line="264" w:lineRule="auto"/>
        <w:jc w:val="both"/>
        <w:rPr>
          <w:rFonts w:ascii="Times New Roman" w:hAnsi="Times New Roman" w:cs="Times New Roman"/>
          <w:sz w:val="24"/>
          <w:szCs w:val="24"/>
        </w:rPr>
      </w:pPr>
      <w:r w:rsidRPr="00E05BC9">
        <w:rPr>
          <w:rFonts w:ascii="Times New Roman" w:hAnsi="Times New Roman" w:cs="Times New Roman"/>
          <w:sz w:val="24"/>
          <w:szCs w:val="24"/>
        </w:rPr>
        <w:t>Instrukcję wyznaczania wymogów kapitałowych z tytułu</w:t>
      </w:r>
      <w:r w:rsidR="00557FA6" w:rsidRPr="00E05BC9">
        <w:rPr>
          <w:rFonts w:ascii="Times New Roman" w:hAnsi="Times New Roman" w:cs="Times New Roman"/>
          <w:sz w:val="24"/>
          <w:szCs w:val="24"/>
        </w:rPr>
        <w:t xml:space="preserve"> poszczególnych rodzajów ryzyka,</w:t>
      </w:r>
    </w:p>
    <w:p w14:paraId="39428E25" w14:textId="77777777" w:rsidR="00C12495" w:rsidRPr="00FD5A26" w:rsidRDefault="00557FA6" w:rsidP="00993749">
      <w:pPr>
        <w:pStyle w:val="Akapitzlist"/>
        <w:numPr>
          <w:ilvl w:val="0"/>
          <w:numId w:val="6"/>
        </w:numPr>
        <w:spacing w:after="0" w:line="264" w:lineRule="auto"/>
        <w:jc w:val="both"/>
        <w:rPr>
          <w:rFonts w:ascii="Times New Roman" w:hAnsi="Times New Roman" w:cs="Times New Roman"/>
          <w:sz w:val="24"/>
          <w:szCs w:val="24"/>
        </w:rPr>
      </w:pPr>
      <w:r w:rsidRPr="00FD5A26">
        <w:rPr>
          <w:rFonts w:ascii="Times New Roman" w:hAnsi="Times New Roman" w:cs="Times New Roman"/>
          <w:sz w:val="24"/>
          <w:szCs w:val="24"/>
        </w:rPr>
        <w:lastRenderedPageBreak/>
        <w:t>Instrukcję</w:t>
      </w:r>
      <w:r w:rsidR="00912B18" w:rsidRPr="00FD5A26">
        <w:rPr>
          <w:rFonts w:ascii="Times New Roman" w:hAnsi="Times New Roman" w:cs="Times New Roman"/>
          <w:sz w:val="24"/>
          <w:szCs w:val="24"/>
        </w:rPr>
        <w:t xml:space="preserve"> </w:t>
      </w:r>
      <w:r w:rsidR="00C12495" w:rsidRPr="00FD5A26">
        <w:rPr>
          <w:rFonts w:ascii="Times New Roman" w:hAnsi="Times New Roman" w:cs="Times New Roman"/>
          <w:sz w:val="24"/>
          <w:szCs w:val="24"/>
        </w:rPr>
        <w:t>Segmentacja ekspozycji i wagi ryzyka dla metody standardowej</w:t>
      </w:r>
      <w:r w:rsidRPr="00FD5A26">
        <w:rPr>
          <w:rFonts w:ascii="Times New Roman" w:hAnsi="Times New Roman" w:cs="Times New Roman"/>
          <w:sz w:val="24"/>
          <w:szCs w:val="24"/>
        </w:rPr>
        <w:t>.</w:t>
      </w:r>
    </w:p>
    <w:p w14:paraId="4953FAE8" w14:textId="77777777" w:rsidR="00C12495" w:rsidRPr="00265B06" w:rsidRDefault="00C12495" w:rsidP="00174CA0">
      <w:pPr>
        <w:spacing w:after="0" w:line="264" w:lineRule="auto"/>
        <w:jc w:val="both"/>
        <w:rPr>
          <w:rFonts w:ascii="Times New Roman" w:hAnsi="Times New Roman" w:cs="Times New Roman"/>
          <w:color w:val="FF0000"/>
          <w:sz w:val="24"/>
          <w:szCs w:val="24"/>
          <w:u w:val="single"/>
        </w:rPr>
      </w:pPr>
    </w:p>
    <w:p w14:paraId="35CD6B7A" w14:textId="77777777" w:rsidR="006C34F1" w:rsidRPr="00265B06" w:rsidRDefault="006C34F1" w:rsidP="00D35A22">
      <w:pPr>
        <w:spacing w:after="0" w:line="264" w:lineRule="auto"/>
        <w:ind w:firstLine="360"/>
        <w:jc w:val="both"/>
        <w:rPr>
          <w:rFonts w:ascii="Times New Roman" w:hAnsi="Times New Roman" w:cs="Times New Roman"/>
          <w:sz w:val="24"/>
          <w:szCs w:val="24"/>
        </w:rPr>
      </w:pPr>
      <w:r w:rsidRPr="00265B06">
        <w:rPr>
          <w:rFonts w:ascii="Times New Roman" w:hAnsi="Times New Roman" w:cs="Times New Roman"/>
          <w:sz w:val="24"/>
          <w:szCs w:val="24"/>
        </w:rPr>
        <w:t xml:space="preserve">W przypadkach kolizji pomiędzy przepisami lokalnymi a przepisami Rozporządzenia CRR </w:t>
      </w:r>
      <w:r w:rsidR="00557FA6" w:rsidRPr="00265B06">
        <w:rPr>
          <w:rFonts w:ascii="Times New Roman" w:hAnsi="Times New Roman" w:cs="Times New Roman"/>
          <w:sz w:val="24"/>
          <w:szCs w:val="24"/>
        </w:rPr>
        <w:t xml:space="preserve">     </w:t>
      </w:r>
      <w:r w:rsidRPr="00265B06">
        <w:rPr>
          <w:rFonts w:ascii="Times New Roman" w:hAnsi="Times New Roman" w:cs="Times New Roman"/>
          <w:sz w:val="24"/>
          <w:szCs w:val="24"/>
        </w:rPr>
        <w:t xml:space="preserve">i </w:t>
      </w:r>
      <w:r w:rsidR="00F44BAB" w:rsidRPr="00265B06">
        <w:rPr>
          <w:rFonts w:ascii="Times New Roman" w:hAnsi="Times New Roman" w:cs="Times New Roman"/>
          <w:sz w:val="24"/>
          <w:szCs w:val="24"/>
        </w:rPr>
        <w:t>D</w:t>
      </w:r>
      <w:r w:rsidR="007F4239" w:rsidRPr="00265B06">
        <w:rPr>
          <w:rFonts w:ascii="Times New Roman" w:hAnsi="Times New Roman" w:cs="Times New Roman"/>
          <w:sz w:val="24"/>
          <w:szCs w:val="24"/>
        </w:rPr>
        <w:t xml:space="preserve">yrektywy CRD IV przyjęto </w:t>
      </w:r>
      <w:r w:rsidRPr="00265B06">
        <w:rPr>
          <w:rFonts w:ascii="Times New Roman" w:hAnsi="Times New Roman" w:cs="Times New Roman"/>
          <w:sz w:val="24"/>
          <w:szCs w:val="24"/>
        </w:rPr>
        <w:t>bezpośrednie zastosowanie</w:t>
      </w:r>
      <w:r w:rsidR="007F4239" w:rsidRPr="00265B06">
        <w:rPr>
          <w:rFonts w:ascii="Times New Roman" w:hAnsi="Times New Roman" w:cs="Times New Roman"/>
          <w:sz w:val="24"/>
          <w:szCs w:val="24"/>
        </w:rPr>
        <w:t xml:space="preserve"> przepisów zewnętrznych</w:t>
      </w:r>
      <w:r w:rsidRPr="00265B06">
        <w:rPr>
          <w:rFonts w:ascii="Times New Roman" w:hAnsi="Times New Roman" w:cs="Times New Roman"/>
          <w:sz w:val="24"/>
          <w:szCs w:val="24"/>
        </w:rPr>
        <w:t xml:space="preserve">. </w:t>
      </w:r>
    </w:p>
    <w:p w14:paraId="24A0EEF4" w14:textId="77777777" w:rsidR="006C34F1" w:rsidRPr="00265B06" w:rsidRDefault="006C34F1" w:rsidP="00D35A22">
      <w:pPr>
        <w:spacing w:after="0" w:line="264" w:lineRule="auto"/>
        <w:ind w:firstLine="360"/>
        <w:jc w:val="both"/>
        <w:rPr>
          <w:rFonts w:ascii="Times New Roman" w:hAnsi="Times New Roman" w:cs="Times New Roman"/>
          <w:sz w:val="24"/>
          <w:szCs w:val="24"/>
        </w:rPr>
      </w:pPr>
      <w:r w:rsidRPr="00265B06">
        <w:rPr>
          <w:rFonts w:ascii="Times New Roman" w:hAnsi="Times New Roman" w:cs="Times New Roman"/>
          <w:sz w:val="24"/>
          <w:szCs w:val="24"/>
        </w:rPr>
        <w:t>Przy wyznaczaniu kwot ekspozycji na ryzyko w ramach poszczególnych ryzyk zastosowano zasady przewidziane przepisami Rozporządzenia CRR – w szczególności przy szacowaniu narzutów kapitałowych z tytułu ryzyka kredytowego dla ekspozycji wobec podmiotów należących do sektora Małych i Średnich Przedsiębiorstw (MŚP) zastosowano, przewidziany przepisami Rozporządzenia CRR</w:t>
      </w:r>
      <w:r w:rsidR="000A0498" w:rsidRPr="00265B06">
        <w:rPr>
          <w:rFonts w:ascii="Times New Roman" w:hAnsi="Times New Roman" w:cs="Times New Roman"/>
          <w:sz w:val="24"/>
          <w:szCs w:val="24"/>
        </w:rPr>
        <w:t xml:space="preserve"> (wprowadzony Rozporządzeniem Parlamentu i Rady (UE) nr  2019/876 z dnia 20 maja 2019 r.) współczynnik wsparcia MŚP wyznaczany jest według wzoru:</w:t>
      </w:r>
    </w:p>
    <w:p w14:paraId="4CFBD2FE" w14:textId="77777777" w:rsidR="000A0498" w:rsidRPr="000A0498" w:rsidRDefault="000A0498" w:rsidP="000A0498">
      <w:pPr>
        <w:pStyle w:val="NormalnyWeb"/>
        <w:spacing w:beforeAutospacing="0" w:after="0" w:afterAutospacing="0" w:line="216" w:lineRule="auto"/>
        <w:ind w:left="1440"/>
      </w:pPr>
    </w:p>
    <w:tbl>
      <w:tblPr>
        <w:tblStyle w:val="Tabela-Siatka"/>
        <w:tblW w:w="8788" w:type="dxa"/>
        <w:tblInd w:w="4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66"/>
        <w:gridCol w:w="1011"/>
        <w:gridCol w:w="6511"/>
      </w:tblGrid>
      <w:tr w:rsidR="00265B06" w14:paraId="7D138190" w14:textId="77777777" w:rsidTr="00265B06">
        <w:tc>
          <w:tcPr>
            <w:tcW w:w="1266" w:type="dxa"/>
            <w:vMerge w:val="restart"/>
            <w:tcBorders>
              <w:right w:val="nil"/>
            </w:tcBorders>
            <w:vAlign w:val="center"/>
          </w:tcPr>
          <w:p w14:paraId="73DA37A2" w14:textId="77777777" w:rsidR="00265B06" w:rsidRDefault="00265B06" w:rsidP="000A0498">
            <w:pPr>
              <w:pStyle w:val="NormalnyWeb"/>
              <w:spacing w:beforeAutospacing="0" w:after="0" w:afterAutospacing="0" w:line="216" w:lineRule="auto"/>
            </w:pPr>
            <w:r w:rsidRPr="000A0498">
              <w:rPr>
                <w:rFonts w:eastAsiaTheme="minorEastAsia" w:cstheme="minorBidi"/>
                <w:b/>
                <w:bCs/>
                <w:color w:val="000000" w:themeColor="text1"/>
                <w:kern w:val="24"/>
              </w:rPr>
              <w:t>RWEA =</w:t>
            </w:r>
          </w:p>
        </w:tc>
        <w:tc>
          <w:tcPr>
            <w:tcW w:w="1011" w:type="dxa"/>
            <w:vMerge w:val="restart"/>
            <w:tcBorders>
              <w:top w:val="nil"/>
              <w:left w:val="nil"/>
              <w:bottom w:val="nil"/>
              <w:right w:val="nil"/>
            </w:tcBorders>
            <w:vAlign w:val="center"/>
          </w:tcPr>
          <w:p w14:paraId="15952822" w14:textId="77777777" w:rsidR="00265B06" w:rsidRPr="00265B06" w:rsidRDefault="00265B06" w:rsidP="00265B06">
            <w:pPr>
              <w:pStyle w:val="NormalnyWeb"/>
              <w:spacing w:beforeAutospacing="0" w:after="0" w:afterAutospacing="0" w:line="216" w:lineRule="auto"/>
              <w:ind w:hanging="235"/>
              <w:jc w:val="center"/>
              <w:rPr>
                <w:rFonts w:eastAsiaTheme="minorEastAsia" w:cstheme="minorBidi"/>
                <w:b/>
                <w:bCs/>
                <w:color w:val="000000" w:themeColor="text1"/>
                <w:kern w:val="24"/>
                <w:sz w:val="22"/>
                <w:szCs w:val="22"/>
              </w:rPr>
            </w:pPr>
            <w:r w:rsidRPr="00265B06">
              <w:rPr>
                <w:rFonts w:eastAsiaTheme="minorEastAsia" w:cstheme="minorBidi"/>
                <w:b/>
                <w:bCs/>
                <w:color w:val="000000" w:themeColor="text1"/>
                <w:kern w:val="24"/>
                <w:sz w:val="22"/>
                <w:szCs w:val="22"/>
              </w:rPr>
              <w:t>RWEA*</w:t>
            </w:r>
          </w:p>
        </w:tc>
        <w:tc>
          <w:tcPr>
            <w:tcW w:w="6511" w:type="dxa"/>
            <w:tcBorders>
              <w:left w:val="nil"/>
            </w:tcBorders>
          </w:tcPr>
          <w:p w14:paraId="16315195" w14:textId="77777777" w:rsidR="00265B06" w:rsidRDefault="00265B06" w:rsidP="00265B06">
            <w:pPr>
              <w:pStyle w:val="NormalnyWeb"/>
              <w:spacing w:beforeAutospacing="0" w:after="0" w:afterAutospacing="0" w:line="216" w:lineRule="auto"/>
              <w:jc w:val="center"/>
            </w:pPr>
            <w:r w:rsidRPr="00265B06">
              <w:rPr>
                <w:rFonts w:eastAsiaTheme="minorEastAsia" w:cstheme="minorBidi"/>
                <w:b/>
                <w:bCs/>
                <w:color w:val="000000" w:themeColor="text1"/>
                <w:kern w:val="24"/>
                <w:sz w:val="22"/>
                <w:szCs w:val="22"/>
              </w:rPr>
              <w:t>min{E*;EUR 2 500 000}*0,761</w:t>
            </w:r>
            <w:r>
              <w:rPr>
                <w:rFonts w:eastAsiaTheme="minorEastAsia" w:cstheme="minorBidi"/>
                <w:b/>
                <w:bCs/>
                <w:color w:val="000000" w:themeColor="text1"/>
                <w:kern w:val="24"/>
                <w:sz w:val="22"/>
                <w:szCs w:val="22"/>
              </w:rPr>
              <w:t>9 + max{E* - 2 500 000;0}* 0,85</w:t>
            </w:r>
          </w:p>
        </w:tc>
      </w:tr>
      <w:tr w:rsidR="00265B06" w14:paraId="62FBB2E9" w14:textId="77777777" w:rsidTr="00265B06">
        <w:tc>
          <w:tcPr>
            <w:tcW w:w="1266" w:type="dxa"/>
            <w:vMerge/>
            <w:tcBorders>
              <w:right w:val="nil"/>
            </w:tcBorders>
          </w:tcPr>
          <w:p w14:paraId="705E799B" w14:textId="77777777" w:rsidR="00265B06" w:rsidRDefault="00265B06" w:rsidP="000A0498">
            <w:pPr>
              <w:pStyle w:val="NormalnyWeb"/>
              <w:spacing w:beforeAutospacing="0" w:after="0" w:afterAutospacing="0" w:line="216" w:lineRule="auto"/>
            </w:pPr>
          </w:p>
        </w:tc>
        <w:tc>
          <w:tcPr>
            <w:tcW w:w="1011" w:type="dxa"/>
            <w:vMerge/>
            <w:tcBorders>
              <w:top w:val="single" w:sz="4" w:space="0" w:color="auto"/>
              <w:left w:val="nil"/>
              <w:bottom w:val="nil"/>
              <w:right w:val="nil"/>
            </w:tcBorders>
          </w:tcPr>
          <w:p w14:paraId="736C18BB" w14:textId="77777777" w:rsidR="00265B06" w:rsidRPr="00265B06" w:rsidRDefault="00265B06" w:rsidP="00265B06">
            <w:pPr>
              <w:pStyle w:val="NormalnyWeb"/>
              <w:spacing w:beforeAutospacing="0" w:after="0" w:afterAutospacing="0" w:line="216" w:lineRule="auto"/>
              <w:jc w:val="center"/>
              <w:rPr>
                <w:rFonts w:eastAsiaTheme="minorEastAsia" w:cstheme="minorBidi"/>
                <w:b/>
                <w:bCs/>
                <w:color w:val="000000" w:themeColor="text1"/>
                <w:kern w:val="24"/>
                <w:sz w:val="22"/>
                <w:szCs w:val="22"/>
              </w:rPr>
            </w:pPr>
          </w:p>
        </w:tc>
        <w:tc>
          <w:tcPr>
            <w:tcW w:w="6511" w:type="dxa"/>
            <w:tcBorders>
              <w:left w:val="nil"/>
            </w:tcBorders>
          </w:tcPr>
          <w:p w14:paraId="14FDADA8" w14:textId="77777777" w:rsidR="00265B06" w:rsidRDefault="00265B06" w:rsidP="00265B06">
            <w:pPr>
              <w:pStyle w:val="NormalnyWeb"/>
              <w:spacing w:beforeAutospacing="0" w:after="0" w:afterAutospacing="0" w:line="216" w:lineRule="auto"/>
              <w:jc w:val="center"/>
            </w:pPr>
            <w:r w:rsidRPr="00265B06">
              <w:rPr>
                <w:rFonts w:eastAsiaTheme="minorEastAsia" w:cstheme="minorBidi"/>
                <w:b/>
                <w:bCs/>
                <w:color w:val="000000" w:themeColor="text1"/>
                <w:kern w:val="24"/>
                <w:sz w:val="22"/>
                <w:szCs w:val="22"/>
              </w:rPr>
              <w:t>E*</w:t>
            </w:r>
          </w:p>
        </w:tc>
      </w:tr>
    </w:tbl>
    <w:p w14:paraId="6D0B8D47" w14:textId="77777777" w:rsidR="000A0498" w:rsidRPr="000A0498" w:rsidRDefault="000A0498" w:rsidP="000A0498">
      <w:pPr>
        <w:pStyle w:val="NormalnyWeb"/>
        <w:spacing w:beforeAutospacing="0" w:after="0" w:afterAutospacing="0" w:line="216" w:lineRule="auto"/>
        <w:ind w:left="1440"/>
      </w:pPr>
    </w:p>
    <w:p w14:paraId="6F37C790" w14:textId="77777777" w:rsidR="000A0498" w:rsidRPr="000A0498" w:rsidRDefault="000A0498" w:rsidP="00265B06">
      <w:pPr>
        <w:pStyle w:val="NormalnyWeb"/>
        <w:spacing w:beforeAutospacing="0" w:after="0" w:afterAutospacing="0" w:line="216" w:lineRule="auto"/>
      </w:pPr>
      <w:r w:rsidRPr="000A0498">
        <w:rPr>
          <w:rFonts w:eastAsiaTheme="minorEastAsia" w:cstheme="minorBidi"/>
          <w:b/>
          <w:bCs/>
          <w:color w:val="000000" w:themeColor="text1"/>
          <w:kern w:val="24"/>
        </w:rPr>
        <w:t xml:space="preserve">RWEA* </w:t>
      </w:r>
      <w:r w:rsidRPr="000A0498">
        <w:rPr>
          <w:rFonts w:eastAsiaTheme="minorEastAsia" w:cstheme="minorBidi"/>
          <w:color w:val="000000" w:themeColor="text1"/>
          <w:kern w:val="24"/>
        </w:rPr>
        <w:t>= kwota ekspozycji ważonej ryzykiem skorygowana o współczynnik wsparcia MŚP;</w:t>
      </w:r>
    </w:p>
    <w:p w14:paraId="49EFD95F" w14:textId="77777777" w:rsidR="000A0498" w:rsidRPr="000A0498" w:rsidRDefault="000A0498" w:rsidP="00265B06">
      <w:pPr>
        <w:pStyle w:val="NormalnyWeb"/>
        <w:spacing w:beforeAutospacing="0" w:after="0" w:afterAutospacing="0" w:line="216" w:lineRule="auto"/>
      </w:pPr>
      <w:r w:rsidRPr="000A0498">
        <w:rPr>
          <w:rFonts w:eastAsiaTheme="minorEastAsia" w:cstheme="minorBidi"/>
          <w:b/>
          <w:bCs/>
          <w:color w:val="000000" w:themeColor="text1"/>
          <w:kern w:val="24"/>
        </w:rPr>
        <w:t>E*</w:t>
      </w:r>
      <w:r w:rsidRPr="000A0498">
        <w:rPr>
          <w:rFonts w:eastAsiaTheme="minorEastAsia" w:cstheme="minorBidi"/>
          <w:color w:val="000000" w:themeColor="text1"/>
          <w:kern w:val="24"/>
        </w:rPr>
        <w:t xml:space="preserve"> = łączna kwota zobowiązań MŚP lub grupy klientów MŚP wobec Banku, w tym wszelkich ekspozycji, których dotyczy niewykonanie zobowiązania,  jednak z wyłączeniem wierzytelności  lub wierzytelności warunkowych, których zabezpieczeniem są nieruchomości mieszkalne.</w:t>
      </w:r>
    </w:p>
    <w:p w14:paraId="1172E74F" w14:textId="77777777" w:rsidR="006C34F1" w:rsidRPr="000E3272" w:rsidRDefault="006C34F1" w:rsidP="00174CA0">
      <w:pPr>
        <w:spacing w:after="0" w:line="264" w:lineRule="auto"/>
        <w:rPr>
          <w:rFonts w:ascii="Times New Roman" w:hAnsi="Times New Roman" w:cs="Times New Roman"/>
          <w:color w:val="FF0000"/>
          <w:sz w:val="24"/>
          <w:szCs w:val="24"/>
        </w:rPr>
      </w:pPr>
    </w:p>
    <w:p w14:paraId="0020745B" w14:textId="77777777" w:rsidR="007569FF" w:rsidRPr="00014E17" w:rsidRDefault="006C34F1" w:rsidP="00D35A22">
      <w:pPr>
        <w:spacing w:after="0" w:line="264" w:lineRule="auto"/>
        <w:ind w:firstLine="284"/>
        <w:jc w:val="both"/>
        <w:rPr>
          <w:rFonts w:ascii="Times New Roman" w:hAnsi="Times New Roman" w:cs="Times New Roman"/>
          <w:sz w:val="24"/>
          <w:szCs w:val="24"/>
        </w:rPr>
      </w:pPr>
      <w:r w:rsidRPr="00014E17">
        <w:rPr>
          <w:rFonts w:ascii="Times New Roman" w:hAnsi="Times New Roman" w:cs="Times New Roman"/>
          <w:sz w:val="24"/>
          <w:szCs w:val="24"/>
        </w:rPr>
        <w:t>W procesie szacowania kapitału wewnętrznego uwzględniane są cele kapitałowe i limity</w:t>
      </w:r>
      <w:r w:rsidR="00737F6C" w:rsidRPr="00014E17">
        <w:rPr>
          <w:rFonts w:ascii="Times New Roman" w:hAnsi="Times New Roman" w:cs="Times New Roman"/>
          <w:sz w:val="24"/>
          <w:szCs w:val="24"/>
        </w:rPr>
        <w:t xml:space="preserve"> </w:t>
      </w:r>
      <w:r w:rsidRPr="00014E17">
        <w:rPr>
          <w:rFonts w:ascii="Times New Roman" w:hAnsi="Times New Roman" w:cs="Times New Roman"/>
          <w:sz w:val="24"/>
          <w:szCs w:val="24"/>
        </w:rPr>
        <w:t>w</w:t>
      </w:r>
      <w:r w:rsidR="00737F6C" w:rsidRPr="00014E17">
        <w:rPr>
          <w:rFonts w:ascii="Times New Roman" w:hAnsi="Times New Roman" w:cs="Times New Roman"/>
          <w:sz w:val="24"/>
          <w:szCs w:val="24"/>
        </w:rPr>
        <w:t> </w:t>
      </w:r>
      <w:r w:rsidRPr="00014E17">
        <w:rPr>
          <w:rFonts w:ascii="Times New Roman" w:hAnsi="Times New Roman" w:cs="Times New Roman"/>
          <w:sz w:val="24"/>
          <w:szCs w:val="24"/>
        </w:rPr>
        <w:t>zakresie wskaźników kapitałowych i alokacji kapitałowej określone w Polityce kapitałowej Banku. W ramach badania przyjęto cele kapitałowe ok</w:t>
      </w:r>
      <w:r w:rsidR="00210E68" w:rsidRPr="00014E17">
        <w:rPr>
          <w:rFonts w:ascii="Times New Roman" w:hAnsi="Times New Roman" w:cs="Times New Roman"/>
          <w:sz w:val="24"/>
          <w:szCs w:val="24"/>
        </w:rPr>
        <w:t xml:space="preserve">reślone w Polityce kapitałowej, </w:t>
      </w:r>
      <w:r w:rsidRPr="00014E17">
        <w:rPr>
          <w:rFonts w:ascii="Times New Roman" w:hAnsi="Times New Roman" w:cs="Times New Roman"/>
          <w:sz w:val="24"/>
          <w:szCs w:val="24"/>
        </w:rPr>
        <w:t xml:space="preserve">zatwierdzonej przez Radę Nadzorczą </w:t>
      </w:r>
      <w:r w:rsidRPr="000A13ED">
        <w:rPr>
          <w:rFonts w:ascii="Times New Roman" w:hAnsi="Times New Roman" w:cs="Times New Roman"/>
          <w:sz w:val="24"/>
          <w:szCs w:val="24"/>
        </w:rPr>
        <w:t xml:space="preserve">w dniu </w:t>
      </w:r>
      <w:r w:rsidR="00345ED6" w:rsidRPr="000A13ED">
        <w:rPr>
          <w:rFonts w:ascii="Times New Roman" w:hAnsi="Times New Roman" w:cs="Times New Roman"/>
          <w:sz w:val="24"/>
          <w:szCs w:val="24"/>
        </w:rPr>
        <w:t>23.10.2019</w:t>
      </w:r>
      <w:r w:rsidR="00557FA6" w:rsidRPr="000A13ED">
        <w:rPr>
          <w:rFonts w:ascii="Times New Roman" w:hAnsi="Times New Roman" w:cs="Times New Roman"/>
          <w:sz w:val="24"/>
          <w:szCs w:val="24"/>
        </w:rPr>
        <w:t xml:space="preserve"> </w:t>
      </w:r>
      <w:r w:rsidRPr="000A13ED">
        <w:rPr>
          <w:rFonts w:ascii="Times New Roman" w:hAnsi="Times New Roman" w:cs="Times New Roman"/>
          <w:sz w:val="24"/>
          <w:szCs w:val="24"/>
        </w:rPr>
        <w:t xml:space="preserve">r. </w:t>
      </w:r>
      <w:r w:rsidR="00014E17" w:rsidRPr="000A13ED">
        <w:rPr>
          <w:rFonts w:ascii="Times New Roman" w:hAnsi="Times New Roman" w:cs="Times New Roman"/>
          <w:sz w:val="24"/>
          <w:szCs w:val="24"/>
        </w:rPr>
        <w:t xml:space="preserve"> z późn. zm. </w:t>
      </w:r>
      <w:r w:rsidRPr="000A13ED">
        <w:rPr>
          <w:rFonts w:ascii="Times New Roman" w:hAnsi="Times New Roman" w:cs="Times New Roman"/>
          <w:sz w:val="24"/>
          <w:szCs w:val="24"/>
        </w:rPr>
        <w:t>Przedmiotowa</w:t>
      </w:r>
      <w:r w:rsidRPr="00014E17">
        <w:rPr>
          <w:rFonts w:ascii="Times New Roman" w:hAnsi="Times New Roman" w:cs="Times New Roman"/>
          <w:sz w:val="24"/>
          <w:szCs w:val="24"/>
        </w:rPr>
        <w:t xml:space="preserve"> polityka </w:t>
      </w:r>
      <w:r w:rsidR="00210E68" w:rsidRPr="00014E17">
        <w:rPr>
          <w:rFonts w:ascii="Times New Roman" w:hAnsi="Times New Roman" w:cs="Times New Roman"/>
          <w:sz w:val="24"/>
          <w:szCs w:val="24"/>
        </w:rPr>
        <w:t>u</w:t>
      </w:r>
      <w:r w:rsidRPr="00014E17">
        <w:rPr>
          <w:rFonts w:ascii="Times New Roman" w:hAnsi="Times New Roman" w:cs="Times New Roman"/>
          <w:sz w:val="24"/>
          <w:szCs w:val="24"/>
        </w:rPr>
        <w:t xml:space="preserve">względnia dodatkowe wymogi w zakresie adekwatności kapitałowej, wynikające z Ustawy o nadzorze makroostrożnościowym i dotyczące przede wszystkim konieczności utrzymywania dodatkowych buforów kapitałowych (zabezpieczającego i antycyklicznego). </w:t>
      </w:r>
      <w:r w:rsidR="007F4239" w:rsidRPr="00014E17">
        <w:rPr>
          <w:rFonts w:ascii="Times New Roman" w:hAnsi="Times New Roman" w:cs="Times New Roman"/>
          <w:sz w:val="24"/>
          <w:szCs w:val="24"/>
        </w:rPr>
        <w:t>W polityce kapitałowej B</w:t>
      </w:r>
      <w:r w:rsidR="007569FF" w:rsidRPr="00014E17">
        <w:rPr>
          <w:rFonts w:ascii="Times New Roman" w:hAnsi="Times New Roman" w:cs="Times New Roman"/>
          <w:sz w:val="24"/>
          <w:szCs w:val="24"/>
        </w:rPr>
        <w:t>ank przyjął, że będzie prowadził działalność w sposób zapewniający zachowanie ogólnych limitów ryzyka na pozi</w:t>
      </w:r>
      <w:r w:rsidR="007F4239" w:rsidRPr="00014E17">
        <w:rPr>
          <w:rFonts w:ascii="Times New Roman" w:hAnsi="Times New Roman" w:cs="Times New Roman"/>
          <w:sz w:val="24"/>
          <w:szCs w:val="24"/>
        </w:rPr>
        <w:t>omie uwzględniającym następujące</w:t>
      </w:r>
      <w:r w:rsidR="007569FF" w:rsidRPr="00014E17">
        <w:rPr>
          <w:rFonts w:ascii="Times New Roman" w:hAnsi="Times New Roman" w:cs="Times New Roman"/>
          <w:sz w:val="24"/>
          <w:szCs w:val="24"/>
        </w:rPr>
        <w:t xml:space="preserve"> wskaźnik</w:t>
      </w:r>
      <w:r w:rsidR="007F4239" w:rsidRPr="00014E17">
        <w:rPr>
          <w:rFonts w:ascii="Times New Roman" w:hAnsi="Times New Roman" w:cs="Times New Roman"/>
          <w:sz w:val="24"/>
          <w:szCs w:val="24"/>
        </w:rPr>
        <w:t>i</w:t>
      </w:r>
      <w:r w:rsidR="007569FF" w:rsidRPr="00014E17">
        <w:rPr>
          <w:rFonts w:ascii="Times New Roman" w:hAnsi="Times New Roman" w:cs="Times New Roman"/>
          <w:sz w:val="24"/>
          <w:szCs w:val="24"/>
        </w:rPr>
        <w:t>:</w:t>
      </w:r>
    </w:p>
    <w:p w14:paraId="781C7270" w14:textId="77777777" w:rsidR="007569FF" w:rsidRPr="00014E17" w:rsidRDefault="007569FF" w:rsidP="00993749">
      <w:pPr>
        <w:numPr>
          <w:ilvl w:val="1"/>
          <w:numId w:val="7"/>
        </w:numPr>
        <w:spacing w:after="0" w:line="264" w:lineRule="auto"/>
        <w:ind w:left="284" w:hanging="284"/>
        <w:jc w:val="both"/>
        <w:rPr>
          <w:rFonts w:ascii="Times New Roman" w:hAnsi="Times New Roman" w:cs="Times New Roman"/>
          <w:sz w:val="24"/>
          <w:szCs w:val="24"/>
        </w:rPr>
      </w:pPr>
      <w:r w:rsidRPr="00014E17">
        <w:rPr>
          <w:rFonts w:ascii="Times New Roman" w:hAnsi="Times New Roman" w:cs="Times New Roman"/>
          <w:sz w:val="24"/>
          <w:szCs w:val="24"/>
        </w:rPr>
        <w:t>łączny współczynnik kapitałowy na koniec miesięcznych okresów sprawozdawczych powinien kształtować się na poziomie wyższym lub równym 16,5 %;</w:t>
      </w:r>
    </w:p>
    <w:p w14:paraId="765F3968" w14:textId="77777777" w:rsidR="007569FF" w:rsidRPr="00014E17" w:rsidRDefault="007569FF" w:rsidP="00993749">
      <w:pPr>
        <w:numPr>
          <w:ilvl w:val="1"/>
          <w:numId w:val="7"/>
        </w:numPr>
        <w:spacing w:after="0" w:line="264" w:lineRule="auto"/>
        <w:ind w:left="284" w:hanging="284"/>
        <w:jc w:val="both"/>
        <w:rPr>
          <w:rFonts w:ascii="Times New Roman" w:hAnsi="Times New Roman" w:cs="Times New Roman"/>
          <w:sz w:val="24"/>
          <w:szCs w:val="24"/>
        </w:rPr>
      </w:pPr>
      <w:r w:rsidRPr="00014E17">
        <w:rPr>
          <w:rFonts w:ascii="Times New Roman" w:hAnsi="Times New Roman" w:cs="Times New Roman"/>
          <w:sz w:val="24"/>
          <w:szCs w:val="24"/>
        </w:rPr>
        <w:t>współczynnik kapitału Tier I na koniec miesięcznych okresów sprawozdawczych powinien osiągnąć wartość na poz</w:t>
      </w:r>
      <w:r w:rsidR="00557FA6" w:rsidRPr="00014E17">
        <w:rPr>
          <w:rFonts w:ascii="Times New Roman" w:hAnsi="Times New Roman" w:cs="Times New Roman"/>
          <w:sz w:val="24"/>
          <w:szCs w:val="24"/>
        </w:rPr>
        <w:t>iomie wyższym lub równym 15,5 %.</w:t>
      </w:r>
    </w:p>
    <w:p w14:paraId="3E2A49A3" w14:textId="77777777" w:rsidR="00210E68" w:rsidRPr="000E3272" w:rsidRDefault="00210E68" w:rsidP="00174CA0">
      <w:pPr>
        <w:spacing w:after="0" w:line="264" w:lineRule="auto"/>
        <w:rPr>
          <w:rFonts w:ascii="Times New Roman" w:hAnsi="Times New Roman" w:cs="Times New Roman"/>
          <w:color w:val="FF0000"/>
          <w:sz w:val="24"/>
          <w:szCs w:val="24"/>
        </w:rPr>
      </w:pPr>
    </w:p>
    <w:p w14:paraId="7757B99E" w14:textId="77777777" w:rsidR="006C34F1" w:rsidRPr="00014E17" w:rsidRDefault="006C34F1" w:rsidP="00174CA0">
      <w:pPr>
        <w:spacing w:after="0" w:line="264" w:lineRule="auto"/>
        <w:jc w:val="both"/>
        <w:rPr>
          <w:rFonts w:ascii="Times New Roman" w:hAnsi="Times New Roman" w:cs="Times New Roman"/>
          <w:sz w:val="24"/>
          <w:szCs w:val="24"/>
        </w:rPr>
      </w:pPr>
      <w:r w:rsidRPr="00014E17">
        <w:rPr>
          <w:rFonts w:ascii="Times New Roman" w:hAnsi="Times New Roman" w:cs="Times New Roman"/>
          <w:sz w:val="24"/>
          <w:szCs w:val="24"/>
        </w:rPr>
        <w:t xml:space="preserve">Badanie </w:t>
      </w:r>
      <w:r w:rsidR="007F4239" w:rsidRPr="00014E17">
        <w:rPr>
          <w:rFonts w:ascii="Times New Roman" w:hAnsi="Times New Roman" w:cs="Times New Roman"/>
          <w:sz w:val="24"/>
          <w:szCs w:val="24"/>
        </w:rPr>
        <w:t xml:space="preserve">adekwatności kapitałowej </w:t>
      </w:r>
      <w:r w:rsidRPr="00014E17">
        <w:rPr>
          <w:rFonts w:ascii="Times New Roman" w:hAnsi="Times New Roman" w:cs="Times New Roman"/>
          <w:sz w:val="24"/>
          <w:szCs w:val="24"/>
        </w:rPr>
        <w:t>przeprowadzono w ramach procesu oceny adekwatności kapitału wewnętrznego (ICAAP), w ramach którego Bank zobowiązany jest do oszacowania i utrzymywania kapitału wewnętrznego, który – uwzględniając rodzaje ryzyka, na które Bank jest lub może być narażony – jest adekwatny pod względem ilości</w:t>
      </w:r>
      <w:r w:rsidR="007F4239" w:rsidRPr="00014E17">
        <w:rPr>
          <w:rFonts w:ascii="Times New Roman" w:hAnsi="Times New Roman" w:cs="Times New Roman"/>
          <w:sz w:val="24"/>
          <w:szCs w:val="24"/>
        </w:rPr>
        <w:t>owym i jakościowym</w:t>
      </w:r>
      <w:r w:rsidRPr="00014E17">
        <w:rPr>
          <w:rFonts w:ascii="Times New Roman" w:hAnsi="Times New Roman" w:cs="Times New Roman"/>
          <w:sz w:val="24"/>
          <w:szCs w:val="24"/>
        </w:rPr>
        <w:t xml:space="preserve">. </w:t>
      </w:r>
    </w:p>
    <w:p w14:paraId="7B78E692" w14:textId="77777777" w:rsidR="006C34F1" w:rsidRDefault="006C34F1" w:rsidP="00174CA0">
      <w:pPr>
        <w:spacing w:after="0" w:line="264" w:lineRule="auto"/>
        <w:rPr>
          <w:rFonts w:ascii="Times New Roman" w:hAnsi="Times New Roman" w:cs="Times New Roman"/>
          <w:color w:val="FF0000"/>
          <w:sz w:val="24"/>
          <w:szCs w:val="24"/>
        </w:rPr>
      </w:pPr>
    </w:p>
    <w:p w14:paraId="683258C3" w14:textId="77777777" w:rsidR="006843E0" w:rsidRPr="000E3272" w:rsidRDefault="006843E0" w:rsidP="00174CA0">
      <w:pPr>
        <w:spacing w:after="0" w:line="264" w:lineRule="auto"/>
        <w:rPr>
          <w:rFonts w:ascii="Times New Roman" w:hAnsi="Times New Roman" w:cs="Times New Roman"/>
          <w:color w:val="FF0000"/>
          <w:sz w:val="24"/>
          <w:szCs w:val="24"/>
        </w:rPr>
      </w:pPr>
    </w:p>
    <w:p w14:paraId="6E841611" w14:textId="77777777" w:rsidR="006C34F1" w:rsidRPr="0000735A" w:rsidRDefault="006C34F1" w:rsidP="00603DB6">
      <w:pPr>
        <w:pStyle w:val="Nagwek1"/>
        <w:numPr>
          <w:ilvl w:val="1"/>
          <w:numId w:val="28"/>
        </w:numPr>
        <w:ind w:left="284" w:hanging="284"/>
        <w:rPr>
          <w:rFonts w:ascii="Times New Roman" w:hAnsi="Times New Roman" w:cs="Times New Roman"/>
          <w:b/>
          <w:color w:val="auto"/>
          <w:sz w:val="24"/>
          <w:szCs w:val="24"/>
        </w:rPr>
      </w:pPr>
      <w:bookmarkStart w:id="34" w:name="_Toc44930277"/>
      <w:r w:rsidRPr="0000735A">
        <w:rPr>
          <w:rFonts w:ascii="Times New Roman" w:hAnsi="Times New Roman" w:cs="Times New Roman"/>
          <w:b/>
          <w:color w:val="auto"/>
          <w:sz w:val="24"/>
          <w:szCs w:val="24"/>
        </w:rPr>
        <w:lastRenderedPageBreak/>
        <w:t>KAPITAŁ REGULACYJNY</w:t>
      </w:r>
      <w:bookmarkEnd w:id="34"/>
      <w:r w:rsidRPr="0000735A">
        <w:rPr>
          <w:rFonts w:ascii="Times New Roman" w:hAnsi="Times New Roman" w:cs="Times New Roman"/>
          <w:b/>
          <w:color w:val="auto"/>
          <w:sz w:val="24"/>
          <w:szCs w:val="24"/>
        </w:rPr>
        <w:t xml:space="preserve"> </w:t>
      </w:r>
    </w:p>
    <w:p w14:paraId="5C4F7339" w14:textId="77777777" w:rsidR="00D35A22" w:rsidRPr="0000735A" w:rsidRDefault="00D35A22" w:rsidP="00174CA0">
      <w:pPr>
        <w:spacing w:after="0" w:line="264" w:lineRule="auto"/>
        <w:rPr>
          <w:rFonts w:ascii="Times New Roman" w:hAnsi="Times New Roman" w:cs="Times New Roman"/>
          <w:b/>
          <w:sz w:val="24"/>
          <w:szCs w:val="24"/>
        </w:rPr>
      </w:pPr>
    </w:p>
    <w:p w14:paraId="6F044505" w14:textId="77777777" w:rsidR="006C34F1" w:rsidRPr="0000735A" w:rsidRDefault="006C34F1" w:rsidP="008903DA">
      <w:pPr>
        <w:spacing w:after="0" w:line="264" w:lineRule="auto"/>
        <w:ind w:firstLine="708"/>
        <w:jc w:val="both"/>
        <w:rPr>
          <w:rFonts w:ascii="Times New Roman" w:hAnsi="Times New Roman" w:cs="Times New Roman"/>
          <w:sz w:val="24"/>
          <w:szCs w:val="24"/>
        </w:rPr>
      </w:pPr>
      <w:r w:rsidRPr="0000735A">
        <w:rPr>
          <w:rFonts w:ascii="Times New Roman" w:hAnsi="Times New Roman" w:cs="Times New Roman"/>
          <w:sz w:val="24"/>
          <w:szCs w:val="24"/>
        </w:rPr>
        <w:t xml:space="preserve">Punktem wyjściowym dla ustalenia kapitału wewnętrznego Banku są rozwiązania oparte o kapitał regulacyjny, wynikające z zasad określonych w Rozporządzeniu CRR. </w:t>
      </w:r>
    </w:p>
    <w:p w14:paraId="11D8BF90" w14:textId="77777777" w:rsidR="007569FF" w:rsidRPr="0000735A" w:rsidRDefault="00813CF5" w:rsidP="008903DA">
      <w:pPr>
        <w:spacing w:after="0" w:line="264" w:lineRule="auto"/>
        <w:ind w:firstLine="708"/>
        <w:jc w:val="both"/>
        <w:rPr>
          <w:rFonts w:ascii="Times New Roman" w:hAnsi="Times New Roman" w:cs="Times New Roman"/>
          <w:sz w:val="24"/>
          <w:szCs w:val="24"/>
        </w:rPr>
      </w:pPr>
      <w:r w:rsidRPr="0000735A">
        <w:rPr>
          <w:rFonts w:ascii="Times New Roman" w:hAnsi="Times New Roman" w:cs="Times New Roman"/>
          <w:sz w:val="24"/>
          <w:szCs w:val="24"/>
        </w:rPr>
        <w:t>Na dzień 31.12.</w:t>
      </w:r>
      <w:r w:rsidR="00A83CDD" w:rsidRPr="0000735A">
        <w:rPr>
          <w:rFonts w:ascii="Times New Roman" w:hAnsi="Times New Roman" w:cs="Times New Roman"/>
          <w:sz w:val="24"/>
          <w:szCs w:val="24"/>
        </w:rPr>
        <w:t>20</w:t>
      </w:r>
      <w:r w:rsidR="00014E17" w:rsidRPr="0000735A">
        <w:rPr>
          <w:rFonts w:ascii="Times New Roman" w:hAnsi="Times New Roman" w:cs="Times New Roman"/>
          <w:sz w:val="24"/>
          <w:szCs w:val="24"/>
        </w:rPr>
        <w:t>20</w:t>
      </w:r>
      <w:r w:rsidR="006C34F1" w:rsidRPr="0000735A">
        <w:rPr>
          <w:rFonts w:ascii="Times New Roman" w:hAnsi="Times New Roman" w:cs="Times New Roman"/>
          <w:sz w:val="24"/>
          <w:szCs w:val="24"/>
        </w:rPr>
        <w:t xml:space="preserve"> r. </w:t>
      </w:r>
      <w:r w:rsidR="007569FF" w:rsidRPr="0000735A">
        <w:rPr>
          <w:rFonts w:ascii="Times New Roman" w:hAnsi="Times New Roman" w:cs="Times New Roman"/>
          <w:sz w:val="24"/>
          <w:szCs w:val="24"/>
        </w:rPr>
        <w:t xml:space="preserve">Warmińsko-Mazurski </w:t>
      </w:r>
      <w:r w:rsidR="006C34F1" w:rsidRPr="0000735A">
        <w:rPr>
          <w:rFonts w:ascii="Times New Roman" w:hAnsi="Times New Roman" w:cs="Times New Roman"/>
          <w:sz w:val="24"/>
          <w:szCs w:val="24"/>
        </w:rPr>
        <w:t xml:space="preserve">Bank </w:t>
      </w:r>
      <w:r w:rsidR="007569FF" w:rsidRPr="0000735A">
        <w:rPr>
          <w:rFonts w:ascii="Times New Roman" w:hAnsi="Times New Roman" w:cs="Times New Roman"/>
          <w:sz w:val="24"/>
          <w:szCs w:val="24"/>
        </w:rPr>
        <w:t xml:space="preserve">Spółdzielczy </w:t>
      </w:r>
      <w:r w:rsidR="006C34F1" w:rsidRPr="0000735A">
        <w:rPr>
          <w:rFonts w:ascii="Times New Roman" w:hAnsi="Times New Roman" w:cs="Times New Roman"/>
          <w:sz w:val="24"/>
          <w:szCs w:val="24"/>
        </w:rPr>
        <w:t xml:space="preserve">w kalkulacji kapitału regulacyjnego uwzględniał łączną kwotę ekspozycji na ryzyko obejmującą: </w:t>
      </w:r>
    </w:p>
    <w:p w14:paraId="4339BCC5" w14:textId="77777777" w:rsidR="006C34F1" w:rsidRPr="0000735A" w:rsidRDefault="006C34F1" w:rsidP="008903DA">
      <w:pPr>
        <w:spacing w:after="0" w:line="264" w:lineRule="auto"/>
        <w:jc w:val="both"/>
        <w:rPr>
          <w:rFonts w:ascii="Times New Roman" w:hAnsi="Times New Roman" w:cs="Times New Roman"/>
          <w:sz w:val="24"/>
          <w:szCs w:val="24"/>
        </w:rPr>
      </w:pPr>
      <w:r w:rsidRPr="0000735A">
        <w:rPr>
          <w:rFonts w:ascii="Times New Roman" w:hAnsi="Times New Roman" w:cs="Times New Roman"/>
          <w:sz w:val="24"/>
          <w:szCs w:val="24"/>
        </w:rPr>
        <w:t xml:space="preserve">1) ekspozycję na ryzyko kredytowe według metody standardowej; </w:t>
      </w:r>
    </w:p>
    <w:p w14:paraId="190BBA05" w14:textId="77777777" w:rsidR="006C34F1" w:rsidRPr="00C2468E" w:rsidRDefault="006C34F1" w:rsidP="008903DA">
      <w:pPr>
        <w:spacing w:after="0" w:line="264" w:lineRule="auto"/>
        <w:jc w:val="both"/>
        <w:rPr>
          <w:rFonts w:ascii="Times New Roman" w:hAnsi="Times New Roman" w:cs="Times New Roman"/>
          <w:sz w:val="24"/>
          <w:szCs w:val="24"/>
        </w:rPr>
      </w:pPr>
      <w:r w:rsidRPr="00C2468E">
        <w:rPr>
          <w:rFonts w:ascii="Times New Roman" w:hAnsi="Times New Roman" w:cs="Times New Roman"/>
          <w:sz w:val="24"/>
          <w:szCs w:val="24"/>
        </w:rPr>
        <w:t xml:space="preserve">2) ekspozycję na ryzyko operacyjne według metody wskaźnika bazowego; </w:t>
      </w:r>
    </w:p>
    <w:p w14:paraId="71EC0D3B" w14:textId="77777777" w:rsidR="006C34F1" w:rsidRPr="00C2468E" w:rsidRDefault="006C34F1" w:rsidP="008903DA">
      <w:pPr>
        <w:spacing w:after="0" w:line="264" w:lineRule="auto"/>
        <w:jc w:val="both"/>
        <w:rPr>
          <w:rFonts w:ascii="Times New Roman" w:hAnsi="Times New Roman" w:cs="Times New Roman"/>
          <w:sz w:val="24"/>
          <w:szCs w:val="24"/>
        </w:rPr>
      </w:pPr>
      <w:r w:rsidRPr="00C2468E">
        <w:rPr>
          <w:rFonts w:ascii="Times New Roman" w:hAnsi="Times New Roman" w:cs="Times New Roman"/>
          <w:sz w:val="24"/>
          <w:szCs w:val="24"/>
        </w:rPr>
        <w:t xml:space="preserve">3) ekspozycję na ryzyko walutowe według metody de minimis. </w:t>
      </w:r>
    </w:p>
    <w:p w14:paraId="07C49237" w14:textId="77777777" w:rsidR="000B7529" w:rsidRPr="00C2468E" w:rsidRDefault="00813CF5" w:rsidP="008903DA">
      <w:pPr>
        <w:spacing w:after="0" w:line="264" w:lineRule="auto"/>
        <w:jc w:val="both"/>
        <w:rPr>
          <w:rFonts w:ascii="Times New Roman" w:hAnsi="Times New Roman" w:cs="Times New Roman"/>
          <w:sz w:val="24"/>
          <w:szCs w:val="24"/>
        </w:rPr>
      </w:pPr>
      <w:r w:rsidRPr="00C2468E">
        <w:rPr>
          <w:rFonts w:ascii="Times New Roman" w:hAnsi="Times New Roman" w:cs="Times New Roman"/>
          <w:sz w:val="24"/>
          <w:szCs w:val="24"/>
        </w:rPr>
        <w:t>Na dzień 31.12.</w:t>
      </w:r>
      <w:r w:rsidR="00A83CDD" w:rsidRPr="00C2468E">
        <w:rPr>
          <w:rFonts w:ascii="Times New Roman" w:hAnsi="Times New Roman" w:cs="Times New Roman"/>
          <w:sz w:val="24"/>
          <w:szCs w:val="24"/>
        </w:rPr>
        <w:t>20</w:t>
      </w:r>
      <w:r w:rsidR="00014E17" w:rsidRPr="00C2468E">
        <w:rPr>
          <w:rFonts w:ascii="Times New Roman" w:hAnsi="Times New Roman" w:cs="Times New Roman"/>
          <w:sz w:val="24"/>
          <w:szCs w:val="24"/>
        </w:rPr>
        <w:t>20</w:t>
      </w:r>
      <w:r w:rsidR="006C34F1" w:rsidRPr="00C2468E">
        <w:rPr>
          <w:rFonts w:ascii="Times New Roman" w:hAnsi="Times New Roman" w:cs="Times New Roman"/>
          <w:sz w:val="24"/>
          <w:szCs w:val="24"/>
        </w:rPr>
        <w:t xml:space="preserve"> r. łączna kwota ekspozycji na ryzyko wyniosła </w:t>
      </w:r>
      <w:r w:rsidR="00C2468E" w:rsidRPr="00C2468E">
        <w:rPr>
          <w:rFonts w:ascii="Times New Roman" w:hAnsi="Times New Roman" w:cs="Times New Roman"/>
          <w:sz w:val="24"/>
          <w:szCs w:val="24"/>
        </w:rPr>
        <w:t>375 564</w:t>
      </w:r>
      <w:r w:rsidR="00365202" w:rsidRPr="00C2468E">
        <w:rPr>
          <w:rFonts w:ascii="Times New Roman" w:hAnsi="Times New Roman" w:cs="Times New Roman"/>
          <w:sz w:val="24"/>
          <w:szCs w:val="24"/>
        </w:rPr>
        <w:t xml:space="preserve"> </w:t>
      </w:r>
      <w:r w:rsidR="000B7529" w:rsidRPr="00C2468E">
        <w:rPr>
          <w:rFonts w:ascii="Times New Roman" w:hAnsi="Times New Roman" w:cs="Times New Roman"/>
          <w:sz w:val="24"/>
          <w:szCs w:val="24"/>
        </w:rPr>
        <w:t>ty</w:t>
      </w:r>
      <w:r w:rsidR="00014E17" w:rsidRPr="00C2468E">
        <w:rPr>
          <w:rFonts w:ascii="Times New Roman" w:hAnsi="Times New Roman" w:cs="Times New Roman"/>
          <w:sz w:val="24"/>
          <w:szCs w:val="24"/>
        </w:rPr>
        <w:t>s</w:t>
      </w:r>
      <w:r w:rsidR="000B7529" w:rsidRPr="00C2468E">
        <w:rPr>
          <w:rFonts w:ascii="Times New Roman" w:hAnsi="Times New Roman" w:cs="Times New Roman"/>
          <w:sz w:val="24"/>
          <w:szCs w:val="24"/>
        </w:rPr>
        <w:t>. zł</w:t>
      </w:r>
      <w:r w:rsidR="006C34F1" w:rsidRPr="00C2468E">
        <w:rPr>
          <w:rFonts w:ascii="Times New Roman" w:hAnsi="Times New Roman" w:cs="Times New Roman"/>
          <w:sz w:val="24"/>
          <w:szCs w:val="24"/>
        </w:rPr>
        <w:t xml:space="preserve">. </w:t>
      </w:r>
    </w:p>
    <w:p w14:paraId="1B29EC2C" w14:textId="77777777" w:rsidR="006C34F1" w:rsidRPr="00C2468E" w:rsidRDefault="006C34F1" w:rsidP="008903DA">
      <w:pPr>
        <w:spacing w:after="0" w:line="264" w:lineRule="auto"/>
        <w:jc w:val="both"/>
        <w:rPr>
          <w:rFonts w:ascii="Times New Roman" w:hAnsi="Times New Roman" w:cs="Times New Roman"/>
          <w:sz w:val="24"/>
          <w:szCs w:val="24"/>
        </w:rPr>
      </w:pPr>
      <w:r w:rsidRPr="00C2468E">
        <w:rPr>
          <w:rFonts w:ascii="Times New Roman" w:hAnsi="Times New Roman" w:cs="Times New Roman"/>
          <w:sz w:val="24"/>
          <w:szCs w:val="24"/>
        </w:rPr>
        <w:t xml:space="preserve">Wymogi w zakresie funduszy własnych (kapitał regulacyjny) oszacowano na poziomie </w:t>
      </w:r>
      <w:r w:rsidR="00C2468E" w:rsidRPr="00C2468E">
        <w:rPr>
          <w:rFonts w:ascii="Times New Roman" w:hAnsi="Times New Roman" w:cs="Times New Roman"/>
          <w:sz w:val="24"/>
          <w:szCs w:val="24"/>
        </w:rPr>
        <w:t>33 133</w:t>
      </w:r>
      <w:r w:rsidR="000B7529" w:rsidRPr="00C2468E">
        <w:rPr>
          <w:rFonts w:ascii="Times New Roman" w:hAnsi="Times New Roman" w:cs="Times New Roman"/>
          <w:sz w:val="24"/>
          <w:szCs w:val="24"/>
        </w:rPr>
        <w:t xml:space="preserve"> tys. zł</w:t>
      </w:r>
      <w:r w:rsidRPr="00C2468E">
        <w:rPr>
          <w:rFonts w:ascii="Times New Roman" w:hAnsi="Times New Roman" w:cs="Times New Roman"/>
          <w:sz w:val="24"/>
          <w:szCs w:val="24"/>
        </w:rPr>
        <w:t xml:space="preserve"> </w:t>
      </w:r>
      <w:r w:rsidR="000B7529" w:rsidRPr="00C2468E">
        <w:rPr>
          <w:rFonts w:ascii="Times New Roman" w:hAnsi="Times New Roman" w:cs="Times New Roman"/>
          <w:sz w:val="24"/>
          <w:szCs w:val="24"/>
        </w:rPr>
        <w:t xml:space="preserve"> i </w:t>
      </w:r>
      <w:r w:rsidRPr="00C2468E">
        <w:rPr>
          <w:rFonts w:ascii="Times New Roman" w:hAnsi="Times New Roman" w:cs="Times New Roman"/>
          <w:sz w:val="24"/>
          <w:szCs w:val="24"/>
        </w:rPr>
        <w:t xml:space="preserve">składały się z: </w:t>
      </w:r>
    </w:p>
    <w:p w14:paraId="3256238F" w14:textId="77777777" w:rsidR="006C34F1" w:rsidRPr="00C2468E" w:rsidRDefault="006C34F1" w:rsidP="008903DA">
      <w:pPr>
        <w:spacing w:after="0" w:line="264" w:lineRule="auto"/>
        <w:jc w:val="both"/>
        <w:rPr>
          <w:rFonts w:ascii="Times New Roman" w:hAnsi="Times New Roman" w:cs="Times New Roman"/>
          <w:sz w:val="24"/>
          <w:szCs w:val="24"/>
        </w:rPr>
      </w:pPr>
      <w:r w:rsidRPr="00C2468E">
        <w:rPr>
          <w:rFonts w:ascii="Times New Roman" w:hAnsi="Times New Roman" w:cs="Times New Roman"/>
          <w:sz w:val="24"/>
          <w:szCs w:val="24"/>
        </w:rPr>
        <w:t xml:space="preserve">1) wymogów w zakresie funduszy własnych z tytułu ryzyka kredytowego w kwocie </w:t>
      </w:r>
      <w:r w:rsidR="00C2468E" w:rsidRPr="00C2468E">
        <w:rPr>
          <w:rFonts w:ascii="Times New Roman" w:hAnsi="Times New Roman" w:cs="Times New Roman"/>
        </w:rPr>
        <w:t>30 045</w:t>
      </w:r>
      <w:r w:rsidR="00E879D1" w:rsidRPr="00C2468E">
        <w:rPr>
          <w:rFonts w:ascii="Times New Roman" w:hAnsi="Times New Roman" w:cs="Times New Roman"/>
        </w:rPr>
        <w:t> </w:t>
      </w:r>
      <w:r w:rsidR="000B7529" w:rsidRPr="00C2468E">
        <w:rPr>
          <w:rFonts w:ascii="Times New Roman" w:hAnsi="Times New Roman" w:cs="Times New Roman"/>
        </w:rPr>
        <w:t>tys. zł</w:t>
      </w:r>
      <w:r w:rsidRPr="00C2468E">
        <w:rPr>
          <w:rFonts w:ascii="Times New Roman" w:hAnsi="Times New Roman" w:cs="Times New Roman"/>
          <w:sz w:val="24"/>
          <w:szCs w:val="24"/>
        </w:rPr>
        <w:t xml:space="preserve">; </w:t>
      </w:r>
    </w:p>
    <w:p w14:paraId="2D9EFB0B" w14:textId="77777777" w:rsidR="006C34F1" w:rsidRPr="00C2468E" w:rsidRDefault="006C34F1" w:rsidP="008903DA">
      <w:pPr>
        <w:spacing w:after="0" w:line="264" w:lineRule="auto"/>
        <w:jc w:val="both"/>
        <w:rPr>
          <w:rFonts w:ascii="Times New Roman" w:hAnsi="Times New Roman" w:cs="Times New Roman"/>
          <w:sz w:val="24"/>
          <w:szCs w:val="24"/>
        </w:rPr>
      </w:pPr>
      <w:r w:rsidRPr="00C2468E">
        <w:rPr>
          <w:rFonts w:ascii="Times New Roman" w:hAnsi="Times New Roman" w:cs="Times New Roman"/>
          <w:sz w:val="24"/>
          <w:szCs w:val="24"/>
        </w:rPr>
        <w:t xml:space="preserve">2) wymogów w zakresie funduszy własnych z tytułu ryzyka operacyjnego: </w:t>
      </w:r>
      <w:r w:rsidR="00C2468E" w:rsidRPr="00C2468E">
        <w:rPr>
          <w:rFonts w:ascii="Times New Roman" w:hAnsi="Times New Roman" w:cs="Times New Roman"/>
        </w:rPr>
        <w:t>3 088</w:t>
      </w:r>
      <w:r w:rsidR="000B7529" w:rsidRPr="00C2468E">
        <w:rPr>
          <w:rFonts w:ascii="Times New Roman" w:hAnsi="Times New Roman" w:cs="Times New Roman"/>
        </w:rPr>
        <w:t xml:space="preserve"> tys. zł</w:t>
      </w:r>
      <w:r w:rsidRPr="00C2468E">
        <w:rPr>
          <w:rFonts w:ascii="Times New Roman" w:hAnsi="Times New Roman" w:cs="Times New Roman"/>
          <w:sz w:val="24"/>
          <w:szCs w:val="24"/>
        </w:rPr>
        <w:t xml:space="preserve">. </w:t>
      </w:r>
    </w:p>
    <w:p w14:paraId="4711A385" w14:textId="77777777" w:rsidR="006C34F1" w:rsidRPr="00C2468E" w:rsidRDefault="006C34F1" w:rsidP="008903DA">
      <w:pPr>
        <w:spacing w:after="0" w:line="264" w:lineRule="auto"/>
        <w:jc w:val="both"/>
        <w:rPr>
          <w:rFonts w:ascii="Times New Roman" w:hAnsi="Times New Roman" w:cs="Times New Roman"/>
          <w:sz w:val="24"/>
          <w:szCs w:val="24"/>
        </w:rPr>
      </w:pPr>
      <w:r w:rsidRPr="00C2468E">
        <w:rPr>
          <w:rFonts w:ascii="Times New Roman" w:hAnsi="Times New Roman" w:cs="Times New Roman"/>
          <w:sz w:val="24"/>
          <w:szCs w:val="24"/>
        </w:rPr>
        <w:t>Łączny współczynnik kapi</w:t>
      </w:r>
      <w:r w:rsidR="001E05CC" w:rsidRPr="00C2468E">
        <w:rPr>
          <w:rFonts w:ascii="Times New Roman" w:hAnsi="Times New Roman" w:cs="Times New Roman"/>
          <w:sz w:val="24"/>
          <w:szCs w:val="24"/>
        </w:rPr>
        <w:t>tałowy (TCR) na dzień 31.12.20</w:t>
      </w:r>
      <w:r w:rsidR="00C2468E" w:rsidRPr="00C2468E">
        <w:rPr>
          <w:rFonts w:ascii="Times New Roman" w:hAnsi="Times New Roman" w:cs="Times New Roman"/>
          <w:sz w:val="24"/>
          <w:szCs w:val="24"/>
        </w:rPr>
        <w:t>20</w:t>
      </w:r>
      <w:r w:rsidRPr="00C2468E">
        <w:rPr>
          <w:rFonts w:ascii="Times New Roman" w:hAnsi="Times New Roman" w:cs="Times New Roman"/>
          <w:sz w:val="24"/>
          <w:szCs w:val="24"/>
        </w:rPr>
        <w:t xml:space="preserve"> r. wyniósł </w:t>
      </w:r>
      <w:r w:rsidR="001E05CC" w:rsidRPr="00C2468E">
        <w:rPr>
          <w:rFonts w:ascii="Times New Roman" w:hAnsi="Times New Roman" w:cs="Times New Roman"/>
          <w:sz w:val="24"/>
          <w:szCs w:val="24"/>
        </w:rPr>
        <w:t>22,</w:t>
      </w:r>
      <w:r w:rsidR="00C2468E" w:rsidRPr="00C2468E">
        <w:rPr>
          <w:rFonts w:ascii="Times New Roman" w:hAnsi="Times New Roman" w:cs="Times New Roman"/>
          <w:sz w:val="24"/>
          <w:szCs w:val="24"/>
        </w:rPr>
        <w:t>80</w:t>
      </w:r>
      <w:r w:rsidRPr="00C2468E">
        <w:rPr>
          <w:rFonts w:ascii="Times New Roman" w:hAnsi="Times New Roman" w:cs="Times New Roman"/>
          <w:sz w:val="24"/>
          <w:szCs w:val="24"/>
        </w:rPr>
        <w:t xml:space="preserve">%. </w:t>
      </w:r>
    </w:p>
    <w:p w14:paraId="0ABB0CF2" w14:textId="77777777" w:rsidR="006C34F1" w:rsidRPr="003F7C3D" w:rsidRDefault="006C34F1" w:rsidP="008903DA">
      <w:pPr>
        <w:spacing w:after="0" w:line="264" w:lineRule="auto"/>
        <w:jc w:val="both"/>
        <w:rPr>
          <w:rFonts w:ascii="Times New Roman" w:hAnsi="Times New Roman" w:cs="Times New Roman"/>
          <w:sz w:val="24"/>
          <w:szCs w:val="24"/>
        </w:rPr>
      </w:pPr>
      <w:r w:rsidRPr="003F7C3D">
        <w:rPr>
          <w:rFonts w:ascii="Times New Roman" w:hAnsi="Times New Roman" w:cs="Times New Roman"/>
          <w:sz w:val="24"/>
          <w:szCs w:val="24"/>
        </w:rPr>
        <w:t>Współczynnik kapitału podstawowego T</w:t>
      </w:r>
      <w:r w:rsidR="00813CF5" w:rsidRPr="003F7C3D">
        <w:rPr>
          <w:rFonts w:ascii="Times New Roman" w:hAnsi="Times New Roman" w:cs="Times New Roman"/>
          <w:sz w:val="24"/>
          <w:szCs w:val="24"/>
        </w:rPr>
        <w:t xml:space="preserve">ier </w:t>
      </w:r>
      <w:r w:rsidR="000B7529" w:rsidRPr="003F7C3D">
        <w:rPr>
          <w:rFonts w:ascii="Times New Roman" w:hAnsi="Times New Roman" w:cs="Times New Roman"/>
          <w:sz w:val="24"/>
          <w:szCs w:val="24"/>
        </w:rPr>
        <w:t>I</w:t>
      </w:r>
      <w:r w:rsidR="001E05CC" w:rsidRPr="003F7C3D">
        <w:rPr>
          <w:rFonts w:ascii="Times New Roman" w:hAnsi="Times New Roman" w:cs="Times New Roman"/>
          <w:sz w:val="24"/>
          <w:szCs w:val="24"/>
        </w:rPr>
        <w:t xml:space="preserve"> (CET1) na dzień 31.12.20</w:t>
      </w:r>
      <w:r w:rsidR="003F7C3D" w:rsidRPr="003F7C3D">
        <w:rPr>
          <w:rFonts w:ascii="Times New Roman" w:hAnsi="Times New Roman" w:cs="Times New Roman"/>
          <w:sz w:val="24"/>
          <w:szCs w:val="24"/>
        </w:rPr>
        <w:t>20</w:t>
      </w:r>
      <w:r w:rsidRPr="003F7C3D">
        <w:rPr>
          <w:rFonts w:ascii="Times New Roman" w:hAnsi="Times New Roman" w:cs="Times New Roman"/>
          <w:sz w:val="24"/>
          <w:szCs w:val="24"/>
        </w:rPr>
        <w:t xml:space="preserve"> r. wyniósł </w:t>
      </w:r>
      <w:r w:rsidR="00C2468E" w:rsidRPr="003F7C3D">
        <w:rPr>
          <w:rFonts w:ascii="Times New Roman" w:hAnsi="Times New Roman" w:cs="Times New Roman"/>
          <w:sz w:val="24"/>
          <w:szCs w:val="24"/>
        </w:rPr>
        <w:t>21,67</w:t>
      </w:r>
      <w:r w:rsidRPr="003F7C3D">
        <w:rPr>
          <w:rFonts w:ascii="Times New Roman" w:hAnsi="Times New Roman" w:cs="Times New Roman"/>
          <w:sz w:val="24"/>
          <w:szCs w:val="24"/>
        </w:rPr>
        <w:t xml:space="preserve">%. </w:t>
      </w:r>
    </w:p>
    <w:p w14:paraId="44EC5B68" w14:textId="77777777" w:rsidR="00C2468E" w:rsidRPr="00C2468E" w:rsidRDefault="00C2468E" w:rsidP="00C2468E">
      <w:pPr>
        <w:spacing w:after="0" w:line="264" w:lineRule="auto"/>
        <w:jc w:val="both"/>
        <w:rPr>
          <w:rFonts w:ascii="Times New Roman" w:hAnsi="Times New Roman" w:cs="Times New Roman"/>
          <w:sz w:val="24"/>
          <w:szCs w:val="24"/>
        </w:rPr>
      </w:pPr>
      <w:r w:rsidRPr="003F7C3D">
        <w:rPr>
          <w:rFonts w:ascii="Times New Roman" w:hAnsi="Times New Roman" w:cs="Times New Roman"/>
          <w:sz w:val="24"/>
          <w:szCs w:val="24"/>
        </w:rPr>
        <w:t xml:space="preserve">Współczynnik kapitału Tier I </w:t>
      </w:r>
      <w:r w:rsidR="003F7C3D" w:rsidRPr="003F7C3D">
        <w:rPr>
          <w:rFonts w:ascii="Times New Roman" w:hAnsi="Times New Roman" w:cs="Times New Roman"/>
          <w:sz w:val="24"/>
          <w:szCs w:val="24"/>
        </w:rPr>
        <w:t xml:space="preserve">(T1) </w:t>
      </w:r>
      <w:r w:rsidRPr="003F7C3D">
        <w:rPr>
          <w:rFonts w:ascii="Times New Roman" w:hAnsi="Times New Roman" w:cs="Times New Roman"/>
          <w:sz w:val="24"/>
          <w:szCs w:val="24"/>
        </w:rPr>
        <w:t>na dzień 31.12.20</w:t>
      </w:r>
      <w:r w:rsidR="003F7C3D" w:rsidRPr="003F7C3D">
        <w:rPr>
          <w:rFonts w:ascii="Times New Roman" w:hAnsi="Times New Roman" w:cs="Times New Roman"/>
          <w:sz w:val="24"/>
          <w:szCs w:val="24"/>
        </w:rPr>
        <w:t>20</w:t>
      </w:r>
      <w:r w:rsidRPr="003F7C3D">
        <w:rPr>
          <w:rFonts w:ascii="Times New Roman" w:hAnsi="Times New Roman" w:cs="Times New Roman"/>
          <w:sz w:val="24"/>
          <w:szCs w:val="24"/>
        </w:rPr>
        <w:t xml:space="preserve"> r. wyniósł 21,67%.</w:t>
      </w:r>
      <w:r w:rsidRPr="00C2468E">
        <w:rPr>
          <w:rFonts w:ascii="Times New Roman" w:hAnsi="Times New Roman" w:cs="Times New Roman"/>
          <w:sz w:val="24"/>
          <w:szCs w:val="24"/>
        </w:rPr>
        <w:t xml:space="preserve"> </w:t>
      </w:r>
    </w:p>
    <w:p w14:paraId="3A7B872A" w14:textId="77777777" w:rsidR="00C2468E" w:rsidRPr="000E3272" w:rsidRDefault="00C2468E" w:rsidP="008903DA">
      <w:pPr>
        <w:spacing w:after="0" w:line="264" w:lineRule="auto"/>
        <w:jc w:val="both"/>
        <w:rPr>
          <w:rFonts w:ascii="Times New Roman" w:hAnsi="Times New Roman" w:cs="Times New Roman"/>
          <w:color w:val="FF0000"/>
          <w:sz w:val="24"/>
          <w:szCs w:val="24"/>
        </w:rPr>
      </w:pPr>
    </w:p>
    <w:p w14:paraId="2FFD1CB1" w14:textId="77777777" w:rsidR="006C34F1" w:rsidRPr="000E3272" w:rsidRDefault="006C34F1" w:rsidP="00174CA0">
      <w:pPr>
        <w:spacing w:after="0" w:line="264" w:lineRule="auto"/>
        <w:rPr>
          <w:rFonts w:ascii="Times New Roman" w:hAnsi="Times New Roman" w:cs="Times New Roman"/>
          <w:color w:val="FF0000"/>
          <w:sz w:val="24"/>
          <w:szCs w:val="24"/>
        </w:rPr>
      </w:pPr>
    </w:p>
    <w:p w14:paraId="1C428240" w14:textId="77777777" w:rsidR="006C34F1" w:rsidRPr="00C2468E" w:rsidRDefault="007B36B8" w:rsidP="00603DB6">
      <w:pPr>
        <w:pStyle w:val="Nagwek1"/>
        <w:numPr>
          <w:ilvl w:val="1"/>
          <w:numId w:val="28"/>
        </w:numPr>
        <w:ind w:left="567" w:hanging="567"/>
        <w:rPr>
          <w:rFonts w:ascii="Times New Roman" w:hAnsi="Times New Roman" w:cs="Times New Roman"/>
          <w:b/>
          <w:color w:val="auto"/>
          <w:sz w:val="24"/>
          <w:szCs w:val="24"/>
        </w:rPr>
      </w:pPr>
      <w:r w:rsidRPr="00C2468E">
        <w:rPr>
          <w:rFonts w:ascii="Times New Roman" w:hAnsi="Times New Roman" w:cs="Times New Roman"/>
          <w:b/>
          <w:color w:val="auto"/>
          <w:sz w:val="24"/>
          <w:szCs w:val="24"/>
        </w:rPr>
        <w:t xml:space="preserve"> </w:t>
      </w:r>
      <w:bookmarkStart w:id="35" w:name="_Toc44930278"/>
      <w:r w:rsidR="006C34F1" w:rsidRPr="00C2468E">
        <w:rPr>
          <w:rFonts w:ascii="Times New Roman" w:hAnsi="Times New Roman" w:cs="Times New Roman"/>
          <w:b/>
          <w:color w:val="auto"/>
          <w:sz w:val="24"/>
          <w:szCs w:val="24"/>
        </w:rPr>
        <w:t>KAPITAŁ WEWNĘTRZNY I OCENA JEGO ADEKWATNOŚCI</w:t>
      </w:r>
      <w:bookmarkEnd w:id="35"/>
      <w:r w:rsidR="006C34F1" w:rsidRPr="00C2468E">
        <w:rPr>
          <w:rFonts w:ascii="Times New Roman" w:hAnsi="Times New Roman" w:cs="Times New Roman"/>
          <w:b/>
          <w:color w:val="auto"/>
          <w:sz w:val="24"/>
          <w:szCs w:val="24"/>
        </w:rPr>
        <w:t xml:space="preserve"> </w:t>
      </w:r>
    </w:p>
    <w:p w14:paraId="3E8BA3D2" w14:textId="77777777" w:rsidR="008903DA" w:rsidRPr="00C2468E" w:rsidRDefault="008903DA" w:rsidP="00174CA0">
      <w:pPr>
        <w:spacing w:after="0" w:line="264" w:lineRule="auto"/>
        <w:rPr>
          <w:rFonts w:ascii="Times New Roman" w:hAnsi="Times New Roman" w:cs="Times New Roman"/>
          <w:b/>
          <w:sz w:val="24"/>
          <w:szCs w:val="24"/>
        </w:rPr>
      </w:pPr>
    </w:p>
    <w:p w14:paraId="0E188F93" w14:textId="77777777" w:rsidR="006C34F1" w:rsidRPr="00C2468E" w:rsidRDefault="006C34F1" w:rsidP="008903DA">
      <w:pPr>
        <w:spacing w:after="0" w:line="264" w:lineRule="auto"/>
        <w:ind w:firstLine="708"/>
        <w:jc w:val="both"/>
        <w:rPr>
          <w:rFonts w:ascii="Times New Roman" w:hAnsi="Times New Roman" w:cs="Times New Roman"/>
          <w:sz w:val="24"/>
          <w:szCs w:val="24"/>
        </w:rPr>
      </w:pPr>
      <w:r w:rsidRPr="00C2468E">
        <w:rPr>
          <w:rFonts w:ascii="Times New Roman" w:hAnsi="Times New Roman" w:cs="Times New Roman"/>
          <w:sz w:val="24"/>
          <w:szCs w:val="24"/>
        </w:rPr>
        <w:t>W ramach procesu ICAAP ustalany jest przez Bank kapitał wewnętrzny, mający na celu pokrycie wszystkich zidentyfikowanych, istotnych rodzajów ryzyka, występujących w jego</w:t>
      </w:r>
      <w:r w:rsidR="00C52328" w:rsidRPr="00C2468E">
        <w:rPr>
          <w:rFonts w:ascii="Times New Roman" w:hAnsi="Times New Roman" w:cs="Times New Roman"/>
          <w:sz w:val="24"/>
          <w:szCs w:val="24"/>
        </w:rPr>
        <w:t xml:space="preserve"> </w:t>
      </w:r>
      <w:r w:rsidRPr="00C2468E">
        <w:rPr>
          <w:rFonts w:ascii="Times New Roman" w:hAnsi="Times New Roman" w:cs="Times New Roman"/>
          <w:sz w:val="24"/>
          <w:szCs w:val="24"/>
        </w:rPr>
        <w:t xml:space="preserve">działalności oraz czynników otoczenia gospodarczego. </w:t>
      </w:r>
    </w:p>
    <w:p w14:paraId="5F48BD89" w14:textId="77777777" w:rsidR="00C52328" w:rsidRPr="00C2468E" w:rsidRDefault="00C52328" w:rsidP="00174CA0">
      <w:pPr>
        <w:pStyle w:val="Tekstpodstawowy"/>
        <w:widowControl w:val="0"/>
        <w:adjustRightInd w:val="0"/>
        <w:spacing w:after="0" w:line="264" w:lineRule="auto"/>
        <w:jc w:val="both"/>
        <w:textAlignment w:val="baseline"/>
        <w:rPr>
          <w:rFonts w:ascii="Times New Roman" w:hAnsi="Times New Roman" w:cs="Times New Roman"/>
          <w:sz w:val="24"/>
        </w:rPr>
      </w:pPr>
      <w:r w:rsidRPr="00C2468E">
        <w:rPr>
          <w:rFonts w:ascii="Times New Roman" w:hAnsi="Times New Roman" w:cs="Times New Roman"/>
          <w:sz w:val="24"/>
        </w:rPr>
        <w:t>Proces oceny kapitału wewnętrznego (ICAAP) jest prowadzony w dwóch filarach</w:t>
      </w:r>
      <w:r w:rsidR="000B7529" w:rsidRPr="00C2468E">
        <w:rPr>
          <w:rFonts w:ascii="Times New Roman" w:hAnsi="Times New Roman" w:cs="Times New Roman"/>
          <w:sz w:val="24"/>
        </w:rPr>
        <w:t>:</w:t>
      </w:r>
    </w:p>
    <w:p w14:paraId="049C2763" w14:textId="77777777" w:rsidR="00C52328" w:rsidRPr="00C2468E" w:rsidRDefault="007A0F52" w:rsidP="00993749">
      <w:pPr>
        <w:pStyle w:val="Tekstpodstawowy"/>
        <w:widowControl w:val="0"/>
        <w:numPr>
          <w:ilvl w:val="1"/>
          <w:numId w:val="8"/>
        </w:numPr>
        <w:tabs>
          <w:tab w:val="clear" w:pos="1440"/>
          <w:tab w:val="num" w:pos="1080"/>
        </w:tabs>
        <w:adjustRightInd w:val="0"/>
        <w:spacing w:after="0" w:line="264" w:lineRule="auto"/>
        <w:ind w:left="1080" w:hanging="540"/>
        <w:jc w:val="both"/>
        <w:textAlignment w:val="baseline"/>
        <w:rPr>
          <w:rFonts w:ascii="Times New Roman" w:hAnsi="Times New Roman" w:cs="Times New Roman"/>
          <w:sz w:val="24"/>
        </w:rPr>
      </w:pPr>
      <w:r w:rsidRPr="00C2468E">
        <w:rPr>
          <w:rFonts w:ascii="Times New Roman" w:hAnsi="Times New Roman" w:cs="Times New Roman"/>
          <w:sz w:val="24"/>
        </w:rPr>
        <w:t>F</w:t>
      </w:r>
      <w:r w:rsidR="00C52328" w:rsidRPr="00C2468E">
        <w:rPr>
          <w:rFonts w:ascii="Times New Roman" w:hAnsi="Times New Roman" w:cs="Times New Roman"/>
          <w:sz w:val="24"/>
        </w:rPr>
        <w:t>ilar I obejmuje ryzyka oceniane w ramach wymogów regulacyjnych;</w:t>
      </w:r>
    </w:p>
    <w:p w14:paraId="759FA2AE" w14:textId="77777777" w:rsidR="00C52328" w:rsidRPr="00C2468E" w:rsidRDefault="007A0F52" w:rsidP="00993749">
      <w:pPr>
        <w:pStyle w:val="Tekstpodstawowy"/>
        <w:widowControl w:val="0"/>
        <w:numPr>
          <w:ilvl w:val="1"/>
          <w:numId w:val="8"/>
        </w:numPr>
        <w:tabs>
          <w:tab w:val="clear" w:pos="1440"/>
          <w:tab w:val="num" w:pos="1080"/>
        </w:tabs>
        <w:adjustRightInd w:val="0"/>
        <w:spacing w:after="0" w:line="264" w:lineRule="auto"/>
        <w:ind w:left="1080" w:hanging="540"/>
        <w:jc w:val="both"/>
        <w:textAlignment w:val="baseline"/>
        <w:rPr>
          <w:rFonts w:ascii="Times New Roman" w:hAnsi="Times New Roman" w:cs="Times New Roman"/>
          <w:sz w:val="24"/>
        </w:rPr>
      </w:pPr>
      <w:r w:rsidRPr="00C2468E">
        <w:rPr>
          <w:rFonts w:ascii="Times New Roman" w:hAnsi="Times New Roman" w:cs="Times New Roman"/>
          <w:sz w:val="24"/>
        </w:rPr>
        <w:t>F</w:t>
      </w:r>
      <w:r w:rsidR="00C52328" w:rsidRPr="00C2468E">
        <w:rPr>
          <w:rFonts w:ascii="Times New Roman" w:hAnsi="Times New Roman" w:cs="Times New Roman"/>
          <w:sz w:val="24"/>
        </w:rPr>
        <w:t xml:space="preserve">ilar II obejmuje pozostałe ryzyka zidentyfikowane w procesie oceny adekwatności kapitału wewnętrznego.  </w:t>
      </w:r>
    </w:p>
    <w:p w14:paraId="0830E360" w14:textId="77777777" w:rsidR="00C52328" w:rsidRPr="00C2468E" w:rsidRDefault="00C52328" w:rsidP="00174CA0">
      <w:pPr>
        <w:pStyle w:val="Tekstpodstawowy"/>
        <w:widowControl w:val="0"/>
        <w:adjustRightInd w:val="0"/>
        <w:spacing w:after="0" w:line="264" w:lineRule="auto"/>
        <w:jc w:val="both"/>
        <w:textAlignment w:val="baseline"/>
        <w:rPr>
          <w:rFonts w:ascii="Times New Roman" w:hAnsi="Times New Roman" w:cs="Times New Roman"/>
          <w:sz w:val="24"/>
        </w:rPr>
      </w:pPr>
      <w:r w:rsidRPr="00C2468E">
        <w:rPr>
          <w:rFonts w:ascii="Times New Roman" w:hAnsi="Times New Roman" w:cs="Times New Roman"/>
          <w:sz w:val="24"/>
        </w:rPr>
        <w:t>Celem procesu oceny adekwatności kapitału wewnętrznego jest zapewnienie utrzymywania kapitału w wysokości dostosowanej do profilu ryzyka Banku. Dążąc do tego celu w procesie ICAAP realizowane są następujące działania:</w:t>
      </w:r>
    </w:p>
    <w:p w14:paraId="568F9E95" w14:textId="77777777" w:rsidR="00C52328" w:rsidRPr="00C2468E" w:rsidRDefault="00C52328" w:rsidP="00993749">
      <w:pPr>
        <w:pStyle w:val="Tekstpodstawowy"/>
        <w:widowControl w:val="0"/>
        <w:numPr>
          <w:ilvl w:val="1"/>
          <w:numId w:val="9"/>
        </w:numPr>
        <w:tabs>
          <w:tab w:val="clear" w:pos="1440"/>
          <w:tab w:val="num" w:pos="1134"/>
        </w:tabs>
        <w:adjustRightInd w:val="0"/>
        <w:spacing w:after="0" w:line="264" w:lineRule="auto"/>
        <w:ind w:hanging="873"/>
        <w:jc w:val="both"/>
        <w:textAlignment w:val="baseline"/>
        <w:rPr>
          <w:rFonts w:ascii="Times New Roman" w:hAnsi="Times New Roman" w:cs="Times New Roman"/>
          <w:sz w:val="24"/>
        </w:rPr>
      </w:pPr>
      <w:r w:rsidRPr="00C2468E">
        <w:rPr>
          <w:rFonts w:ascii="Times New Roman" w:hAnsi="Times New Roman" w:cs="Times New Roman"/>
          <w:sz w:val="24"/>
        </w:rPr>
        <w:t>identyfikacja rodzajów ryzyka występujących w Banku;</w:t>
      </w:r>
    </w:p>
    <w:p w14:paraId="5EC3A99F" w14:textId="77777777" w:rsidR="00C52328" w:rsidRPr="00C2468E" w:rsidRDefault="00C52328" w:rsidP="00993749">
      <w:pPr>
        <w:pStyle w:val="Tekstpodstawowy"/>
        <w:widowControl w:val="0"/>
        <w:numPr>
          <w:ilvl w:val="1"/>
          <w:numId w:val="9"/>
        </w:numPr>
        <w:tabs>
          <w:tab w:val="clear" w:pos="1440"/>
          <w:tab w:val="num" w:pos="1080"/>
        </w:tabs>
        <w:adjustRightInd w:val="0"/>
        <w:spacing w:after="0" w:line="264" w:lineRule="auto"/>
        <w:ind w:left="1080" w:hanging="540"/>
        <w:jc w:val="both"/>
        <w:textAlignment w:val="baseline"/>
        <w:rPr>
          <w:rFonts w:ascii="Times New Roman" w:hAnsi="Times New Roman" w:cs="Times New Roman"/>
          <w:sz w:val="24"/>
        </w:rPr>
      </w:pPr>
      <w:r w:rsidRPr="00C2468E">
        <w:rPr>
          <w:rFonts w:ascii="Times New Roman" w:hAnsi="Times New Roman" w:cs="Times New Roman"/>
          <w:sz w:val="24"/>
        </w:rPr>
        <w:t>wyodrębnienie istotnych rodzajów ryzyka;</w:t>
      </w:r>
    </w:p>
    <w:p w14:paraId="134F1D65" w14:textId="77777777" w:rsidR="00C52328" w:rsidRPr="00C2468E" w:rsidRDefault="00C52328" w:rsidP="00993749">
      <w:pPr>
        <w:pStyle w:val="Tekstpodstawowy"/>
        <w:widowControl w:val="0"/>
        <w:numPr>
          <w:ilvl w:val="1"/>
          <w:numId w:val="9"/>
        </w:numPr>
        <w:tabs>
          <w:tab w:val="clear" w:pos="1440"/>
          <w:tab w:val="num" w:pos="1080"/>
        </w:tabs>
        <w:adjustRightInd w:val="0"/>
        <w:spacing w:after="0" w:line="264" w:lineRule="auto"/>
        <w:ind w:left="1080" w:hanging="540"/>
        <w:jc w:val="both"/>
        <w:textAlignment w:val="baseline"/>
        <w:rPr>
          <w:rFonts w:ascii="Times New Roman" w:hAnsi="Times New Roman" w:cs="Times New Roman"/>
          <w:sz w:val="24"/>
        </w:rPr>
      </w:pPr>
      <w:r w:rsidRPr="00C2468E">
        <w:rPr>
          <w:rFonts w:ascii="Times New Roman" w:hAnsi="Times New Roman" w:cs="Times New Roman"/>
          <w:sz w:val="24"/>
        </w:rPr>
        <w:t>pomiar i alokacja kapitału wewnętrznego na poszczególne rodzaje ryzyka;</w:t>
      </w:r>
    </w:p>
    <w:p w14:paraId="5D275CFE" w14:textId="77777777" w:rsidR="00C52328" w:rsidRPr="00C2468E" w:rsidRDefault="00C52328" w:rsidP="00993749">
      <w:pPr>
        <w:pStyle w:val="Tekstpodstawowy"/>
        <w:widowControl w:val="0"/>
        <w:numPr>
          <w:ilvl w:val="1"/>
          <w:numId w:val="9"/>
        </w:numPr>
        <w:tabs>
          <w:tab w:val="clear" w:pos="1440"/>
          <w:tab w:val="num" w:pos="1080"/>
        </w:tabs>
        <w:adjustRightInd w:val="0"/>
        <w:spacing w:after="0" w:line="264" w:lineRule="auto"/>
        <w:ind w:left="1080" w:hanging="540"/>
        <w:jc w:val="both"/>
        <w:textAlignment w:val="baseline"/>
        <w:rPr>
          <w:rFonts w:ascii="Times New Roman" w:hAnsi="Times New Roman" w:cs="Times New Roman"/>
          <w:sz w:val="24"/>
        </w:rPr>
      </w:pPr>
      <w:r w:rsidRPr="00C2468E">
        <w:rPr>
          <w:rFonts w:ascii="Times New Roman" w:hAnsi="Times New Roman" w:cs="Times New Roman"/>
          <w:sz w:val="24"/>
        </w:rPr>
        <w:t>agregacja kapitału wewnętrznego;</w:t>
      </w:r>
    </w:p>
    <w:p w14:paraId="4A276A0B" w14:textId="77777777" w:rsidR="00C52328" w:rsidRPr="00C2468E" w:rsidRDefault="00C52328" w:rsidP="00993749">
      <w:pPr>
        <w:pStyle w:val="Tekstpodstawowy"/>
        <w:widowControl w:val="0"/>
        <w:numPr>
          <w:ilvl w:val="1"/>
          <w:numId w:val="9"/>
        </w:numPr>
        <w:tabs>
          <w:tab w:val="clear" w:pos="1440"/>
          <w:tab w:val="num" w:pos="1080"/>
        </w:tabs>
        <w:adjustRightInd w:val="0"/>
        <w:spacing w:after="0" w:line="264" w:lineRule="auto"/>
        <w:ind w:left="1080" w:hanging="540"/>
        <w:jc w:val="both"/>
        <w:textAlignment w:val="baseline"/>
        <w:rPr>
          <w:rFonts w:ascii="Times New Roman" w:hAnsi="Times New Roman" w:cs="Times New Roman"/>
          <w:sz w:val="24"/>
        </w:rPr>
      </w:pPr>
      <w:r w:rsidRPr="00C2468E">
        <w:rPr>
          <w:rFonts w:ascii="Times New Roman" w:hAnsi="Times New Roman" w:cs="Times New Roman"/>
          <w:sz w:val="24"/>
        </w:rPr>
        <w:t>monitorowanie i raportowanie kapitałowe;</w:t>
      </w:r>
    </w:p>
    <w:p w14:paraId="651C05CE" w14:textId="77777777" w:rsidR="00C52328" w:rsidRPr="00C2468E" w:rsidRDefault="00C52328" w:rsidP="00993749">
      <w:pPr>
        <w:pStyle w:val="Tekstpodstawowy"/>
        <w:widowControl w:val="0"/>
        <w:numPr>
          <w:ilvl w:val="1"/>
          <w:numId w:val="9"/>
        </w:numPr>
        <w:tabs>
          <w:tab w:val="clear" w:pos="1440"/>
          <w:tab w:val="num" w:pos="1080"/>
        </w:tabs>
        <w:adjustRightInd w:val="0"/>
        <w:spacing w:after="0" w:line="264" w:lineRule="auto"/>
        <w:ind w:left="1080" w:hanging="540"/>
        <w:jc w:val="both"/>
        <w:textAlignment w:val="baseline"/>
        <w:rPr>
          <w:rFonts w:ascii="Times New Roman" w:hAnsi="Times New Roman" w:cs="Times New Roman"/>
          <w:sz w:val="24"/>
        </w:rPr>
      </w:pPr>
      <w:r w:rsidRPr="00C2468E">
        <w:rPr>
          <w:rFonts w:ascii="Times New Roman" w:hAnsi="Times New Roman" w:cs="Times New Roman"/>
          <w:sz w:val="24"/>
        </w:rPr>
        <w:t>zarządzanie adekwatnością kapitałową.</w:t>
      </w:r>
    </w:p>
    <w:p w14:paraId="7F17998E" w14:textId="77777777" w:rsidR="006C34F1" w:rsidRPr="000E3272" w:rsidRDefault="006C34F1" w:rsidP="00174CA0">
      <w:pPr>
        <w:spacing w:after="0" w:line="264" w:lineRule="auto"/>
        <w:rPr>
          <w:rFonts w:ascii="Times New Roman" w:hAnsi="Times New Roman" w:cs="Times New Roman"/>
          <w:color w:val="FF0000"/>
          <w:sz w:val="24"/>
          <w:szCs w:val="24"/>
        </w:rPr>
      </w:pPr>
    </w:p>
    <w:p w14:paraId="476AE81A" w14:textId="77777777" w:rsidR="006C34F1" w:rsidRPr="00650149" w:rsidRDefault="006C34F1" w:rsidP="00603DB6">
      <w:pPr>
        <w:pStyle w:val="Nagwek1"/>
        <w:numPr>
          <w:ilvl w:val="2"/>
          <w:numId w:val="28"/>
        </w:numPr>
        <w:ind w:left="709" w:hanging="709"/>
        <w:rPr>
          <w:rFonts w:ascii="Times New Roman" w:hAnsi="Times New Roman" w:cs="Times New Roman"/>
          <w:b/>
          <w:color w:val="auto"/>
          <w:sz w:val="24"/>
          <w:szCs w:val="24"/>
        </w:rPr>
      </w:pPr>
      <w:bookmarkStart w:id="36" w:name="_Toc44930279"/>
      <w:r w:rsidRPr="00650149">
        <w:rPr>
          <w:rFonts w:ascii="Times New Roman" w:hAnsi="Times New Roman" w:cs="Times New Roman"/>
          <w:b/>
          <w:color w:val="auto"/>
          <w:sz w:val="24"/>
          <w:szCs w:val="24"/>
        </w:rPr>
        <w:t>KAPITAŁ WEWNĘTRZNY NA RYZYKO KREDYTOWE</w:t>
      </w:r>
      <w:bookmarkEnd w:id="36"/>
      <w:r w:rsidRPr="00650149">
        <w:rPr>
          <w:rFonts w:ascii="Times New Roman" w:hAnsi="Times New Roman" w:cs="Times New Roman"/>
          <w:b/>
          <w:color w:val="auto"/>
          <w:sz w:val="24"/>
          <w:szCs w:val="24"/>
        </w:rPr>
        <w:t xml:space="preserve"> </w:t>
      </w:r>
    </w:p>
    <w:p w14:paraId="6B570FAD" w14:textId="77777777" w:rsidR="008903DA" w:rsidRPr="00650149" w:rsidRDefault="008903DA" w:rsidP="00174CA0">
      <w:pPr>
        <w:spacing w:after="0" w:line="264" w:lineRule="auto"/>
        <w:rPr>
          <w:rFonts w:ascii="Times New Roman" w:hAnsi="Times New Roman" w:cs="Times New Roman"/>
          <w:b/>
          <w:sz w:val="24"/>
          <w:szCs w:val="24"/>
        </w:rPr>
      </w:pPr>
    </w:p>
    <w:p w14:paraId="06013EB6" w14:textId="77777777" w:rsidR="006C34F1" w:rsidRPr="00650149" w:rsidRDefault="006C34F1" w:rsidP="008903DA">
      <w:pPr>
        <w:spacing w:after="0" w:line="264" w:lineRule="auto"/>
        <w:ind w:firstLine="708"/>
        <w:jc w:val="both"/>
        <w:rPr>
          <w:rFonts w:ascii="Times New Roman" w:hAnsi="Times New Roman" w:cs="Times New Roman"/>
          <w:sz w:val="24"/>
          <w:szCs w:val="24"/>
        </w:rPr>
      </w:pPr>
      <w:r w:rsidRPr="00650149">
        <w:rPr>
          <w:rFonts w:ascii="Times New Roman" w:hAnsi="Times New Roman" w:cs="Times New Roman"/>
          <w:sz w:val="24"/>
          <w:szCs w:val="24"/>
        </w:rPr>
        <w:lastRenderedPageBreak/>
        <w:t>Punktem wyjściowym dla ustalenia kapitału wewnęt</w:t>
      </w:r>
      <w:r w:rsidR="00DE139B" w:rsidRPr="00650149">
        <w:rPr>
          <w:rFonts w:ascii="Times New Roman" w:hAnsi="Times New Roman" w:cs="Times New Roman"/>
          <w:sz w:val="24"/>
          <w:szCs w:val="24"/>
        </w:rPr>
        <w:t xml:space="preserve">rznego na ryzyko kredytowe jest </w:t>
      </w:r>
      <w:r w:rsidRPr="00650149">
        <w:rPr>
          <w:rFonts w:ascii="Times New Roman" w:hAnsi="Times New Roman" w:cs="Times New Roman"/>
          <w:sz w:val="24"/>
          <w:szCs w:val="24"/>
        </w:rPr>
        <w:t xml:space="preserve">wyliczony kapitał regulacyjny, obliczony zgodnie z zasadami określonymi w </w:t>
      </w:r>
      <w:r w:rsidR="00DE139B" w:rsidRPr="00650149">
        <w:rPr>
          <w:rFonts w:ascii="Times New Roman" w:hAnsi="Times New Roman" w:cs="Times New Roman"/>
          <w:sz w:val="24"/>
          <w:szCs w:val="24"/>
        </w:rPr>
        <w:t>Instrukcji wyznaczania wymogów kapitałowych z tytułu poszczególnych rodzajów ryzyka oraz Instrukcji segmentacja ekspozycji i wagi ryzyka dla metody standardowej,</w:t>
      </w:r>
      <w:r w:rsidRPr="00650149">
        <w:rPr>
          <w:rFonts w:ascii="Times New Roman" w:hAnsi="Times New Roman" w:cs="Times New Roman"/>
          <w:sz w:val="24"/>
          <w:szCs w:val="24"/>
        </w:rPr>
        <w:t xml:space="preserve"> z uwzględnieniem zapisów Rozporządzenia CRR. </w:t>
      </w:r>
    </w:p>
    <w:p w14:paraId="78CF7E17" w14:textId="77777777" w:rsidR="006C34F1" w:rsidRPr="00650149" w:rsidRDefault="006C34F1" w:rsidP="00174CA0">
      <w:pPr>
        <w:spacing w:after="0" w:line="264" w:lineRule="auto"/>
        <w:jc w:val="both"/>
        <w:rPr>
          <w:rFonts w:ascii="Times New Roman" w:hAnsi="Times New Roman" w:cs="Times New Roman"/>
          <w:sz w:val="24"/>
          <w:szCs w:val="24"/>
        </w:rPr>
      </w:pPr>
      <w:r w:rsidRPr="00650149">
        <w:rPr>
          <w:rFonts w:ascii="Times New Roman" w:hAnsi="Times New Roman" w:cs="Times New Roman"/>
          <w:sz w:val="24"/>
          <w:szCs w:val="24"/>
        </w:rPr>
        <w:t xml:space="preserve">Kapitałem regulacyjnym zabezpieczona została znaczna część ryzyka, związana głównie </w:t>
      </w:r>
      <w:r w:rsidR="00A254E8" w:rsidRPr="00650149">
        <w:rPr>
          <w:rFonts w:ascii="Times New Roman" w:hAnsi="Times New Roman" w:cs="Times New Roman"/>
          <w:sz w:val="24"/>
          <w:szCs w:val="24"/>
        </w:rPr>
        <w:t xml:space="preserve">                </w:t>
      </w:r>
      <w:r w:rsidRPr="00650149">
        <w:rPr>
          <w:rFonts w:ascii="Times New Roman" w:hAnsi="Times New Roman" w:cs="Times New Roman"/>
          <w:sz w:val="24"/>
          <w:szCs w:val="24"/>
        </w:rPr>
        <w:t xml:space="preserve">z ryzykiem niewypłacalności kontrahenta. </w:t>
      </w:r>
    </w:p>
    <w:p w14:paraId="4B253E7A" w14:textId="77777777" w:rsidR="00DE139B" w:rsidRPr="00650149" w:rsidRDefault="00DE139B" w:rsidP="00174CA0">
      <w:pPr>
        <w:tabs>
          <w:tab w:val="left" w:pos="0"/>
        </w:tabs>
        <w:spacing w:after="0" w:line="264" w:lineRule="auto"/>
        <w:jc w:val="both"/>
        <w:rPr>
          <w:rFonts w:ascii="Times New Roman" w:hAnsi="Times New Roman" w:cs="Times New Roman"/>
          <w:sz w:val="24"/>
          <w:szCs w:val="24"/>
        </w:rPr>
      </w:pPr>
      <w:r w:rsidRPr="00650149">
        <w:rPr>
          <w:rFonts w:ascii="Times New Roman" w:hAnsi="Times New Roman" w:cs="Times New Roman"/>
          <w:sz w:val="24"/>
          <w:szCs w:val="24"/>
        </w:rPr>
        <w:t xml:space="preserve">Podstawą analizy istotności ryzyka kredytowego dla wyliczenia kapitału wewnętrznego </w:t>
      </w:r>
      <w:r w:rsidR="00A254E8" w:rsidRPr="00650149">
        <w:rPr>
          <w:rFonts w:ascii="Times New Roman" w:hAnsi="Times New Roman" w:cs="Times New Roman"/>
          <w:sz w:val="24"/>
          <w:szCs w:val="24"/>
        </w:rPr>
        <w:t xml:space="preserve">               </w:t>
      </w:r>
      <w:r w:rsidR="007A0F52" w:rsidRPr="00650149">
        <w:rPr>
          <w:rFonts w:ascii="Times New Roman" w:hAnsi="Times New Roman" w:cs="Times New Roman"/>
          <w:sz w:val="24"/>
          <w:szCs w:val="24"/>
        </w:rPr>
        <w:t>w F</w:t>
      </w:r>
      <w:r w:rsidRPr="00650149">
        <w:rPr>
          <w:rFonts w:ascii="Times New Roman" w:hAnsi="Times New Roman" w:cs="Times New Roman"/>
          <w:sz w:val="24"/>
          <w:szCs w:val="24"/>
        </w:rPr>
        <w:t>ilarze II jest następujący wskaźnik:</w:t>
      </w:r>
    </w:p>
    <w:tbl>
      <w:tblPr>
        <w:tblW w:w="7370" w:type="dxa"/>
        <w:tblInd w:w="1101" w:type="dxa"/>
        <w:tblLook w:val="01E0" w:firstRow="1" w:lastRow="1" w:firstColumn="1" w:lastColumn="1" w:noHBand="0" w:noVBand="0"/>
      </w:tblPr>
      <w:tblGrid>
        <w:gridCol w:w="7370"/>
      </w:tblGrid>
      <w:tr w:rsidR="000E3272" w:rsidRPr="00650149" w14:paraId="5640F541" w14:textId="77777777" w:rsidTr="00624ECD">
        <w:trPr>
          <w:trHeight w:hRule="exact" w:val="397"/>
        </w:trPr>
        <w:tc>
          <w:tcPr>
            <w:tcW w:w="7370" w:type="dxa"/>
            <w:tcBorders>
              <w:top w:val="nil"/>
              <w:left w:val="nil"/>
              <w:bottom w:val="single" w:sz="4" w:space="0" w:color="auto"/>
              <w:right w:val="nil"/>
            </w:tcBorders>
            <w:shd w:val="clear" w:color="auto" w:fill="auto"/>
            <w:vAlign w:val="center"/>
          </w:tcPr>
          <w:p w14:paraId="6EDAAD8D" w14:textId="77777777" w:rsidR="00DE139B" w:rsidRPr="00650149" w:rsidRDefault="00DE139B" w:rsidP="00174CA0">
            <w:pPr>
              <w:pStyle w:val="Tekstkomentarza"/>
              <w:tabs>
                <w:tab w:val="num" w:pos="900"/>
              </w:tabs>
              <w:spacing w:before="0" w:after="0" w:line="264" w:lineRule="auto"/>
              <w:rPr>
                <w:szCs w:val="24"/>
                <w:lang w:val="pl-PL" w:eastAsia="pl-PL"/>
              </w:rPr>
            </w:pPr>
            <w:r w:rsidRPr="00650149">
              <w:rPr>
                <w:szCs w:val="24"/>
                <w:lang w:val="pl-PL" w:eastAsia="pl-PL"/>
              </w:rPr>
              <w:t>aktywa i zobowiązania pozabilansowe o wagach ryzyka 100 % i więcej</w:t>
            </w:r>
          </w:p>
        </w:tc>
      </w:tr>
      <w:tr w:rsidR="000E3272" w:rsidRPr="00650149" w14:paraId="45E97D85" w14:textId="77777777" w:rsidTr="00624ECD">
        <w:trPr>
          <w:trHeight w:hRule="exact" w:val="624"/>
        </w:trPr>
        <w:tc>
          <w:tcPr>
            <w:tcW w:w="7370" w:type="dxa"/>
            <w:tcBorders>
              <w:top w:val="single" w:sz="4" w:space="0" w:color="auto"/>
              <w:left w:val="nil"/>
              <w:bottom w:val="nil"/>
              <w:right w:val="nil"/>
            </w:tcBorders>
            <w:shd w:val="clear" w:color="auto" w:fill="auto"/>
            <w:vAlign w:val="center"/>
          </w:tcPr>
          <w:p w14:paraId="150DA259" w14:textId="77777777" w:rsidR="00DE139B" w:rsidRPr="00650149" w:rsidRDefault="00DE139B" w:rsidP="00174CA0">
            <w:pPr>
              <w:pStyle w:val="Tekstkomentarza"/>
              <w:tabs>
                <w:tab w:val="num" w:pos="900"/>
              </w:tabs>
              <w:spacing w:before="0" w:after="0" w:line="264" w:lineRule="auto"/>
              <w:rPr>
                <w:szCs w:val="24"/>
                <w:lang w:val="pl-PL" w:eastAsia="pl-PL"/>
              </w:rPr>
            </w:pPr>
            <w:r w:rsidRPr="00650149">
              <w:rPr>
                <w:szCs w:val="24"/>
                <w:lang w:val="pl-PL" w:eastAsia="pl-PL"/>
              </w:rPr>
              <w:t>suma aktywów według wartości bilansowej powiększona o udzielone zobowiązania   pozabilansowe</w:t>
            </w:r>
          </w:p>
          <w:p w14:paraId="4719DABE" w14:textId="77777777" w:rsidR="00DE139B" w:rsidRPr="00650149" w:rsidRDefault="00DE139B" w:rsidP="00174CA0">
            <w:pPr>
              <w:pStyle w:val="Tekstkomentarza"/>
              <w:tabs>
                <w:tab w:val="num" w:pos="900"/>
              </w:tabs>
              <w:spacing w:before="0" w:after="0" w:line="264" w:lineRule="auto"/>
              <w:rPr>
                <w:szCs w:val="24"/>
                <w:lang w:val="pl-PL" w:eastAsia="pl-PL"/>
              </w:rPr>
            </w:pPr>
          </w:p>
        </w:tc>
      </w:tr>
    </w:tbl>
    <w:p w14:paraId="298130A2" w14:textId="77777777" w:rsidR="00DE139B" w:rsidRPr="00650149" w:rsidRDefault="000B7529" w:rsidP="00174CA0">
      <w:pPr>
        <w:spacing w:after="0" w:line="264" w:lineRule="auto"/>
        <w:rPr>
          <w:rFonts w:ascii="Times New Roman" w:hAnsi="Times New Roman" w:cs="Times New Roman"/>
          <w:sz w:val="24"/>
          <w:szCs w:val="24"/>
        </w:rPr>
      </w:pPr>
      <w:r w:rsidRPr="00650149">
        <w:rPr>
          <w:rFonts w:ascii="Times New Roman" w:hAnsi="Times New Roman" w:cs="Times New Roman"/>
          <w:sz w:val="24"/>
          <w:szCs w:val="24"/>
        </w:rPr>
        <w:t>Jeżeli wskaźnik</w:t>
      </w:r>
      <w:r w:rsidR="00DE139B" w:rsidRPr="00650149">
        <w:rPr>
          <w:rFonts w:ascii="Times New Roman" w:hAnsi="Times New Roman" w:cs="Times New Roman"/>
          <w:sz w:val="24"/>
          <w:szCs w:val="24"/>
        </w:rPr>
        <w:t xml:space="preserve"> przyjmie wartość większą niż </w:t>
      </w:r>
      <w:r w:rsidR="0064594D" w:rsidRPr="00650149">
        <w:rPr>
          <w:rFonts w:ascii="Times New Roman" w:hAnsi="Times New Roman" w:cs="Times New Roman"/>
          <w:sz w:val="24"/>
          <w:szCs w:val="24"/>
        </w:rPr>
        <w:t>3</w:t>
      </w:r>
      <w:r w:rsidR="007A0F52" w:rsidRPr="00650149">
        <w:rPr>
          <w:rFonts w:ascii="Times New Roman" w:hAnsi="Times New Roman" w:cs="Times New Roman"/>
          <w:sz w:val="24"/>
          <w:szCs w:val="24"/>
        </w:rPr>
        <w:t>0%, ryzyko kredytowe w F</w:t>
      </w:r>
      <w:r w:rsidR="00DE139B" w:rsidRPr="00650149">
        <w:rPr>
          <w:rFonts w:ascii="Times New Roman" w:hAnsi="Times New Roman" w:cs="Times New Roman"/>
          <w:sz w:val="24"/>
          <w:szCs w:val="24"/>
        </w:rPr>
        <w:t>ilarze II jest istotne i Bank wylicza dodatkowy kapitał alokowany na to ryzyko.</w:t>
      </w:r>
    </w:p>
    <w:p w14:paraId="5C337E1B" w14:textId="77777777" w:rsidR="006C34F1" w:rsidRPr="00650149" w:rsidRDefault="006C34F1" w:rsidP="00174CA0">
      <w:pPr>
        <w:spacing w:after="0" w:line="264" w:lineRule="auto"/>
        <w:jc w:val="both"/>
        <w:rPr>
          <w:rFonts w:ascii="Times New Roman" w:hAnsi="Times New Roman" w:cs="Times New Roman"/>
          <w:sz w:val="24"/>
          <w:szCs w:val="24"/>
        </w:rPr>
      </w:pPr>
      <w:r w:rsidRPr="00650149">
        <w:rPr>
          <w:rFonts w:ascii="Times New Roman" w:hAnsi="Times New Roman" w:cs="Times New Roman"/>
          <w:sz w:val="24"/>
          <w:szCs w:val="24"/>
        </w:rPr>
        <w:t xml:space="preserve">Kapitał wewnętrzny na ryzyko kredytowe stanowi sumę kapitału regulacyjnego na ryzyko kredytowe oraz wewnętrznych wymogów kapitałowych wyznaczonych </w:t>
      </w:r>
      <w:r w:rsidR="00DE139B" w:rsidRPr="00650149">
        <w:rPr>
          <w:rFonts w:ascii="Times New Roman" w:hAnsi="Times New Roman" w:cs="Times New Roman"/>
          <w:sz w:val="24"/>
          <w:szCs w:val="24"/>
        </w:rPr>
        <w:t>zgodnie z powyższym wskaźnikiem</w:t>
      </w:r>
      <w:r w:rsidR="000B7529" w:rsidRPr="00650149">
        <w:rPr>
          <w:rFonts w:ascii="Times New Roman" w:hAnsi="Times New Roman" w:cs="Times New Roman"/>
          <w:sz w:val="24"/>
          <w:szCs w:val="24"/>
        </w:rPr>
        <w:t>.</w:t>
      </w:r>
    </w:p>
    <w:p w14:paraId="3E79C80C" w14:textId="77777777" w:rsidR="00D81BC9" w:rsidRPr="00650149" w:rsidRDefault="00D11E1F" w:rsidP="00174CA0">
      <w:pPr>
        <w:spacing w:after="0" w:line="264" w:lineRule="auto"/>
        <w:jc w:val="both"/>
        <w:rPr>
          <w:rFonts w:ascii="Times New Roman" w:hAnsi="Times New Roman" w:cs="Times New Roman"/>
          <w:sz w:val="24"/>
          <w:szCs w:val="24"/>
        </w:rPr>
      </w:pPr>
      <w:r w:rsidRPr="00650149">
        <w:rPr>
          <w:rFonts w:ascii="Times New Roman" w:hAnsi="Times New Roman" w:cs="Times New Roman"/>
          <w:sz w:val="24"/>
          <w:szCs w:val="24"/>
        </w:rPr>
        <w:tab/>
      </w:r>
      <w:r w:rsidR="008C41B0" w:rsidRPr="00650149">
        <w:rPr>
          <w:rFonts w:ascii="Times New Roman" w:hAnsi="Times New Roman" w:cs="Times New Roman"/>
          <w:sz w:val="24"/>
          <w:szCs w:val="24"/>
        </w:rPr>
        <w:t>Na dzień 31.12.20</w:t>
      </w:r>
      <w:r w:rsidR="00650149" w:rsidRPr="00650149">
        <w:rPr>
          <w:rFonts w:ascii="Times New Roman" w:hAnsi="Times New Roman" w:cs="Times New Roman"/>
          <w:sz w:val="24"/>
          <w:szCs w:val="24"/>
        </w:rPr>
        <w:t>20</w:t>
      </w:r>
      <w:r w:rsidR="008C41B0" w:rsidRPr="00650149">
        <w:rPr>
          <w:rFonts w:ascii="Times New Roman" w:hAnsi="Times New Roman" w:cs="Times New Roman"/>
          <w:sz w:val="24"/>
          <w:szCs w:val="24"/>
        </w:rPr>
        <w:t xml:space="preserve"> r. udział aktywów i zobowiązań pozabilansowych, o wagach ryzyka 100% i więcej wyniósł </w:t>
      </w:r>
      <w:r w:rsidR="00650149" w:rsidRPr="00650149">
        <w:rPr>
          <w:rFonts w:ascii="Times New Roman" w:hAnsi="Times New Roman" w:cs="Times New Roman"/>
          <w:sz w:val="24"/>
          <w:szCs w:val="24"/>
        </w:rPr>
        <w:t>26,27</w:t>
      </w:r>
      <w:r w:rsidR="008C41B0" w:rsidRPr="00650149">
        <w:rPr>
          <w:rFonts w:ascii="Times New Roman" w:hAnsi="Times New Roman" w:cs="Times New Roman"/>
          <w:sz w:val="24"/>
          <w:szCs w:val="24"/>
        </w:rPr>
        <w:t>%, czyli nie przekroczył 30% sumy aktywów. W związku z powyższym Bank uznaje, że ryzyko kredytowe jest ryzykiem w pełni pokrytym kapitałem utworzonym w ramach Filaru I i nie ma potrzeby tworzenia  kapitału wewnętrznego na pokrycie tego ryzyka w Filarze II.</w:t>
      </w:r>
    </w:p>
    <w:p w14:paraId="60FC3FF6" w14:textId="77777777" w:rsidR="00603DB6" w:rsidRPr="000E3272" w:rsidRDefault="00603DB6" w:rsidP="00174CA0">
      <w:pPr>
        <w:spacing w:after="0" w:line="264" w:lineRule="auto"/>
        <w:jc w:val="both"/>
        <w:rPr>
          <w:rFonts w:ascii="Times New Roman" w:hAnsi="Times New Roman" w:cs="Times New Roman"/>
          <w:color w:val="FF0000"/>
          <w:sz w:val="24"/>
          <w:szCs w:val="24"/>
        </w:rPr>
      </w:pPr>
    </w:p>
    <w:p w14:paraId="482EA4C5" w14:textId="77777777" w:rsidR="00603DB6" w:rsidRPr="00650149" w:rsidRDefault="00603DB6" w:rsidP="00174CA0">
      <w:pPr>
        <w:spacing w:after="0" w:line="264" w:lineRule="auto"/>
        <w:jc w:val="both"/>
        <w:rPr>
          <w:rFonts w:ascii="Times New Roman" w:hAnsi="Times New Roman" w:cs="Times New Roman"/>
          <w:sz w:val="24"/>
          <w:szCs w:val="24"/>
        </w:rPr>
      </w:pPr>
    </w:p>
    <w:p w14:paraId="407402B1" w14:textId="77777777" w:rsidR="006C34F1" w:rsidRPr="00650149" w:rsidRDefault="006C34F1" w:rsidP="007B36B8">
      <w:pPr>
        <w:pStyle w:val="Nagwek1"/>
        <w:numPr>
          <w:ilvl w:val="2"/>
          <w:numId w:val="28"/>
        </w:numPr>
        <w:ind w:left="851" w:hanging="578"/>
        <w:rPr>
          <w:rFonts w:ascii="Times New Roman" w:hAnsi="Times New Roman" w:cs="Times New Roman"/>
          <w:b/>
          <w:color w:val="auto"/>
          <w:sz w:val="24"/>
          <w:szCs w:val="24"/>
        </w:rPr>
      </w:pPr>
      <w:bookmarkStart w:id="37" w:name="_Toc44930280"/>
      <w:r w:rsidRPr="00650149">
        <w:rPr>
          <w:rFonts w:ascii="Times New Roman" w:hAnsi="Times New Roman" w:cs="Times New Roman"/>
          <w:b/>
          <w:color w:val="auto"/>
          <w:sz w:val="24"/>
          <w:szCs w:val="24"/>
        </w:rPr>
        <w:t>KAPITAŁ WEWNĘTRZNY NA RYZYKO OPERACYJNE</w:t>
      </w:r>
      <w:bookmarkEnd w:id="37"/>
      <w:r w:rsidRPr="00650149">
        <w:rPr>
          <w:rFonts w:ascii="Times New Roman" w:hAnsi="Times New Roman" w:cs="Times New Roman"/>
          <w:b/>
          <w:color w:val="auto"/>
          <w:sz w:val="24"/>
          <w:szCs w:val="24"/>
        </w:rPr>
        <w:t xml:space="preserve"> </w:t>
      </w:r>
    </w:p>
    <w:p w14:paraId="3D981412" w14:textId="77777777" w:rsidR="00F34CAF" w:rsidRPr="00650149" w:rsidRDefault="00F34CAF" w:rsidP="00174CA0">
      <w:pPr>
        <w:spacing w:after="0" w:line="264" w:lineRule="auto"/>
        <w:rPr>
          <w:rFonts w:ascii="Times New Roman" w:hAnsi="Times New Roman" w:cs="Times New Roman"/>
          <w:b/>
          <w:sz w:val="24"/>
          <w:szCs w:val="24"/>
        </w:rPr>
      </w:pPr>
    </w:p>
    <w:p w14:paraId="0E46D33B" w14:textId="77777777" w:rsidR="006C34F1" w:rsidRPr="00650149" w:rsidRDefault="006C34F1" w:rsidP="00F34CAF">
      <w:pPr>
        <w:spacing w:after="0" w:line="264" w:lineRule="auto"/>
        <w:ind w:firstLine="708"/>
        <w:jc w:val="both"/>
        <w:rPr>
          <w:rFonts w:ascii="Times New Roman" w:hAnsi="Times New Roman" w:cs="Times New Roman"/>
          <w:sz w:val="24"/>
          <w:szCs w:val="24"/>
        </w:rPr>
      </w:pPr>
      <w:r w:rsidRPr="00650149">
        <w:rPr>
          <w:rFonts w:ascii="Times New Roman" w:hAnsi="Times New Roman" w:cs="Times New Roman"/>
          <w:sz w:val="24"/>
          <w:szCs w:val="24"/>
        </w:rPr>
        <w:t>Punktem wyjściowym dla ustalenia kapitału wewnętrznego na ryzyko operacyjne jest kapitał</w:t>
      </w:r>
      <w:r w:rsidR="00687E72" w:rsidRPr="00650149">
        <w:rPr>
          <w:rFonts w:ascii="Times New Roman" w:hAnsi="Times New Roman" w:cs="Times New Roman"/>
          <w:sz w:val="24"/>
          <w:szCs w:val="24"/>
        </w:rPr>
        <w:t xml:space="preserve"> </w:t>
      </w:r>
      <w:r w:rsidRPr="00650149">
        <w:rPr>
          <w:rFonts w:ascii="Times New Roman" w:hAnsi="Times New Roman" w:cs="Times New Roman"/>
          <w:sz w:val="24"/>
          <w:szCs w:val="24"/>
        </w:rPr>
        <w:t xml:space="preserve">regulacyjny, obliczony zgodnie z zasadami określonymi w </w:t>
      </w:r>
      <w:r w:rsidR="00687E72" w:rsidRPr="00650149">
        <w:rPr>
          <w:rFonts w:ascii="Times New Roman" w:hAnsi="Times New Roman" w:cs="Times New Roman"/>
          <w:sz w:val="24"/>
          <w:szCs w:val="24"/>
        </w:rPr>
        <w:t>Instrukcji wyznaczania wymogów kapitałowych z tytułu poszczególnych rodzajów ryzyka</w:t>
      </w:r>
      <w:r w:rsidRPr="00650149">
        <w:rPr>
          <w:rFonts w:ascii="Times New Roman" w:hAnsi="Times New Roman" w:cs="Times New Roman"/>
          <w:sz w:val="24"/>
          <w:szCs w:val="24"/>
        </w:rPr>
        <w:t xml:space="preserve">. </w:t>
      </w:r>
    </w:p>
    <w:p w14:paraId="4E2225FF" w14:textId="77777777" w:rsidR="006C34F1" w:rsidRPr="00650149" w:rsidRDefault="006C34F1" w:rsidP="00174CA0">
      <w:pPr>
        <w:spacing w:after="0" w:line="264" w:lineRule="auto"/>
        <w:jc w:val="both"/>
        <w:rPr>
          <w:rFonts w:ascii="Times New Roman" w:hAnsi="Times New Roman" w:cs="Times New Roman"/>
          <w:sz w:val="24"/>
          <w:szCs w:val="24"/>
        </w:rPr>
      </w:pPr>
      <w:r w:rsidRPr="00650149">
        <w:rPr>
          <w:rFonts w:ascii="Times New Roman" w:hAnsi="Times New Roman" w:cs="Times New Roman"/>
          <w:sz w:val="24"/>
          <w:szCs w:val="24"/>
        </w:rPr>
        <w:t xml:space="preserve">Kapitałem regulacyjnym zabezpieczona została znaczna część ryzyka wynikająca ze skali </w:t>
      </w:r>
      <w:r w:rsidR="00687E72" w:rsidRPr="00650149">
        <w:rPr>
          <w:rFonts w:ascii="Times New Roman" w:hAnsi="Times New Roman" w:cs="Times New Roman"/>
          <w:sz w:val="24"/>
          <w:szCs w:val="24"/>
        </w:rPr>
        <w:t>p</w:t>
      </w:r>
      <w:r w:rsidRPr="00650149">
        <w:rPr>
          <w:rFonts w:ascii="Times New Roman" w:hAnsi="Times New Roman" w:cs="Times New Roman"/>
          <w:sz w:val="24"/>
          <w:szCs w:val="24"/>
        </w:rPr>
        <w:t xml:space="preserve">rowadzonej przez Bank działalności. </w:t>
      </w:r>
    </w:p>
    <w:p w14:paraId="0F187DE2" w14:textId="77777777" w:rsidR="00687E72" w:rsidRPr="00650149" w:rsidRDefault="00F34CAF" w:rsidP="00174CA0">
      <w:pPr>
        <w:pStyle w:val="Tekstkomentarza"/>
        <w:widowControl/>
        <w:tabs>
          <w:tab w:val="left" w:pos="0"/>
        </w:tabs>
        <w:adjustRightInd/>
        <w:spacing w:before="0" w:after="0" w:line="264" w:lineRule="auto"/>
        <w:textAlignment w:val="auto"/>
        <w:rPr>
          <w:szCs w:val="24"/>
        </w:rPr>
      </w:pPr>
      <w:r w:rsidRPr="00650149">
        <w:rPr>
          <w:szCs w:val="24"/>
        </w:rPr>
        <w:tab/>
      </w:r>
      <w:r w:rsidR="00687E72" w:rsidRPr="00650149">
        <w:rPr>
          <w:szCs w:val="24"/>
        </w:rPr>
        <w:t xml:space="preserve">Badaniu i ocenie podlegają straty rzeczywiste i potencjalne netto dla zdarzeń </w:t>
      </w:r>
      <w:r w:rsidR="00A254E8" w:rsidRPr="00650149">
        <w:rPr>
          <w:szCs w:val="24"/>
          <w:lang w:val="pl-PL"/>
        </w:rPr>
        <w:t xml:space="preserve">                        </w:t>
      </w:r>
      <w:r w:rsidR="00687E72" w:rsidRPr="00650149">
        <w:rPr>
          <w:szCs w:val="24"/>
        </w:rPr>
        <w:t xml:space="preserve">i incydentów zarejestrowanych w systemie do ewidencji zdarzeń operacyjnych, które wystąpiły w Banku na przestrzeni ostatnich 12 miesięcy od daty analizy. </w:t>
      </w:r>
    </w:p>
    <w:p w14:paraId="39A1FD33" w14:textId="77777777" w:rsidR="00687E72" w:rsidRPr="00650149" w:rsidRDefault="00687E72" w:rsidP="00174CA0">
      <w:pPr>
        <w:pStyle w:val="Tekstkomentarza"/>
        <w:widowControl/>
        <w:tabs>
          <w:tab w:val="left" w:pos="0"/>
        </w:tabs>
        <w:adjustRightInd/>
        <w:spacing w:before="0" w:after="0" w:line="264" w:lineRule="auto"/>
        <w:textAlignment w:val="auto"/>
        <w:rPr>
          <w:szCs w:val="24"/>
        </w:rPr>
      </w:pPr>
      <w:r w:rsidRPr="00650149">
        <w:rPr>
          <w:szCs w:val="24"/>
        </w:rPr>
        <w:t xml:space="preserve">Bank definiuje poniższe straty rzeczywiste i potencjalne, które będą podlegać badaniu </w:t>
      </w:r>
      <w:r w:rsidR="00A254E8" w:rsidRPr="00650149">
        <w:rPr>
          <w:szCs w:val="24"/>
          <w:lang w:val="pl-PL"/>
        </w:rPr>
        <w:t xml:space="preserve">                 </w:t>
      </w:r>
      <w:r w:rsidRPr="00650149">
        <w:rPr>
          <w:szCs w:val="24"/>
        </w:rPr>
        <w:t>w ramach oceny stopnia narażenia Banku na ryzyko op</w:t>
      </w:r>
      <w:r w:rsidR="006B4D7E" w:rsidRPr="00650149">
        <w:rPr>
          <w:szCs w:val="24"/>
        </w:rPr>
        <w:t>eracyjne</w:t>
      </w:r>
      <w:r w:rsidRPr="00650149">
        <w:rPr>
          <w:szCs w:val="24"/>
        </w:rPr>
        <w:t>:</w:t>
      </w:r>
    </w:p>
    <w:p w14:paraId="167B6CEA" w14:textId="77777777" w:rsidR="00687E72" w:rsidRPr="00650149" w:rsidRDefault="00687E72" w:rsidP="00993749">
      <w:pPr>
        <w:pStyle w:val="Tekstkomentarza"/>
        <w:widowControl/>
        <w:numPr>
          <w:ilvl w:val="0"/>
          <w:numId w:val="10"/>
        </w:numPr>
        <w:tabs>
          <w:tab w:val="left" w:pos="284"/>
        </w:tabs>
        <w:adjustRightInd/>
        <w:spacing w:before="0" w:after="0" w:line="264" w:lineRule="auto"/>
        <w:ind w:left="426" w:hanging="284"/>
        <w:textAlignment w:val="auto"/>
        <w:rPr>
          <w:szCs w:val="24"/>
        </w:rPr>
      </w:pPr>
      <w:r w:rsidRPr="00650149">
        <w:rPr>
          <w:szCs w:val="24"/>
        </w:rPr>
        <w:t>koszty niedoborów kasowych,</w:t>
      </w:r>
    </w:p>
    <w:p w14:paraId="180E0941" w14:textId="77777777" w:rsidR="00687E72" w:rsidRPr="00650149" w:rsidRDefault="00687E72" w:rsidP="00993749">
      <w:pPr>
        <w:pStyle w:val="Tekstkomentarza"/>
        <w:widowControl/>
        <w:numPr>
          <w:ilvl w:val="0"/>
          <w:numId w:val="10"/>
        </w:numPr>
        <w:tabs>
          <w:tab w:val="left" w:pos="284"/>
        </w:tabs>
        <w:adjustRightInd/>
        <w:spacing w:before="0" w:after="0" w:line="264" w:lineRule="auto"/>
        <w:ind w:left="426" w:hanging="284"/>
        <w:textAlignment w:val="auto"/>
        <w:rPr>
          <w:szCs w:val="24"/>
        </w:rPr>
      </w:pPr>
      <w:r w:rsidRPr="00650149">
        <w:rPr>
          <w:szCs w:val="24"/>
        </w:rPr>
        <w:t>koszty innych niedoborów,</w:t>
      </w:r>
    </w:p>
    <w:p w14:paraId="6D85B796" w14:textId="77777777" w:rsidR="00687E72" w:rsidRPr="00650149" w:rsidRDefault="00687E72" w:rsidP="00993749">
      <w:pPr>
        <w:pStyle w:val="Tekstkomentarza"/>
        <w:widowControl/>
        <w:numPr>
          <w:ilvl w:val="0"/>
          <w:numId w:val="10"/>
        </w:numPr>
        <w:tabs>
          <w:tab w:val="left" w:pos="284"/>
        </w:tabs>
        <w:adjustRightInd/>
        <w:spacing w:before="0" w:after="0" w:line="264" w:lineRule="auto"/>
        <w:ind w:left="426" w:hanging="284"/>
        <w:textAlignment w:val="auto"/>
        <w:rPr>
          <w:szCs w:val="24"/>
        </w:rPr>
      </w:pPr>
      <w:r w:rsidRPr="00650149">
        <w:rPr>
          <w:szCs w:val="24"/>
        </w:rPr>
        <w:t>koszty tworzenia rezerw celowych na ekspozycje kredytowe wyłudzone przez klientów</w:t>
      </w:r>
      <w:r w:rsidRPr="00650149">
        <w:rPr>
          <w:szCs w:val="24"/>
          <w:lang w:val="pl-PL"/>
        </w:rPr>
        <w:t xml:space="preserve"> </w:t>
      </w:r>
      <w:r w:rsidRPr="00650149">
        <w:rPr>
          <w:szCs w:val="24"/>
        </w:rPr>
        <w:t>lub udzielone z naruszeniem obowiązujących w Banku procedur kredytowych,</w:t>
      </w:r>
    </w:p>
    <w:p w14:paraId="3DE0DF71" w14:textId="77777777" w:rsidR="00687E72" w:rsidRPr="00650149" w:rsidRDefault="00687E72" w:rsidP="00993749">
      <w:pPr>
        <w:pStyle w:val="Tekstkomentarza"/>
        <w:widowControl/>
        <w:numPr>
          <w:ilvl w:val="0"/>
          <w:numId w:val="10"/>
        </w:numPr>
        <w:tabs>
          <w:tab w:val="left" w:pos="284"/>
        </w:tabs>
        <w:adjustRightInd/>
        <w:spacing w:before="0" w:after="0" w:line="264" w:lineRule="auto"/>
        <w:ind w:left="426" w:hanging="284"/>
        <w:textAlignment w:val="auto"/>
        <w:rPr>
          <w:szCs w:val="24"/>
        </w:rPr>
      </w:pPr>
      <w:r w:rsidRPr="00650149">
        <w:rPr>
          <w:szCs w:val="24"/>
        </w:rPr>
        <w:t>poniesione straty z tytułu zaboru mienia lub uszkodzenia aktywów,</w:t>
      </w:r>
    </w:p>
    <w:p w14:paraId="76E8C5E4" w14:textId="77777777" w:rsidR="00687E72" w:rsidRPr="00650149" w:rsidRDefault="00687E72" w:rsidP="00993749">
      <w:pPr>
        <w:pStyle w:val="Tekstkomentarza"/>
        <w:widowControl/>
        <w:numPr>
          <w:ilvl w:val="0"/>
          <w:numId w:val="10"/>
        </w:numPr>
        <w:tabs>
          <w:tab w:val="left" w:pos="284"/>
        </w:tabs>
        <w:adjustRightInd/>
        <w:spacing w:before="0" w:after="0" w:line="264" w:lineRule="auto"/>
        <w:ind w:left="426" w:hanging="284"/>
        <w:textAlignment w:val="auto"/>
        <w:rPr>
          <w:szCs w:val="24"/>
        </w:rPr>
      </w:pPr>
      <w:r w:rsidRPr="00650149">
        <w:rPr>
          <w:szCs w:val="24"/>
        </w:rPr>
        <w:lastRenderedPageBreak/>
        <w:t>inne pozycje kosztowe związane z incydentami, które wystąpiły w Banku w ramach ryzyka operacyjnego zarejestrowane w systemie do ewidencji zdarzeń operacyjnych.</w:t>
      </w:r>
    </w:p>
    <w:p w14:paraId="5AFCC5D8" w14:textId="77777777" w:rsidR="00687E72" w:rsidRPr="00650149" w:rsidRDefault="00687E72" w:rsidP="00174CA0">
      <w:pPr>
        <w:pStyle w:val="Tekstkomentarza"/>
        <w:widowControl/>
        <w:tabs>
          <w:tab w:val="left" w:pos="0"/>
        </w:tabs>
        <w:adjustRightInd/>
        <w:spacing w:before="0" w:after="0" w:line="264" w:lineRule="auto"/>
        <w:textAlignment w:val="auto"/>
        <w:rPr>
          <w:szCs w:val="24"/>
        </w:rPr>
      </w:pPr>
      <w:r w:rsidRPr="00650149">
        <w:rPr>
          <w:szCs w:val="24"/>
        </w:rPr>
        <w:t>Powyższe straty wykazywane są według faktycznej wielkości netto na dzień analizy.</w:t>
      </w:r>
    </w:p>
    <w:p w14:paraId="2E3EDFCA" w14:textId="77777777" w:rsidR="00687E72" w:rsidRPr="00650149" w:rsidRDefault="00F34CAF" w:rsidP="00174CA0">
      <w:pPr>
        <w:pStyle w:val="Tekstkomentarza"/>
        <w:widowControl/>
        <w:tabs>
          <w:tab w:val="left" w:pos="0"/>
        </w:tabs>
        <w:adjustRightInd/>
        <w:spacing w:before="0" w:after="0" w:line="264" w:lineRule="auto"/>
        <w:textAlignment w:val="auto"/>
        <w:rPr>
          <w:szCs w:val="24"/>
          <w:lang w:val="pl-PL"/>
        </w:rPr>
      </w:pPr>
      <w:r w:rsidRPr="00650149">
        <w:rPr>
          <w:szCs w:val="24"/>
        </w:rPr>
        <w:tab/>
      </w:r>
      <w:r w:rsidR="00687E72" w:rsidRPr="00650149">
        <w:rPr>
          <w:szCs w:val="24"/>
        </w:rPr>
        <w:t>Bank dokonuje analizy porównawczej poniesionych oraz potencjalnych strat</w:t>
      </w:r>
      <w:r w:rsidR="00687E72" w:rsidRPr="00650149">
        <w:rPr>
          <w:szCs w:val="24"/>
          <w:lang w:val="pl-PL"/>
        </w:rPr>
        <w:t xml:space="preserve"> wynikających z zastosowania testów warunków skrajnych</w:t>
      </w:r>
      <w:r w:rsidR="00687E72" w:rsidRPr="00650149">
        <w:rPr>
          <w:szCs w:val="24"/>
        </w:rPr>
        <w:t xml:space="preserve">, z wyliczonym zgodnie z zasadami dla Filaru I wymogiem kapitałowym na ryzyko operacyjne. </w:t>
      </w:r>
      <w:r w:rsidR="00687E72" w:rsidRPr="00650149">
        <w:rPr>
          <w:szCs w:val="24"/>
          <w:lang w:val="pl-PL"/>
        </w:rPr>
        <w:t>W</w:t>
      </w:r>
      <w:r w:rsidR="00687E72" w:rsidRPr="00650149">
        <w:rPr>
          <w:szCs w:val="24"/>
        </w:rPr>
        <w:t xml:space="preserve"> przypadku przekroczeni</w:t>
      </w:r>
      <w:r w:rsidR="00687E72" w:rsidRPr="00650149">
        <w:rPr>
          <w:szCs w:val="24"/>
          <w:lang w:val="pl-PL"/>
        </w:rPr>
        <w:t>a sumy</w:t>
      </w:r>
      <w:r w:rsidR="00687E72" w:rsidRPr="00650149">
        <w:rPr>
          <w:szCs w:val="24"/>
        </w:rPr>
        <w:t xml:space="preserve"> strat </w:t>
      </w:r>
      <w:r w:rsidR="00687E72" w:rsidRPr="00650149">
        <w:rPr>
          <w:szCs w:val="24"/>
          <w:lang w:val="pl-PL"/>
        </w:rPr>
        <w:t xml:space="preserve">operacyjnych z uwzględnieniem testów warunków skrajnych  wyliczonego wymogu kapitałowego w Filarze I </w:t>
      </w:r>
      <w:r w:rsidR="00687E72" w:rsidRPr="00650149">
        <w:rPr>
          <w:szCs w:val="24"/>
        </w:rPr>
        <w:t>Bank uznaje, że wymóg kapitałowy wyliczony według zasad Filaru I na pokrycie ryzyka operacyjnego jest niewystarczający i w konsekwencji wyznacza dodatkowy wewnętrzny wymóg kapitałowy z tego tytułu.</w:t>
      </w:r>
    </w:p>
    <w:p w14:paraId="3D1C0693" w14:textId="77777777" w:rsidR="00687E72" w:rsidRPr="00650149" w:rsidRDefault="002056C0" w:rsidP="00174CA0">
      <w:pPr>
        <w:pStyle w:val="Tekstkomentarza"/>
        <w:widowControl/>
        <w:tabs>
          <w:tab w:val="left" w:pos="0"/>
        </w:tabs>
        <w:adjustRightInd/>
        <w:spacing w:before="0" w:after="0" w:line="264" w:lineRule="auto"/>
        <w:textAlignment w:val="auto"/>
        <w:rPr>
          <w:szCs w:val="24"/>
        </w:rPr>
      </w:pPr>
      <w:r w:rsidRPr="00650149">
        <w:rPr>
          <w:szCs w:val="24"/>
        </w:rPr>
        <w:tab/>
      </w:r>
      <w:r w:rsidR="00687E72" w:rsidRPr="00650149">
        <w:rPr>
          <w:szCs w:val="24"/>
        </w:rPr>
        <w:t>Dodatkowy wewnętrzny wymóg kapitałowy z tytułu ryzyka operacyjnego ustalany jest w kwocie stanowiącej różnicę pomiędzy poniesionymi i potencjalnymi stratami, a wymogiem wyliczonym w ramach Filaru I.</w:t>
      </w:r>
    </w:p>
    <w:p w14:paraId="77350619" w14:textId="77777777" w:rsidR="00D11E1F" w:rsidRPr="00650149" w:rsidRDefault="00D11E1F" w:rsidP="00174CA0">
      <w:pPr>
        <w:pStyle w:val="Tekstkomentarza"/>
        <w:widowControl/>
        <w:tabs>
          <w:tab w:val="left" w:pos="0"/>
        </w:tabs>
        <w:adjustRightInd/>
        <w:spacing w:before="0" w:after="0" w:line="264" w:lineRule="auto"/>
        <w:textAlignment w:val="auto"/>
        <w:rPr>
          <w:szCs w:val="24"/>
        </w:rPr>
      </w:pPr>
      <w:r w:rsidRPr="00650149">
        <w:rPr>
          <w:szCs w:val="24"/>
        </w:rPr>
        <w:tab/>
        <w:t xml:space="preserve">W okresie ostatnich 12 miesięcy od daty analizy w ramach ryzyka operacyjnego oszacowano straty (również potencjalne) netto w wysokości </w:t>
      </w:r>
      <w:r w:rsidR="00650149" w:rsidRPr="00650149">
        <w:rPr>
          <w:szCs w:val="24"/>
          <w:lang w:val="pl-PL"/>
        </w:rPr>
        <w:t>180</w:t>
      </w:r>
      <w:r w:rsidRPr="00650149">
        <w:rPr>
          <w:szCs w:val="24"/>
        </w:rPr>
        <w:t xml:space="preserve"> zł. Są one dużo niższe od wymogu kapitałowego na ryzyko operacyjne wyliczonego w Filarze I w kwocie </w:t>
      </w:r>
      <w:r w:rsidR="00650149" w:rsidRPr="00650149">
        <w:rPr>
          <w:szCs w:val="24"/>
          <w:lang w:val="pl-PL"/>
        </w:rPr>
        <w:t>3 088</w:t>
      </w:r>
      <w:r w:rsidRPr="00650149">
        <w:rPr>
          <w:szCs w:val="24"/>
        </w:rPr>
        <w:t xml:space="preserve"> tys. zł. W związku z powyższym Bank nie utworzył dodatkowego wymogu z tytułu ryzyka operacyjnego.</w:t>
      </w:r>
    </w:p>
    <w:p w14:paraId="4837DEF9" w14:textId="77777777" w:rsidR="006B4D7E" w:rsidRPr="00650149" w:rsidRDefault="006B4D7E" w:rsidP="00174CA0">
      <w:pPr>
        <w:spacing w:after="0" w:line="264" w:lineRule="auto"/>
        <w:rPr>
          <w:rFonts w:ascii="Times New Roman" w:hAnsi="Times New Roman" w:cs="Times New Roman"/>
          <w:sz w:val="24"/>
          <w:szCs w:val="24"/>
        </w:rPr>
      </w:pPr>
    </w:p>
    <w:p w14:paraId="2271D3E5" w14:textId="77777777" w:rsidR="006C34F1" w:rsidRPr="00650149" w:rsidRDefault="006C34F1" w:rsidP="007B36B8">
      <w:pPr>
        <w:pStyle w:val="Nagwek1"/>
        <w:numPr>
          <w:ilvl w:val="2"/>
          <w:numId w:val="28"/>
        </w:numPr>
        <w:ind w:left="709"/>
        <w:rPr>
          <w:rFonts w:ascii="Times New Roman" w:hAnsi="Times New Roman" w:cs="Times New Roman"/>
          <w:b/>
          <w:color w:val="auto"/>
          <w:sz w:val="24"/>
          <w:szCs w:val="24"/>
        </w:rPr>
      </w:pPr>
      <w:bookmarkStart w:id="38" w:name="_Toc44930281"/>
      <w:r w:rsidRPr="00650149">
        <w:rPr>
          <w:rFonts w:ascii="Times New Roman" w:hAnsi="Times New Roman" w:cs="Times New Roman"/>
          <w:b/>
          <w:color w:val="auto"/>
          <w:sz w:val="24"/>
          <w:szCs w:val="24"/>
        </w:rPr>
        <w:t>KAPITAŁ WEWNĘTRZNY NA RYZYKO RYNKOWE</w:t>
      </w:r>
      <w:bookmarkEnd w:id="38"/>
      <w:r w:rsidRPr="00650149">
        <w:rPr>
          <w:rFonts w:ascii="Times New Roman" w:hAnsi="Times New Roman" w:cs="Times New Roman"/>
          <w:b/>
          <w:color w:val="auto"/>
          <w:sz w:val="24"/>
          <w:szCs w:val="24"/>
        </w:rPr>
        <w:t xml:space="preserve"> </w:t>
      </w:r>
    </w:p>
    <w:p w14:paraId="03DABF14" w14:textId="77777777" w:rsidR="002056C0" w:rsidRPr="00650149" w:rsidRDefault="002056C0" w:rsidP="00174CA0">
      <w:pPr>
        <w:pStyle w:val="Tekstkomentarza"/>
        <w:widowControl/>
        <w:tabs>
          <w:tab w:val="left" w:pos="0"/>
        </w:tabs>
        <w:adjustRightInd/>
        <w:spacing w:before="0" w:after="0" w:line="264" w:lineRule="auto"/>
        <w:textAlignment w:val="auto"/>
        <w:rPr>
          <w:szCs w:val="24"/>
        </w:rPr>
      </w:pPr>
    </w:p>
    <w:p w14:paraId="79E10F4B" w14:textId="77777777" w:rsidR="00D11E1F" w:rsidRPr="00650149" w:rsidRDefault="002056C0" w:rsidP="00D11E1F">
      <w:pPr>
        <w:pStyle w:val="Tekstkomentarza"/>
        <w:tabs>
          <w:tab w:val="left" w:pos="0"/>
        </w:tabs>
        <w:spacing w:after="0" w:line="264" w:lineRule="auto"/>
        <w:rPr>
          <w:szCs w:val="24"/>
        </w:rPr>
      </w:pPr>
      <w:r w:rsidRPr="00650149">
        <w:rPr>
          <w:szCs w:val="24"/>
        </w:rPr>
        <w:tab/>
      </w:r>
      <w:r w:rsidR="00D11E1F" w:rsidRPr="00650149">
        <w:rPr>
          <w:szCs w:val="24"/>
        </w:rPr>
        <w:t>Badaniu podlega wymóg kapitałowy na ryzyko rynkowe w ramach Filaru I wyznaczony przez Bank na przestrzeni ostatnich 3 miesięcy poprzedzających datę analizy.</w:t>
      </w:r>
    </w:p>
    <w:p w14:paraId="4A14B6D1" w14:textId="77777777" w:rsidR="00D11E1F" w:rsidRPr="00650149" w:rsidRDefault="00D11E1F" w:rsidP="00D11E1F">
      <w:pPr>
        <w:pStyle w:val="Tekstkomentarza"/>
        <w:tabs>
          <w:tab w:val="left" w:pos="0"/>
        </w:tabs>
        <w:spacing w:after="0" w:line="264" w:lineRule="auto"/>
        <w:rPr>
          <w:szCs w:val="24"/>
        </w:rPr>
      </w:pPr>
      <w:r w:rsidRPr="00650149">
        <w:rPr>
          <w:szCs w:val="24"/>
        </w:rPr>
        <w:t>Ze względu na skalę prowadzonej działalności, ryzyko rynkowe w warunkach Banku ograniczone jest do ryzyka walutowego.</w:t>
      </w:r>
    </w:p>
    <w:p w14:paraId="17B65276" w14:textId="77777777" w:rsidR="00806C0F" w:rsidRPr="00650149" w:rsidRDefault="00D11E1F" w:rsidP="00D11E1F">
      <w:pPr>
        <w:pStyle w:val="Tekstkomentarza"/>
        <w:widowControl/>
        <w:tabs>
          <w:tab w:val="left" w:pos="0"/>
        </w:tabs>
        <w:adjustRightInd/>
        <w:spacing w:before="0" w:after="0" w:line="264" w:lineRule="auto"/>
        <w:textAlignment w:val="auto"/>
        <w:rPr>
          <w:szCs w:val="24"/>
        </w:rPr>
      </w:pPr>
      <w:r w:rsidRPr="00650149">
        <w:rPr>
          <w:szCs w:val="24"/>
        </w:rPr>
        <w:t>Jeśli wymóg kapitałowy z tytułu ryzyka rynkowego na przestrzeni ostatnich 3 miesięcy nie przekroczył w żadnym z badanych miesięcy 1% posiadanych przez Bank funduszy własnych oraz jednocześnie średnia z tego okresu nie przekroczyła 0,5% funduszy własnych, Bank uznaje, że wymóg kapitałowy na ryzyko rynkowe wyliczony według zasad Filaru I jest wystarczający i nie wyznacza wewnętrznego wymogu z tego tytułu.</w:t>
      </w:r>
    </w:p>
    <w:p w14:paraId="488626DF" w14:textId="77777777" w:rsidR="00806C0F" w:rsidRPr="00650149" w:rsidRDefault="00564214" w:rsidP="00174CA0">
      <w:pPr>
        <w:spacing w:after="0" w:line="264" w:lineRule="auto"/>
        <w:rPr>
          <w:rFonts w:ascii="Times New Roman" w:hAnsi="Times New Roman" w:cs="Times New Roman"/>
          <w:sz w:val="24"/>
          <w:szCs w:val="24"/>
        </w:rPr>
      </w:pPr>
      <w:r w:rsidRPr="00650149">
        <w:rPr>
          <w:rFonts w:ascii="Times New Roman" w:hAnsi="Times New Roman" w:cs="Times New Roman"/>
          <w:sz w:val="24"/>
          <w:szCs w:val="24"/>
        </w:rPr>
        <w:t>Na dzień 31.12.</w:t>
      </w:r>
      <w:r w:rsidR="008C41B0" w:rsidRPr="00650149">
        <w:rPr>
          <w:rFonts w:ascii="Times New Roman" w:hAnsi="Times New Roman" w:cs="Times New Roman"/>
          <w:sz w:val="24"/>
          <w:szCs w:val="24"/>
        </w:rPr>
        <w:t>20</w:t>
      </w:r>
      <w:r w:rsidR="00650149" w:rsidRPr="00650149">
        <w:rPr>
          <w:rFonts w:ascii="Times New Roman" w:hAnsi="Times New Roman" w:cs="Times New Roman"/>
          <w:sz w:val="24"/>
          <w:szCs w:val="24"/>
        </w:rPr>
        <w:t>20</w:t>
      </w:r>
      <w:r w:rsidR="00A254E8" w:rsidRPr="00650149">
        <w:rPr>
          <w:rFonts w:ascii="Times New Roman" w:hAnsi="Times New Roman" w:cs="Times New Roman"/>
          <w:sz w:val="24"/>
          <w:szCs w:val="24"/>
        </w:rPr>
        <w:t xml:space="preserve"> r.</w:t>
      </w:r>
      <w:r w:rsidR="006C34F1" w:rsidRPr="00650149">
        <w:rPr>
          <w:rFonts w:ascii="Times New Roman" w:hAnsi="Times New Roman" w:cs="Times New Roman"/>
          <w:sz w:val="24"/>
          <w:szCs w:val="24"/>
        </w:rPr>
        <w:t xml:space="preserve"> kapitał wewnętrzny na ryzyko rynkowe </w:t>
      </w:r>
      <w:r w:rsidR="00A254E8" w:rsidRPr="00650149">
        <w:rPr>
          <w:rFonts w:ascii="Times New Roman" w:hAnsi="Times New Roman" w:cs="Times New Roman"/>
          <w:sz w:val="24"/>
          <w:szCs w:val="24"/>
        </w:rPr>
        <w:t>nie występuje.</w:t>
      </w:r>
    </w:p>
    <w:p w14:paraId="5D8E2714" w14:textId="77777777" w:rsidR="00112E80" w:rsidRPr="000E3272" w:rsidRDefault="00112E80" w:rsidP="00174CA0">
      <w:pPr>
        <w:spacing w:after="0" w:line="264" w:lineRule="auto"/>
        <w:rPr>
          <w:rFonts w:ascii="Times New Roman" w:hAnsi="Times New Roman" w:cs="Times New Roman"/>
          <w:b/>
          <w:color w:val="FF0000"/>
          <w:sz w:val="24"/>
          <w:szCs w:val="24"/>
        </w:rPr>
      </w:pPr>
    </w:p>
    <w:p w14:paraId="317E23F3" w14:textId="77777777" w:rsidR="006C34F1" w:rsidRPr="00650149" w:rsidRDefault="00112E80" w:rsidP="007B36B8">
      <w:pPr>
        <w:pStyle w:val="Nagwek1"/>
        <w:numPr>
          <w:ilvl w:val="2"/>
          <w:numId w:val="28"/>
        </w:numPr>
        <w:ind w:left="426" w:hanging="426"/>
        <w:rPr>
          <w:rFonts w:ascii="Times New Roman" w:hAnsi="Times New Roman" w:cs="Times New Roman"/>
          <w:b/>
          <w:color w:val="auto"/>
          <w:sz w:val="24"/>
          <w:szCs w:val="24"/>
        </w:rPr>
      </w:pPr>
      <w:bookmarkStart w:id="39" w:name="_Toc44930282"/>
      <w:r w:rsidRPr="00650149">
        <w:rPr>
          <w:rFonts w:ascii="Times New Roman" w:hAnsi="Times New Roman" w:cs="Times New Roman"/>
          <w:b/>
          <w:color w:val="auto"/>
          <w:sz w:val="24"/>
          <w:szCs w:val="24"/>
        </w:rPr>
        <w:t>KAPITAŁ WEWNĘTRZNY NA RYZYKO KONCE</w:t>
      </w:r>
      <w:r w:rsidR="00184334" w:rsidRPr="00650149">
        <w:rPr>
          <w:rFonts w:ascii="Times New Roman" w:hAnsi="Times New Roman" w:cs="Times New Roman"/>
          <w:b/>
          <w:color w:val="auto"/>
          <w:sz w:val="24"/>
          <w:szCs w:val="24"/>
        </w:rPr>
        <w:t>N</w:t>
      </w:r>
      <w:r w:rsidRPr="00650149">
        <w:rPr>
          <w:rFonts w:ascii="Times New Roman" w:hAnsi="Times New Roman" w:cs="Times New Roman"/>
          <w:b/>
          <w:color w:val="auto"/>
          <w:sz w:val="24"/>
          <w:szCs w:val="24"/>
        </w:rPr>
        <w:t>TRACJI</w:t>
      </w:r>
      <w:bookmarkEnd w:id="39"/>
      <w:r w:rsidRPr="00650149">
        <w:rPr>
          <w:rFonts w:ascii="Times New Roman" w:hAnsi="Times New Roman" w:cs="Times New Roman"/>
          <w:b/>
          <w:color w:val="auto"/>
          <w:sz w:val="24"/>
          <w:szCs w:val="24"/>
        </w:rPr>
        <w:t xml:space="preserve"> </w:t>
      </w:r>
    </w:p>
    <w:p w14:paraId="4F35FA84" w14:textId="77777777" w:rsidR="00112E80" w:rsidRPr="00650149" w:rsidRDefault="00112E80" w:rsidP="00174CA0">
      <w:pPr>
        <w:spacing w:after="0" w:line="264" w:lineRule="auto"/>
        <w:rPr>
          <w:rFonts w:ascii="Times New Roman" w:hAnsi="Times New Roman" w:cs="Times New Roman"/>
          <w:sz w:val="24"/>
          <w:szCs w:val="24"/>
        </w:rPr>
      </w:pPr>
    </w:p>
    <w:p w14:paraId="64D8809A" w14:textId="77777777" w:rsidR="00112E80" w:rsidRPr="00650149" w:rsidRDefault="00112E80" w:rsidP="00A62551">
      <w:pPr>
        <w:pStyle w:val="Tekstkomentarza"/>
        <w:spacing w:before="0" w:after="0" w:line="264" w:lineRule="auto"/>
        <w:ind w:firstLine="708"/>
        <w:rPr>
          <w:szCs w:val="24"/>
        </w:rPr>
      </w:pPr>
      <w:r w:rsidRPr="00650149">
        <w:t xml:space="preserve">Badaniu podlega dywersyfikacja ryzyka kredytowego mierzona jako odpowiednie rozproszenie posiadanych w portfelu kredytowym ekspozycji według wartości bilansowej netto w kwotach ustalonych dla celów obliczania wymogu kapitałowego z tytułu ryzyka kredytowego (bez stosowania wag ryzyka kontrahenta) oraz zobowiązań pozabilansowych (bez uwzględnienia wag ryzyka produktu). Przy badaniu koncentracji zaangażowań Bank stosuje wyłączenia określone </w:t>
      </w:r>
      <w:r w:rsidRPr="00650149">
        <w:rPr>
          <w:bCs/>
          <w:szCs w:val="24"/>
        </w:rPr>
        <w:t xml:space="preserve">w </w:t>
      </w:r>
      <w:r w:rsidRPr="00650149">
        <w:rPr>
          <w:szCs w:val="24"/>
        </w:rPr>
        <w:t xml:space="preserve">Rozporządzeniu. W zakresie ryzyk Filaru II, Bank bada istotność ryzyk wynikających z zaangażowań kredytowych odnoszących się do następujących rodzajów ryzyka </w:t>
      </w:r>
      <w:r w:rsidRPr="00650149">
        <w:rPr>
          <w:szCs w:val="24"/>
        </w:rPr>
        <w:lastRenderedPageBreak/>
        <w:t>koncentracji:</w:t>
      </w:r>
    </w:p>
    <w:p w14:paraId="60CA8E4D" w14:textId="77777777" w:rsidR="00112E80" w:rsidRPr="00650149" w:rsidRDefault="00112E80" w:rsidP="00993749">
      <w:pPr>
        <w:pStyle w:val="Tekstkomentarza"/>
        <w:numPr>
          <w:ilvl w:val="0"/>
          <w:numId w:val="11"/>
        </w:numPr>
        <w:spacing w:before="0" w:after="0" w:line="264" w:lineRule="auto"/>
        <w:ind w:left="0" w:firstLine="0"/>
        <w:rPr>
          <w:szCs w:val="24"/>
        </w:rPr>
      </w:pPr>
      <w:r w:rsidRPr="00650149">
        <w:rPr>
          <w:szCs w:val="24"/>
        </w:rPr>
        <w:t>dużych zaangażowań,</w:t>
      </w:r>
    </w:p>
    <w:p w14:paraId="55C21190" w14:textId="77777777" w:rsidR="00112E80" w:rsidRPr="00650149" w:rsidRDefault="00637723" w:rsidP="00993749">
      <w:pPr>
        <w:pStyle w:val="Tekstkomentarza"/>
        <w:numPr>
          <w:ilvl w:val="0"/>
          <w:numId w:val="11"/>
        </w:numPr>
        <w:spacing w:before="0" w:after="0" w:line="264" w:lineRule="auto"/>
        <w:ind w:left="0" w:firstLine="0"/>
        <w:rPr>
          <w:szCs w:val="24"/>
        </w:rPr>
      </w:pPr>
      <w:r w:rsidRPr="00650149">
        <w:rPr>
          <w:szCs w:val="24"/>
        </w:rPr>
        <w:t>branżowej</w:t>
      </w:r>
      <w:r w:rsidR="00112E80" w:rsidRPr="00650149">
        <w:rPr>
          <w:szCs w:val="24"/>
        </w:rPr>
        <w:t>,</w:t>
      </w:r>
    </w:p>
    <w:p w14:paraId="1128A93E" w14:textId="77777777" w:rsidR="00637723" w:rsidRPr="00650149" w:rsidRDefault="00637723" w:rsidP="00993749">
      <w:pPr>
        <w:pStyle w:val="Tekstkomentarza"/>
        <w:numPr>
          <w:ilvl w:val="0"/>
          <w:numId w:val="11"/>
        </w:numPr>
        <w:spacing w:before="0" w:after="0" w:line="264" w:lineRule="auto"/>
        <w:ind w:left="0" w:firstLine="0"/>
        <w:rPr>
          <w:szCs w:val="24"/>
        </w:rPr>
      </w:pPr>
      <w:r w:rsidRPr="00650149">
        <w:rPr>
          <w:szCs w:val="24"/>
          <w:lang w:val="pl-PL"/>
        </w:rPr>
        <w:t>z tytułu tego samego zabezpieczenia,</w:t>
      </w:r>
    </w:p>
    <w:p w14:paraId="5FF16086" w14:textId="77777777" w:rsidR="00112E80" w:rsidRPr="00650149" w:rsidRDefault="009C3E2E" w:rsidP="00993749">
      <w:pPr>
        <w:pStyle w:val="Tekstkomentarza"/>
        <w:numPr>
          <w:ilvl w:val="0"/>
          <w:numId w:val="11"/>
        </w:numPr>
        <w:spacing w:before="0" w:after="0" w:line="264" w:lineRule="auto"/>
        <w:ind w:left="0" w:firstLine="0"/>
        <w:rPr>
          <w:szCs w:val="24"/>
        </w:rPr>
      </w:pPr>
      <w:r w:rsidRPr="00650149">
        <w:rPr>
          <w:szCs w:val="24"/>
          <w:lang w:val="pl-PL"/>
        </w:rPr>
        <w:t>w poszczególne jednostkowe instrumenty finansowe</w:t>
      </w:r>
      <w:r w:rsidR="00637723" w:rsidRPr="00650149">
        <w:rPr>
          <w:szCs w:val="24"/>
          <w:lang w:val="pl-PL"/>
        </w:rPr>
        <w:t>,</w:t>
      </w:r>
      <w:r w:rsidRPr="00650149">
        <w:rPr>
          <w:szCs w:val="24"/>
          <w:lang w:val="pl-PL"/>
        </w:rPr>
        <w:tab/>
      </w:r>
      <w:r w:rsidR="00112E80" w:rsidRPr="00650149">
        <w:rPr>
          <w:szCs w:val="24"/>
        </w:rPr>
        <w:t>,</w:t>
      </w:r>
    </w:p>
    <w:p w14:paraId="4A10ECF0" w14:textId="77777777" w:rsidR="00112E80" w:rsidRPr="00650149" w:rsidRDefault="00112E80" w:rsidP="00993749">
      <w:pPr>
        <w:pStyle w:val="Tekstkomentarza"/>
        <w:numPr>
          <w:ilvl w:val="0"/>
          <w:numId w:val="11"/>
        </w:numPr>
        <w:spacing w:before="0" w:after="0" w:line="264" w:lineRule="auto"/>
        <w:ind w:left="0" w:firstLine="0"/>
        <w:rPr>
          <w:szCs w:val="24"/>
        </w:rPr>
      </w:pPr>
      <w:r w:rsidRPr="00650149">
        <w:rPr>
          <w:szCs w:val="24"/>
        </w:rPr>
        <w:t>zaangażowań z terminem zapadalności powyżej 10 lat.</w:t>
      </w:r>
    </w:p>
    <w:p w14:paraId="065EA17C" w14:textId="77777777" w:rsidR="00A62551" w:rsidRPr="00650149" w:rsidRDefault="00A62551" w:rsidP="00A62551">
      <w:pPr>
        <w:pStyle w:val="Tekstpodstawowy"/>
        <w:spacing w:after="0" w:line="264" w:lineRule="auto"/>
        <w:ind w:firstLine="708"/>
        <w:jc w:val="both"/>
        <w:rPr>
          <w:rFonts w:ascii="Times New Roman" w:hAnsi="Times New Roman" w:cs="Times New Roman"/>
        </w:rPr>
      </w:pPr>
    </w:p>
    <w:p w14:paraId="7765D3E8" w14:textId="77777777" w:rsidR="00112E80" w:rsidRPr="00650149" w:rsidRDefault="00112E80" w:rsidP="00A62551">
      <w:pPr>
        <w:pStyle w:val="Tekstpodstawowy"/>
        <w:spacing w:after="0" w:line="264" w:lineRule="auto"/>
        <w:ind w:firstLine="708"/>
        <w:jc w:val="both"/>
        <w:rPr>
          <w:rFonts w:ascii="Times New Roman" w:hAnsi="Times New Roman" w:cs="Times New Roman"/>
          <w:sz w:val="24"/>
          <w:szCs w:val="24"/>
        </w:rPr>
      </w:pPr>
      <w:r w:rsidRPr="00650149">
        <w:rPr>
          <w:rFonts w:ascii="Times New Roman" w:hAnsi="Times New Roman" w:cs="Times New Roman"/>
          <w:sz w:val="24"/>
          <w:szCs w:val="24"/>
        </w:rPr>
        <w:t xml:space="preserve">Bank monitoruje koncentrację zaangażowań i dokonuje analiz w okresach kwartalnych. Wyniki analiz przedstawiane są Zarządowi Banku. Łączny wewnętrzny wymóg kapitałowy </w:t>
      </w:r>
      <w:r w:rsidR="00FA782F" w:rsidRPr="00650149">
        <w:rPr>
          <w:rFonts w:ascii="Times New Roman" w:hAnsi="Times New Roman" w:cs="Times New Roman"/>
          <w:sz w:val="24"/>
          <w:szCs w:val="24"/>
        </w:rPr>
        <w:br/>
      </w:r>
      <w:r w:rsidRPr="00650149">
        <w:rPr>
          <w:rFonts w:ascii="Times New Roman" w:hAnsi="Times New Roman" w:cs="Times New Roman"/>
          <w:sz w:val="24"/>
          <w:szCs w:val="24"/>
        </w:rPr>
        <w:t xml:space="preserve">z tytułu </w:t>
      </w:r>
      <w:r w:rsidR="00A254E8" w:rsidRPr="00650149">
        <w:rPr>
          <w:rFonts w:ascii="Times New Roman" w:hAnsi="Times New Roman" w:cs="Times New Roman"/>
          <w:sz w:val="24"/>
          <w:szCs w:val="24"/>
        </w:rPr>
        <w:t>ryzyka koncentracji zaangażowań</w:t>
      </w:r>
      <w:r w:rsidRPr="00650149">
        <w:rPr>
          <w:rFonts w:ascii="Times New Roman" w:hAnsi="Times New Roman" w:cs="Times New Roman"/>
          <w:sz w:val="24"/>
          <w:szCs w:val="24"/>
        </w:rPr>
        <w:t xml:space="preserve"> stanowi suma wewnętrznych wymogów kapitałowych wyliczonych dla poszczególnych rodzajów ryzyka koncentracji</w:t>
      </w:r>
      <w:r w:rsidR="00A254E8" w:rsidRPr="00650149">
        <w:rPr>
          <w:rFonts w:ascii="Times New Roman" w:hAnsi="Times New Roman" w:cs="Times New Roman"/>
          <w:sz w:val="24"/>
          <w:szCs w:val="24"/>
        </w:rPr>
        <w:t>.</w:t>
      </w:r>
      <w:r w:rsidRPr="00650149">
        <w:rPr>
          <w:rFonts w:ascii="Times New Roman" w:hAnsi="Times New Roman" w:cs="Times New Roman"/>
          <w:sz w:val="24"/>
          <w:szCs w:val="24"/>
        </w:rPr>
        <w:t xml:space="preserve"> </w:t>
      </w:r>
    </w:p>
    <w:p w14:paraId="187F5E86" w14:textId="77777777" w:rsidR="00A254E8" w:rsidRPr="00650149" w:rsidRDefault="00023240" w:rsidP="00174CA0">
      <w:pPr>
        <w:spacing w:after="0" w:line="264" w:lineRule="auto"/>
        <w:rPr>
          <w:rFonts w:ascii="Times New Roman" w:hAnsi="Times New Roman" w:cs="Times New Roman"/>
          <w:b/>
          <w:sz w:val="24"/>
          <w:szCs w:val="24"/>
        </w:rPr>
      </w:pPr>
      <w:r w:rsidRPr="00650149">
        <w:rPr>
          <w:rFonts w:ascii="Times New Roman" w:hAnsi="Times New Roman" w:cs="Times New Roman"/>
          <w:sz w:val="24"/>
          <w:szCs w:val="24"/>
        </w:rPr>
        <w:t>Na dzień 31.12.20</w:t>
      </w:r>
      <w:r w:rsidR="00650149" w:rsidRPr="00650149">
        <w:rPr>
          <w:rFonts w:ascii="Times New Roman" w:hAnsi="Times New Roman" w:cs="Times New Roman"/>
          <w:sz w:val="24"/>
          <w:szCs w:val="24"/>
        </w:rPr>
        <w:t>20</w:t>
      </w:r>
      <w:r w:rsidRPr="00650149">
        <w:rPr>
          <w:rFonts w:ascii="Times New Roman" w:hAnsi="Times New Roman" w:cs="Times New Roman"/>
          <w:sz w:val="24"/>
          <w:szCs w:val="24"/>
        </w:rPr>
        <w:t xml:space="preserve"> r. nie wyznaczono dodatkowego wymogu z tytułu ryzyka koncentracji zaangażowań.</w:t>
      </w:r>
    </w:p>
    <w:p w14:paraId="6959FC3D" w14:textId="77777777" w:rsidR="00112E80" w:rsidRPr="00650149" w:rsidRDefault="00112E80" w:rsidP="007B36B8">
      <w:pPr>
        <w:pStyle w:val="Nagwek1"/>
        <w:numPr>
          <w:ilvl w:val="2"/>
          <w:numId w:val="28"/>
        </w:numPr>
        <w:ind w:left="709"/>
        <w:rPr>
          <w:rFonts w:ascii="Times New Roman" w:hAnsi="Times New Roman" w:cs="Times New Roman"/>
          <w:b/>
          <w:color w:val="auto"/>
          <w:sz w:val="24"/>
          <w:szCs w:val="24"/>
        </w:rPr>
      </w:pPr>
      <w:bookmarkStart w:id="40" w:name="_Toc44930283"/>
      <w:r w:rsidRPr="00650149">
        <w:rPr>
          <w:rFonts w:ascii="Times New Roman" w:hAnsi="Times New Roman" w:cs="Times New Roman"/>
          <w:b/>
          <w:color w:val="auto"/>
          <w:sz w:val="24"/>
          <w:szCs w:val="24"/>
        </w:rPr>
        <w:t>KAPITAŁ WEWNĘTRZNY NA RYZYKO KONCENTRACJI ZNACZNYCH ZAANGAŻOWAŃ KAPITAŁOWYCH</w:t>
      </w:r>
      <w:bookmarkEnd w:id="40"/>
      <w:r w:rsidRPr="00650149">
        <w:rPr>
          <w:rFonts w:ascii="Times New Roman" w:hAnsi="Times New Roman" w:cs="Times New Roman"/>
          <w:b/>
          <w:color w:val="auto"/>
          <w:sz w:val="24"/>
          <w:szCs w:val="24"/>
        </w:rPr>
        <w:t xml:space="preserve"> </w:t>
      </w:r>
    </w:p>
    <w:p w14:paraId="3C2EADE4" w14:textId="77777777" w:rsidR="00A62551" w:rsidRPr="00650149" w:rsidRDefault="00A62551" w:rsidP="00174CA0">
      <w:pPr>
        <w:pStyle w:val="Tekstkomentarza"/>
        <w:spacing w:before="0" w:after="0" w:line="264" w:lineRule="auto"/>
      </w:pPr>
    </w:p>
    <w:p w14:paraId="65D1D5B9" w14:textId="77777777" w:rsidR="00112E80" w:rsidRPr="00650149" w:rsidRDefault="00112E80" w:rsidP="00A62551">
      <w:pPr>
        <w:pStyle w:val="Tekstkomentarza"/>
        <w:spacing w:before="0" w:after="0" w:line="264" w:lineRule="auto"/>
        <w:ind w:firstLine="708"/>
      </w:pPr>
      <w:r w:rsidRPr="00650149">
        <w:t>Zasady rachunku koncentracji znacznych zaangażowań kapitałowych oraz limity poziomu koncentracji zostały określone w Rozporządzeniu. Jeżeli zaangażowanie Ban</w:t>
      </w:r>
      <w:r w:rsidR="00A254E8" w:rsidRPr="00650149">
        <w:t xml:space="preserve">ku przekracza ustalony limit, </w:t>
      </w:r>
      <w:r w:rsidRPr="00650149">
        <w:t xml:space="preserve">Bank wyznacza w ramach </w:t>
      </w:r>
      <w:r w:rsidR="007A0F52" w:rsidRPr="00650149">
        <w:rPr>
          <w:lang w:val="pl-PL"/>
        </w:rPr>
        <w:t>F</w:t>
      </w:r>
      <w:r w:rsidRPr="00650149">
        <w:t>ilaru I wymóg kapitałowy z tytułu koncentracji znacznych zaangażowań w wysokości równej iloczynowi kwoty przekroczenia limitu i wagi ryzyka równej 1 250 %.</w:t>
      </w:r>
    </w:p>
    <w:p w14:paraId="3E010880" w14:textId="77777777" w:rsidR="00112E80" w:rsidRPr="00650149" w:rsidRDefault="00112E80" w:rsidP="00174CA0">
      <w:pPr>
        <w:pStyle w:val="Tekstkomentarza"/>
        <w:tabs>
          <w:tab w:val="num" w:pos="426"/>
        </w:tabs>
        <w:spacing w:before="0" w:after="0" w:line="264" w:lineRule="auto"/>
        <w:rPr>
          <w:bCs/>
          <w:szCs w:val="24"/>
        </w:rPr>
      </w:pPr>
      <w:r w:rsidRPr="00650149">
        <w:rPr>
          <w:bCs/>
          <w:szCs w:val="24"/>
        </w:rPr>
        <w:t xml:space="preserve">Uznaje się, że kapitał alokowany na to ryzyko </w:t>
      </w:r>
      <w:r w:rsidR="007A0F52" w:rsidRPr="00650149">
        <w:rPr>
          <w:bCs/>
          <w:szCs w:val="24"/>
        </w:rPr>
        <w:t>w ramach F</w:t>
      </w:r>
      <w:r w:rsidRPr="00650149">
        <w:rPr>
          <w:bCs/>
          <w:szCs w:val="24"/>
        </w:rPr>
        <w:t xml:space="preserve">ilaru I jest wystarczający, w związku z powyższym Bank w ramach </w:t>
      </w:r>
      <w:r w:rsidR="007A0F52" w:rsidRPr="00650149">
        <w:rPr>
          <w:bCs/>
          <w:szCs w:val="24"/>
          <w:lang w:val="pl-PL"/>
        </w:rPr>
        <w:t>F</w:t>
      </w:r>
      <w:r w:rsidRPr="00650149">
        <w:rPr>
          <w:bCs/>
          <w:szCs w:val="24"/>
        </w:rPr>
        <w:t>ilaru II nie bada jego istotności i nie alokuje kapitału wewnętrznego.</w:t>
      </w:r>
    </w:p>
    <w:p w14:paraId="48AFFEBA" w14:textId="77777777" w:rsidR="00112E80" w:rsidRPr="000E3272" w:rsidRDefault="00112E80" w:rsidP="00174CA0">
      <w:pPr>
        <w:pStyle w:val="Tekstkomentarza"/>
        <w:tabs>
          <w:tab w:val="num" w:pos="426"/>
        </w:tabs>
        <w:spacing w:before="0" w:after="0" w:line="264" w:lineRule="auto"/>
        <w:rPr>
          <w:bCs/>
          <w:color w:val="FF0000"/>
          <w:szCs w:val="24"/>
        </w:rPr>
      </w:pPr>
    </w:p>
    <w:p w14:paraId="22CBF273" w14:textId="77777777" w:rsidR="00112E80" w:rsidRPr="005905E2" w:rsidRDefault="00112E80" w:rsidP="007B36B8">
      <w:pPr>
        <w:pStyle w:val="Nagwek1"/>
        <w:numPr>
          <w:ilvl w:val="2"/>
          <w:numId w:val="28"/>
        </w:numPr>
        <w:ind w:left="567" w:hanging="567"/>
        <w:rPr>
          <w:rFonts w:ascii="Times New Roman" w:hAnsi="Times New Roman" w:cs="Times New Roman"/>
          <w:b/>
          <w:color w:val="auto"/>
          <w:sz w:val="24"/>
          <w:szCs w:val="24"/>
        </w:rPr>
      </w:pPr>
      <w:bookmarkStart w:id="41" w:name="_Toc44930284"/>
      <w:r w:rsidRPr="005905E2">
        <w:rPr>
          <w:rFonts w:ascii="Times New Roman" w:hAnsi="Times New Roman" w:cs="Times New Roman"/>
          <w:b/>
          <w:color w:val="auto"/>
          <w:sz w:val="24"/>
          <w:szCs w:val="24"/>
        </w:rPr>
        <w:t>KAPITAŁ WEWNĘTRZNY NA RYZYKO STOPY PROCENTOWEJ W KSIĘDZE BANKOWEJ</w:t>
      </w:r>
      <w:bookmarkEnd w:id="41"/>
      <w:r w:rsidRPr="005905E2">
        <w:rPr>
          <w:rFonts w:ascii="Times New Roman" w:hAnsi="Times New Roman" w:cs="Times New Roman"/>
          <w:b/>
          <w:color w:val="auto"/>
          <w:sz w:val="24"/>
          <w:szCs w:val="24"/>
        </w:rPr>
        <w:t xml:space="preserve">  </w:t>
      </w:r>
    </w:p>
    <w:p w14:paraId="0520E732" w14:textId="77777777" w:rsidR="00A62551" w:rsidRPr="005905E2" w:rsidRDefault="00A62551" w:rsidP="00174CA0">
      <w:pPr>
        <w:spacing w:after="0" w:line="264" w:lineRule="auto"/>
        <w:rPr>
          <w:rFonts w:ascii="Times New Roman" w:hAnsi="Times New Roman" w:cs="Times New Roman"/>
          <w:b/>
          <w:sz w:val="24"/>
          <w:szCs w:val="24"/>
        </w:rPr>
      </w:pPr>
    </w:p>
    <w:p w14:paraId="5A520C3B" w14:textId="77777777" w:rsidR="00E573A3" w:rsidRPr="005905E2" w:rsidRDefault="00E573A3" w:rsidP="00A62551">
      <w:pPr>
        <w:pStyle w:val="Tekstkomentarza"/>
        <w:spacing w:before="0" w:after="0" w:line="264" w:lineRule="auto"/>
        <w:ind w:firstLine="708"/>
      </w:pPr>
      <w:r w:rsidRPr="005905E2">
        <w:t xml:space="preserve">Ze względu na nieznaczącą skalę działalności handlowej Banku, w rozumieniu Rozporządzenia, ryzyko stopy procentowej Bank wyznacza dla portfela handlowego </w:t>
      </w:r>
      <w:r w:rsidR="00A254E8" w:rsidRPr="005905E2">
        <w:rPr>
          <w:lang w:val="pl-PL"/>
        </w:rPr>
        <w:t xml:space="preserve">                         </w:t>
      </w:r>
      <w:r w:rsidRPr="005905E2">
        <w:t xml:space="preserve">i bankowego łącznie, według metodologii obowiązującej dla portfela bankowego. </w:t>
      </w:r>
    </w:p>
    <w:p w14:paraId="18AC0D93" w14:textId="77777777" w:rsidR="00E573A3" w:rsidRPr="005905E2" w:rsidRDefault="00E573A3" w:rsidP="00174CA0">
      <w:pPr>
        <w:pStyle w:val="Tekstkomentarza"/>
        <w:spacing w:before="0" w:after="0" w:line="264" w:lineRule="auto"/>
      </w:pPr>
      <w:r w:rsidRPr="005905E2">
        <w:t xml:space="preserve">Ryzyko stopy procentowej wiąże się przede wszystkim ze zmianą głównych stóp procentowych. Mając na uwadze, że przychody odsetkowe stanowią jeden z głównych elementów zysków Banku, niekorzystna, w stosunku do prognozowanych zmian stóp procentowych, struktura aktywów i pasywów może mieć potencjalnie znaczący wpływ </w:t>
      </w:r>
      <w:r w:rsidR="00A254E8" w:rsidRPr="005905E2">
        <w:rPr>
          <w:lang w:val="pl-PL"/>
        </w:rPr>
        <w:t xml:space="preserve">                      </w:t>
      </w:r>
      <w:r w:rsidRPr="005905E2">
        <w:t xml:space="preserve">na zmniejszenie zysków i/lub funduszy własnych Banku.  </w:t>
      </w:r>
    </w:p>
    <w:p w14:paraId="1B918796" w14:textId="77777777" w:rsidR="008F322A" w:rsidRPr="005905E2" w:rsidRDefault="008F322A" w:rsidP="008F322A">
      <w:pPr>
        <w:spacing w:after="0" w:line="264" w:lineRule="auto"/>
        <w:jc w:val="both"/>
        <w:rPr>
          <w:rFonts w:ascii="Times New Roman" w:eastAsia="Times New Roman" w:hAnsi="Times New Roman" w:cs="Times New Roman"/>
          <w:snapToGrid w:val="0"/>
          <w:sz w:val="24"/>
          <w:szCs w:val="20"/>
          <w:lang w:val="x-none" w:eastAsia="x-none"/>
        </w:rPr>
      </w:pPr>
      <w:r w:rsidRPr="005905E2">
        <w:rPr>
          <w:rFonts w:ascii="Times New Roman" w:eastAsia="Times New Roman" w:hAnsi="Times New Roman" w:cs="Times New Roman"/>
          <w:snapToGrid w:val="0"/>
          <w:sz w:val="24"/>
          <w:szCs w:val="20"/>
          <w:lang w:val="x-none" w:eastAsia="x-none"/>
        </w:rPr>
        <w:t>Bank monitoruje ryzyko stopy procentowej i w zależności od otrzymanych wyników wyznacza wewnętrzny wymóg kapitałowy na pokrycie ryzyka stopy procentowej, z tytułu:</w:t>
      </w:r>
    </w:p>
    <w:p w14:paraId="390B4E66" w14:textId="77777777" w:rsidR="008F322A" w:rsidRPr="005905E2" w:rsidRDefault="008F322A" w:rsidP="008F322A">
      <w:pPr>
        <w:spacing w:after="0" w:line="264" w:lineRule="auto"/>
        <w:jc w:val="both"/>
        <w:rPr>
          <w:rFonts w:ascii="Times New Roman" w:eastAsia="Times New Roman" w:hAnsi="Times New Roman" w:cs="Times New Roman"/>
          <w:snapToGrid w:val="0"/>
          <w:sz w:val="24"/>
          <w:szCs w:val="20"/>
          <w:lang w:eastAsia="x-none"/>
        </w:rPr>
      </w:pPr>
      <w:r w:rsidRPr="005905E2">
        <w:rPr>
          <w:rFonts w:ascii="Times New Roman" w:eastAsia="Times New Roman" w:hAnsi="Times New Roman" w:cs="Times New Roman"/>
          <w:snapToGrid w:val="0"/>
          <w:sz w:val="24"/>
          <w:szCs w:val="20"/>
          <w:lang w:val="x-none" w:eastAsia="x-none"/>
        </w:rPr>
        <w:t>1)</w:t>
      </w:r>
      <w:r w:rsidRPr="005905E2">
        <w:rPr>
          <w:rFonts w:ascii="Times New Roman" w:eastAsia="Times New Roman" w:hAnsi="Times New Roman" w:cs="Times New Roman"/>
          <w:snapToGrid w:val="0"/>
          <w:sz w:val="24"/>
          <w:szCs w:val="20"/>
          <w:lang w:val="x-none" w:eastAsia="x-none"/>
        </w:rPr>
        <w:tab/>
        <w:t xml:space="preserve">ryzyka </w:t>
      </w:r>
      <w:r w:rsidR="005905E2">
        <w:rPr>
          <w:rFonts w:ascii="Times New Roman" w:eastAsia="Times New Roman" w:hAnsi="Times New Roman" w:cs="Times New Roman"/>
          <w:snapToGrid w:val="0"/>
          <w:sz w:val="24"/>
          <w:szCs w:val="20"/>
          <w:lang w:eastAsia="x-none"/>
        </w:rPr>
        <w:t>niedopasowania</w:t>
      </w:r>
    </w:p>
    <w:p w14:paraId="01CB6EC8" w14:textId="77777777" w:rsidR="000D40D6" w:rsidRPr="005905E2" w:rsidRDefault="000D40D6" w:rsidP="000D40D6">
      <w:pPr>
        <w:spacing w:after="0" w:line="264" w:lineRule="auto"/>
        <w:jc w:val="both"/>
        <w:rPr>
          <w:rFonts w:ascii="Times New Roman" w:eastAsia="Times New Roman" w:hAnsi="Times New Roman" w:cs="Times New Roman"/>
          <w:snapToGrid w:val="0"/>
          <w:sz w:val="24"/>
          <w:szCs w:val="20"/>
          <w:lang w:val="x-none" w:eastAsia="x-none"/>
        </w:rPr>
      </w:pPr>
      <w:r w:rsidRPr="005905E2">
        <w:rPr>
          <w:rFonts w:ascii="Times New Roman" w:eastAsia="Times New Roman" w:hAnsi="Times New Roman" w:cs="Times New Roman"/>
          <w:snapToGrid w:val="0"/>
          <w:sz w:val="24"/>
          <w:szCs w:val="20"/>
          <w:lang w:eastAsia="x-none"/>
        </w:rPr>
        <w:t>D</w:t>
      </w:r>
      <w:r w:rsidRPr="005905E2">
        <w:rPr>
          <w:rFonts w:ascii="Times New Roman" w:eastAsia="Times New Roman" w:hAnsi="Times New Roman" w:cs="Times New Roman"/>
          <w:snapToGrid w:val="0"/>
          <w:sz w:val="24"/>
          <w:szCs w:val="20"/>
          <w:lang w:val="x-none" w:eastAsia="x-none"/>
        </w:rPr>
        <w:t xml:space="preserve">o pomiaru ryzyka niedopasowania Bank stosuje analizę luki terminów przeszacowania, na bazie której badany jest potencjalny wpływ zmiany stóp procentowych na wynik odsetkowy w ciągu 12 miesięcy. Obliczenia przeprowadzane są według zasad opisanych w obowiązującej </w:t>
      </w:r>
      <w:r w:rsidRPr="005905E2">
        <w:rPr>
          <w:rFonts w:ascii="Times New Roman" w:eastAsia="Times New Roman" w:hAnsi="Times New Roman" w:cs="Times New Roman"/>
          <w:snapToGrid w:val="0"/>
          <w:sz w:val="24"/>
          <w:szCs w:val="20"/>
          <w:lang w:val="x-none" w:eastAsia="x-none"/>
        </w:rPr>
        <w:lastRenderedPageBreak/>
        <w:t>Instrukcji pomiaru, limitowania, raportowania i kontroli ryzyka stopy procentowej w Warmińsko-Mazurskim Banku Spółdzielczym. Zgodnie z rekomendacją KNF zakładana jest skala szokowej zmiany stóp procentowych o 200 p.b. Symulacja ta przeprowadzana jest dla pozycji przeszacowujących się do 12 miesięcy. Dopuszczalny limit zmiany wyniku odsetkowego wynosi 15% sumy funduszy własnych banku.</w:t>
      </w:r>
    </w:p>
    <w:p w14:paraId="7465AC52" w14:textId="77777777" w:rsidR="000D40D6" w:rsidRPr="005905E2" w:rsidRDefault="000D40D6" w:rsidP="000D40D6">
      <w:pPr>
        <w:spacing w:after="0" w:line="264" w:lineRule="auto"/>
        <w:jc w:val="both"/>
        <w:rPr>
          <w:rFonts w:ascii="Times New Roman" w:eastAsia="Times New Roman" w:hAnsi="Times New Roman" w:cs="Times New Roman"/>
          <w:snapToGrid w:val="0"/>
          <w:sz w:val="24"/>
          <w:szCs w:val="20"/>
          <w:lang w:val="x-none" w:eastAsia="x-none"/>
        </w:rPr>
      </w:pPr>
      <w:r w:rsidRPr="005905E2">
        <w:rPr>
          <w:rFonts w:ascii="Times New Roman" w:eastAsia="Times New Roman" w:hAnsi="Times New Roman" w:cs="Times New Roman"/>
          <w:snapToGrid w:val="0"/>
          <w:sz w:val="24"/>
          <w:szCs w:val="20"/>
          <w:lang w:val="x-none" w:eastAsia="x-none"/>
        </w:rPr>
        <w:t xml:space="preserve">Na dzień 31.12.2020 r. nie przekroczono limitów wyznaczonych przez Bank w związku z tym nie utworzono dodatkowego wewnętrznego wymogu kapitałowego z tytułu ryzyka </w:t>
      </w:r>
      <w:r w:rsidR="0002351A">
        <w:rPr>
          <w:rFonts w:ascii="Times New Roman" w:eastAsia="Times New Roman" w:hAnsi="Times New Roman" w:cs="Times New Roman"/>
          <w:snapToGrid w:val="0"/>
          <w:sz w:val="24"/>
          <w:szCs w:val="20"/>
          <w:lang w:eastAsia="x-none"/>
        </w:rPr>
        <w:t>niedopaso</w:t>
      </w:r>
      <w:r w:rsidRPr="005905E2">
        <w:rPr>
          <w:rFonts w:ascii="Times New Roman" w:eastAsia="Times New Roman" w:hAnsi="Times New Roman" w:cs="Times New Roman"/>
          <w:snapToGrid w:val="0"/>
          <w:sz w:val="24"/>
          <w:szCs w:val="20"/>
          <w:lang w:val="x-none" w:eastAsia="x-none"/>
        </w:rPr>
        <w:t xml:space="preserve">wania. </w:t>
      </w:r>
    </w:p>
    <w:p w14:paraId="7B90B26F" w14:textId="77777777" w:rsidR="008F322A" w:rsidRPr="005905E2" w:rsidRDefault="008F322A" w:rsidP="008F322A">
      <w:pPr>
        <w:spacing w:after="0" w:line="264" w:lineRule="auto"/>
        <w:jc w:val="both"/>
        <w:rPr>
          <w:rFonts w:ascii="Times New Roman" w:eastAsia="Times New Roman" w:hAnsi="Times New Roman" w:cs="Times New Roman"/>
          <w:snapToGrid w:val="0"/>
          <w:sz w:val="24"/>
          <w:szCs w:val="20"/>
          <w:highlight w:val="yellow"/>
          <w:lang w:val="x-none" w:eastAsia="x-none"/>
        </w:rPr>
      </w:pPr>
    </w:p>
    <w:p w14:paraId="791A4BC6" w14:textId="77777777" w:rsidR="008F322A" w:rsidRPr="005905E2" w:rsidRDefault="008F322A" w:rsidP="008F322A">
      <w:pPr>
        <w:spacing w:after="0" w:line="264" w:lineRule="auto"/>
        <w:jc w:val="both"/>
        <w:rPr>
          <w:rFonts w:ascii="Times New Roman" w:eastAsia="Times New Roman" w:hAnsi="Times New Roman" w:cs="Times New Roman"/>
          <w:snapToGrid w:val="0"/>
          <w:sz w:val="24"/>
          <w:szCs w:val="20"/>
          <w:lang w:val="x-none" w:eastAsia="x-none"/>
        </w:rPr>
      </w:pPr>
      <w:r w:rsidRPr="005905E2">
        <w:rPr>
          <w:rFonts w:ascii="Times New Roman" w:eastAsia="Times New Roman" w:hAnsi="Times New Roman" w:cs="Times New Roman"/>
          <w:snapToGrid w:val="0"/>
          <w:sz w:val="24"/>
          <w:szCs w:val="20"/>
          <w:lang w:val="x-none" w:eastAsia="x-none"/>
        </w:rPr>
        <w:t>2)</w:t>
      </w:r>
      <w:r w:rsidRPr="005905E2">
        <w:rPr>
          <w:rFonts w:ascii="Times New Roman" w:eastAsia="Times New Roman" w:hAnsi="Times New Roman" w:cs="Times New Roman"/>
          <w:snapToGrid w:val="0"/>
          <w:sz w:val="24"/>
          <w:szCs w:val="20"/>
          <w:lang w:val="x-none" w:eastAsia="x-none"/>
        </w:rPr>
        <w:tab/>
        <w:t>ryzyka bazowego</w:t>
      </w:r>
    </w:p>
    <w:p w14:paraId="00D9EA16" w14:textId="77777777" w:rsidR="005905E2" w:rsidRPr="005905E2" w:rsidRDefault="005905E2" w:rsidP="005905E2">
      <w:pPr>
        <w:spacing w:after="0" w:line="264" w:lineRule="auto"/>
        <w:jc w:val="both"/>
        <w:rPr>
          <w:rFonts w:ascii="Times New Roman" w:eastAsia="Times New Roman" w:hAnsi="Times New Roman" w:cs="Times New Roman"/>
          <w:snapToGrid w:val="0"/>
          <w:sz w:val="24"/>
          <w:szCs w:val="20"/>
          <w:lang w:val="x-none" w:eastAsia="x-none"/>
        </w:rPr>
      </w:pPr>
      <w:r w:rsidRPr="005905E2">
        <w:rPr>
          <w:rFonts w:ascii="Times New Roman" w:eastAsia="Times New Roman" w:hAnsi="Times New Roman" w:cs="Times New Roman"/>
          <w:snapToGrid w:val="0"/>
          <w:sz w:val="24"/>
          <w:szCs w:val="20"/>
          <w:lang w:val="x-none" w:eastAsia="x-none"/>
        </w:rPr>
        <w:t xml:space="preserve">Bank dokonuje analizy ryzyka bazowego poprzez zestawienie skumulowanych luk niedopasowania według poszczególnych stawek bazowych. Zakłada się szokowe niedopasowanie zmiany stawek bazowych o 35 punktów bazowych. Zmiana wyniku odsetkowego wyznaczana jest dla każdej stawki bazowej o 35 punktów bazowych. Łączna wielkość zmiany wyniku odsetkowego z tytułu ryzyka bazowego stanowi sumę zmian wyniku odsetkowego dla każdej stawki bazowej. </w:t>
      </w:r>
    </w:p>
    <w:p w14:paraId="42F60AE9" w14:textId="77777777" w:rsidR="005905E2" w:rsidRPr="005905E2" w:rsidRDefault="005905E2" w:rsidP="005905E2">
      <w:pPr>
        <w:spacing w:after="0" w:line="264" w:lineRule="auto"/>
        <w:jc w:val="both"/>
        <w:rPr>
          <w:rFonts w:ascii="Times New Roman" w:eastAsia="Times New Roman" w:hAnsi="Times New Roman" w:cs="Times New Roman"/>
          <w:snapToGrid w:val="0"/>
          <w:sz w:val="24"/>
          <w:szCs w:val="20"/>
          <w:lang w:val="x-none" w:eastAsia="x-none"/>
        </w:rPr>
      </w:pPr>
      <w:r w:rsidRPr="005905E2">
        <w:rPr>
          <w:rFonts w:ascii="Times New Roman" w:eastAsia="Times New Roman" w:hAnsi="Times New Roman" w:cs="Times New Roman"/>
          <w:snapToGrid w:val="0"/>
          <w:sz w:val="24"/>
          <w:szCs w:val="20"/>
          <w:lang w:val="x-none" w:eastAsia="x-none"/>
        </w:rPr>
        <w:t>W przypadku gdy zmiana oprocentowania o 35 punktów bazowych powoduje spadek wyniku odsetkowego o ponad 1% funduszy własnych, Bank wyznacza wewnętrzny wymóg kapitałowy na pokrycie ryzyka bazowego.</w:t>
      </w:r>
    </w:p>
    <w:p w14:paraId="740D59F8" w14:textId="77777777" w:rsidR="005905E2" w:rsidRPr="0055365F" w:rsidRDefault="005905E2" w:rsidP="005905E2">
      <w:pPr>
        <w:spacing w:after="0" w:line="264" w:lineRule="auto"/>
        <w:jc w:val="both"/>
        <w:rPr>
          <w:rFonts w:ascii="Times New Roman" w:eastAsia="Times New Roman" w:hAnsi="Times New Roman" w:cs="Times New Roman"/>
          <w:snapToGrid w:val="0"/>
          <w:sz w:val="24"/>
          <w:szCs w:val="20"/>
          <w:lang w:val="x-none" w:eastAsia="x-none"/>
        </w:rPr>
      </w:pPr>
      <w:r w:rsidRPr="005905E2">
        <w:rPr>
          <w:rFonts w:ascii="Times New Roman" w:eastAsia="Times New Roman" w:hAnsi="Times New Roman" w:cs="Times New Roman"/>
          <w:snapToGrid w:val="0"/>
          <w:sz w:val="24"/>
          <w:szCs w:val="20"/>
          <w:lang w:val="x-none" w:eastAsia="x-none"/>
        </w:rPr>
        <w:t xml:space="preserve">Na dzień analizy zmiana wyniku odsetkowego w sumie dla każdej stawki bazowej przekroczyła 1% funduszy własnych Banku, zatem Bank wyznaczył dodatkowy wymóg kapitałowy z tytułu ryzyka bazowego, stanowiący nadwyżkę wyliczonych skutków zmian wartości ekonomicznej </w:t>
      </w:r>
      <w:r w:rsidRPr="0055365F">
        <w:rPr>
          <w:rFonts w:ascii="Times New Roman" w:eastAsia="Times New Roman" w:hAnsi="Times New Roman" w:cs="Times New Roman"/>
          <w:snapToGrid w:val="0"/>
          <w:sz w:val="24"/>
          <w:szCs w:val="20"/>
          <w:lang w:val="x-none" w:eastAsia="x-none"/>
        </w:rPr>
        <w:t>kapitałów powyżej 1% funduszy własnych Banku w wysokości 843 tys. zł.</w:t>
      </w:r>
    </w:p>
    <w:p w14:paraId="3F4175C8" w14:textId="77777777" w:rsidR="008F322A" w:rsidRPr="0055365F" w:rsidRDefault="008F322A" w:rsidP="008F322A">
      <w:pPr>
        <w:spacing w:after="0" w:line="264" w:lineRule="auto"/>
        <w:jc w:val="both"/>
        <w:rPr>
          <w:rFonts w:ascii="Times New Roman" w:eastAsia="Times New Roman" w:hAnsi="Times New Roman" w:cs="Times New Roman"/>
          <w:snapToGrid w:val="0"/>
          <w:sz w:val="24"/>
          <w:szCs w:val="20"/>
          <w:lang w:val="x-none" w:eastAsia="x-none"/>
        </w:rPr>
      </w:pPr>
      <w:r w:rsidRPr="0055365F">
        <w:rPr>
          <w:rFonts w:ascii="Times New Roman" w:eastAsia="Times New Roman" w:hAnsi="Times New Roman" w:cs="Times New Roman"/>
          <w:snapToGrid w:val="0"/>
          <w:sz w:val="24"/>
          <w:szCs w:val="20"/>
          <w:lang w:val="x-none" w:eastAsia="x-none"/>
        </w:rPr>
        <w:t>3)</w:t>
      </w:r>
      <w:r w:rsidRPr="0055365F">
        <w:rPr>
          <w:rFonts w:ascii="Times New Roman" w:eastAsia="Times New Roman" w:hAnsi="Times New Roman" w:cs="Times New Roman"/>
          <w:snapToGrid w:val="0"/>
          <w:sz w:val="24"/>
          <w:szCs w:val="20"/>
          <w:lang w:val="x-none" w:eastAsia="x-none"/>
        </w:rPr>
        <w:tab/>
        <w:t>ryzyko opcji klienta</w:t>
      </w:r>
    </w:p>
    <w:p w14:paraId="4D5048B5" w14:textId="77777777" w:rsidR="008F322A" w:rsidRPr="0055365F" w:rsidRDefault="008F322A" w:rsidP="008F322A">
      <w:pPr>
        <w:spacing w:after="0" w:line="264" w:lineRule="auto"/>
        <w:jc w:val="both"/>
        <w:rPr>
          <w:rFonts w:ascii="Times New Roman" w:eastAsia="Times New Roman" w:hAnsi="Times New Roman" w:cs="Times New Roman"/>
          <w:snapToGrid w:val="0"/>
          <w:sz w:val="24"/>
          <w:szCs w:val="20"/>
          <w:lang w:val="x-none" w:eastAsia="x-none"/>
        </w:rPr>
      </w:pPr>
      <w:r w:rsidRPr="0055365F">
        <w:rPr>
          <w:rFonts w:ascii="Times New Roman" w:eastAsia="Times New Roman" w:hAnsi="Times New Roman" w:cs="Times New Roman"/>
          <w:snapToGrid w:val="0"/>
          <w:sz w:val="24"/>
          <w:szCs w:val="20"/>
          <w:lang w:val="x-none" w:eastAsia="x-none"/>
        </w:rPr>
        <w:t>Bank dokonuje analizy poziomu wykorzystywania opcji klienta zgodnie z obowiązującą Instrukcją pomiaru, limitowania raportowania i ryzyka stopy procentowej.</w:t>
      </w:r>
    </w:p>
    <w:p w14:paraId="1C02136F" w14:textId="77777777" w:rsidR="008F322A" w:rsidRPr="0055365F" w:rsidRDefault="008F322A" w:rsidP="008F322A">
      <w:pPr>
        <w:spacing w:after="0" w:line="264" w:lineRule="auto"/>
        <w:jc w:val="both"/>
        <w:rPr>
          <w:rFonts w:ascii="Times New Roman" w:eastAsia="Times New Roman" w:hAnsi="Times New Roman" w:cs="Times New Roman"/>
          <w:snapToGrid w:val="0"/>
          <w:sz w:val="24"/>
          <w:szCs w:val="20"/>
          <w:lang w:val="x-none" w:eastAsia="x-none"/>
        </w:rPr>
      </w:pPr>
      <w:r w:rsidRPr="0055365F">
        <w:rPr>
          <w:rFonts w:ascii="Times New Roman" w:eastAsia="Times New Roman" w:hAnsi="Times New Roman" w:cs="Times New Roman"/>
          <w:snapToGrid w:val="0"/>
          <w:sz w:val="24"/>
          <w:szCs w:val="20"/>
          <w:lang w:val="x-none" w:eastAsia="x-none"/>
        </w:rPr>
        <w:t>Analiza ryzyka opcji klienta obejmuje ocenę zrywalności depozytów z opcją oraz stopnia spłacania  kredytów przed terminem</w:t>
      </w:r>
      <w:r w:rsidR="005905E2" w:rsidRPr="0055365F">
        <w:rPr>
          <w:rFonts w:ascii="Times New Roman" w:eastAsia="Times New Roman" w:hAnsi="Times New Roman" w:cs="Times New Roman"/>
          <w:snapToGrid w:val="0"/>
          <w:sz w:val="24"/>
          <w:szCs w:val="20"/>
          <w:lang w:eastAsia="x-none"/>
        </w:rPr>
        <w:t xml:space="preserve"> w okresie 3 miesięcy</w:t>
      </w:r>
      <w:r w:rsidRPr="0055365F">
        <w:rPr>
          <w:rFonts w:ascii="Times New Roman" w:eastAsia="Times New Roman" w:hAnsi="Times New Roman" w:cs="Times New Roman"/>
          <w:snapToGrid w:val="0"/>
          <w:sz w:val="24"/>
          <w:szCs w:val="20"/>
          <w:lang w:val="x-none" w:eastAsia="x-none"/>
        </w:rPr>
        <w:t>.</w:t>
      </w:r>
    </w:p>
    <w:p w14:paraId="16B04E56" w14:textId="77777777" w:rsidR="008F322A" w:rsidRPr="0055365F" w:rsidRDefault="008F322A" w:rsidP="008F322A">
      <w:pPr>
        <w:spacing w:after="0" w:line="264" w:lineRule="auto"/>
        <w:jc w:val="both"/>
        <w:rPr>
          <w:rFonts w:ascii="Times New Roman" w:eastAsia="Times New Roman" w:hAnsi="Times New Roman" w:cs="Times New Roman"/>
          <w:snapToGrid w:val="0"/>
          <w:sz w:val="24"/>
          <w:szCs w:val="20"/>
          <w:lang w:val="x-none" w:eastAsia="x-none"/>
        </w:rPr>
      </w:pPr>
      <w:r w:rsidRPr="0055365F">
        <w:rPr>
          <w:rFonts w:ascii="Times New Roman" w:eastAsia="Times New Roman" w:hAnsi="Times New Roman" w:cs="Times New Roman"/>
          <w:snapToGrid w:val="0"/>
          <w:sz w:val="24"/>
          <w:szCs w:val="20"/>
          <w:lang w:val="x-none" w:eastAsia="x-none"/>
        </w:rPr>
        <w:t>Jako znaczący poziom wykorzystania opcji klienta uznaje się sytuację, gdy:</w:t>
      </w:r>
    </w:p>
    <w:p w14:paraId="04B9F7E3" w14:textId="77777777" w:rsidR="008F322A" w:rsidRPr="0055365F" w:rsidRDefault="008F322A" w:rsidP="00993749">
      <w:pPr>
        <w:pStyle w:val="Akapitzlist"/>
        <w:numPr>
          <w:ilvl w:val="0"/>
          <w:numId w:val="19"/>
        </w:numPr>
        <w:spacing w:after="0" w:line="264" w:lineRule="auto"/>
        <w:jc w:val="both"/>
        <w:rPr>
          <w:rFonts w:ascii="Times New Roman" w:eastAsia="Times New Roman" w:hAnsi="Times New Roman" w:cs="Times New Roman"/>
          <w:snapToGrid w:val="0"/>
          <w:sz w:val="24"/>
          <w:szCs w:val="20"/>
          <w:lang w:val="x-none" w:eastAsia="x-none"/>
        </w:rPr>
      </w:pPr>
      <w:r w:rsidRPr="0055365F">
        <w:rPr>
          <w:rFonts w:ascii="Times New Roman" w:eastAsia="Times New Roman" w:hAnsi="Times New Roman" w:cs="Times New Roman"/>
          <w:snapToGrid w:val="0"/>
          <w:sz w:val="24"/>
          <w:szCs w:val="20"/>
          <w:lang w:val="x-none" w:eastAsia="x-none"/>
        </w:rPr>
        <w:t xml:space="preserve">zrywalność depozytów w miesiącu przekroczy poziom 2% kwoty depozytów </w:t>
      </w:r>
      <w:r w:rsidR="00637723" w:rsidRPr="0055365F">
        <w:rPr>
          <w:rFonts w:ascii="Times New Roman" w:eastAsia="Times New Roman" w:hAnsi="Times New Roman" w:cs="Times New Roman"/>
          <w:snapToGrid w:val="0"/>
          <w:sz w:val="24"/>
          <w:szCs w:val="20"/>
          <w:lang w:eastAsia="x-none"/>
        </w:rPr>
        <w:t>terminowych</w:t>
      </w:r>
      <w:r w:rsidRPr="0055365F">
        <w:rPr>
          <w:rFonts w:ascii="Times New Roman" w:eastAsia="Times New Roman" w:hAnsi="Times New Roman" w:cs="Times New Roman"/>
          <w:snapToGrid w:val="0"/>
          <w:sz w:val="24"/>
          <w:szCs w:val="20"/>
          <w:lang w:val="x-none" w:eastAsia="x-none"/>
        </w:rPr>
        <w:t>, lub</w:t>
      </w:r>
    </w:p>
    <w:p w14:paraId="6D676D3E" w14:textId="77777777" w:rsidR="008F322A" w:rsidRPr="0055365F" w:rsidRDefault="008F322A" w:rsidP="00993749">
      <w:pPr>
        <w:pStyle w:val="Akapitzlist"/>
        <w:numPr>
          <w:ilvl w:val="0"/>
          <w:numId w:val="19"/>
        </w:numPr>
        <w:spacing w:after="0" w:line="264" w:lineRule="auto"/>
        <w:jc w:val="both"/>
        <w:rPr>
          <w:rFonts w:ascii="Times New Roman" w:eastAsia="Times New Roman" w:hAnsi="Times New Roman" w:cs="Times New Roman"/>
          <w:snapToGrid w:val="0"/>
          <w:sz w:val="24"/>
          <w:szCs w:val="20"/>
          <w:lang w:val="x-none" w:eastAsia="x-none"/>
        </w:rPr>
      </w:pPr>
      <w:r w:rsidRPr="0055365F">
        <w:rPr>
          <w:rFonts w:ascii="Times New Roman" w:eastAsia="Times New Roman" w:hAnsi="Times New Roman" w:cs="Times New Roman"/>
          <w:snapToGrid w:val="0"/>
          <w:sz w:val="24"/>
          <w:szCs w:val="20"/>
          <w:lang w:val="x-none" w:eastAsia="x-none"/>
        </w:rPr>
        <w:t>łączna kwota kredytów spłacanych przed terminem w miesiąc  przekroczy poziom 2% kwoty kredytów</w:t>
      </w:r>
      <w:r w:rsidR="00637723" w:rsidRPr="0055365F">
        <w:rPr>
          <w:rFonts w:ascii="Times New Roman" w:eastAsia="Times New Roman" w:hAnsi="Times New Roman" w:cs="Times New Roman"/>
          <w:snapToGrid w:val="0"/>
          <w:sz w:val="24"/>
          <w:szCs w:val="20"/>
          <w:lang w:eastAsia="x-none"/>
        </w:rPr>
        <w:t xml:space="preserve"> terminowych</w:t>
      </w:r>
      <w:r w:rsidRPr="0055365F">
        <w:rPr>
          <w:rFonts w:ascii="Times New Roman" w:eastAsia="Times New Roman" w:hAnsi="Times New Roman" w:cs="Times New Roman"/>
          <w:snapToGrid w:val="0"/>
          <w:sz w:val="24"/>
          <w:szCs w:val="20"/>
          <w:lang w:val="x-none" w:eastAsia="x-none"/>
        </w:rPr>
        <w:t>.</w:t>
      </w:r>
    </w:p>
    <w:p w14:paraId="33D6E30D" w14:textId="77777777" w:rsidR="008F322A" w:rsidRPr="00725CED" w:rsidRDefault="008F322A" w:rsidP="008F322A">
      <w:pPr>
        <w:spacing w:after="0" w:line="264" w:lineRule="auto"/>
        <w:jc w:val="both"/>
        <w:rPr>
          <w:rFonts w:ascii="Times New Roman" w:eastAsia="Times New Roman" w:hAnsi="Times New Roman" w:cs="Times New Roman"/>
          <w:snapToGrid w:val="0"/>
          <w:sz w:val="24"/>
          <w:szCs w:val="20"/>
          <w:lang w:eastAsia="x-none"/>
        </w:rPr>
      </w:pPr>
      <w:r w:rsidRPr="0055365F">
        <w:rPr>
          <w:rFonts w:ascii="Times New Roman" w:eastAsia="Times New Roman" w:hAnsi="Times New Roman" w:cs="Times New Roman"/>
          <w:snapToGrid w:val="0"/>
          <w:sz w:val="24"/>
          <w:szCs w:val="20"/>
          <w:lang w:val="x-none" w:eastAsia="x-none"/>
        </w:rPr>
        <w:t>Wymóg kapitałowy z tytułu ryzyka opcji klienta wyznaczany jest w wysokości równowartości kwot stanowiących przekroczenie poziomu dopuszczalnego narażenia Banku na ryzyko opcji klienta,  z zastosowaniem wagi 8%.</w:t>
      </w:r>
      <w:r w:rsidR="005905E2" w:rsidRPr="0055365F">
        <w:rPr>
          <w:rFonts w:ascii="Times New Roman" w:eastAsia="Times New Roman" w:hAnsi="Times New Roman" w:cs="Times New Roman"/>
          <w:snapToGrid w:val="0"/>
          <w:sz w:val="24"/>
          <w:szCs w:val="20"/>
          <w:lang w:eastAsia="x-none"/>
        </w:rPr>
        <w:t xml:space="preserve"> W okresie 3 miesięcy Bank nie przekroczył limitów opcji klienta, w związku z powyższym nie wyznaczono wymogu kapitałowego z tytułu ryzyka opcji </w:t>
      </w:r>
      <w:r w:rsidR="005905E2" w:rsidRPr="00725CED">
        <w:rPr>
          <w:rFonts w:ascii="Times New Roman" w:eastAsia="Times New Roman" w:hAnsi="Times New Roman" w:cs="Times New Roman"/>
          <w:snapToGrid w:val="0"/>
          <w:sz w:val="24"/>
          <w:szCs w:val="20"/>
          <w:lang w:eastAsia="x-none"/>
        </w:rPr>
        <w:t>klienta.</w:t>
      </w:r>
    </w:p>
    <w:p w14:paraId="55D1498E" w14:textId="77777777" w:rsidR="006B4D7E" w:rsidRPr="00725CED" w:rsidRDefault="006B4D7E" w:rsidP="008F322A">
      <w:pPr>
        <w:spacing w:after="0" w:line="264" w:lineRule="auto"/>
        <w:jc w:val="both"/>
        <w:rPr>
          <w:rFonts w:ascii="Times New Roman" w:eastAsia="Times New Roman" w:hAnsi="Times New Roman" w:cs="Times New Roman"/>
          <w:snapToGrid w:val="0"/>
          <w:sz w:val="24"/>
          <w:szCs w:val="20"/>
          <w:lang w:val="x-none" w:eastAsia="x-none"/>
        </w:rPr>
      </w:pPr>
    </w:p>
    <w:p w14:paraId="58FFB2A3" w14:textId="77777777" w:rsidR="008F322A" w:rsidRPr="00725CED" w:rsidRDefault="008F322A" w:rsidP="008F322A">
      <w:pPr>
        <w:spacing w:after="0" w:line="264" w:lineRule="auto"/>
        <w:jc w:val="both"/>
        <w:rPr>
          <w:rFonts w:ascii="Times New Roman" w:eastAsia="Times New Roman" w:hAnsi="Times New Roman" w:cs="Times New Roman"/>
          <w:snapToGrid w:val="0"/>
          <w:sz w:val="24"/>
          <w:szCs w:val="20"/>
          <w:lang w:val="x-none" w:eastAsia="x-none"/>
        </w:rPr>
      </w:pPr>
      <w:r w:rsidRPr="00725CED">
        <w:rPr>
          <w:rFonts w:ascii="Times New Roman" w:eastAsia="Times New Roman" w:hAnsi="Times New Roman" w:cs="Times New Roman"/>
          <w:snapToGrid w:val="0"/>
          <w:sz w:val="24"/>
          <w:szCs w:val="20"/>
          <w:lang w:val="x-none" w:eastAsia="x-none"/>
        </w:rPr>
        <w:t xml:space="preserve">Łączny wewnętrzny wymóg kapitałowy na  ryzyko stopy procentowej stanowi sumę wewnętrznych wymogów kapitałowych wyliczonych dla ryzyka </w:t>
      </w:r>
      <w:r w:rsidR="00582167">
        <w:rPr>
          <w:rFonts w:ascii="Times New Roman" w:eastAsia="Times New Roman" w:hAnsi="Times New Roman" w:cs="Times New Roman"/>
          <w:snapToGrid w:val="0"/>
          <w:sz w:val="24"/>
          <w:szCs w:val="20"/>
          <w:lang w:eastAsia="x-none"/>
        </w:rPr>
        <w:t>niedopasowania</w:t>
      </w:r>
      <w:r w:rsidR="00582167">
        <w:rPr>
          <w:rFonts w:ascii="Times New Roman" w:eastAsia="Times New Roman" w:hAnsi="Times New Roman" w:cs="Times New Roman"/>
          <w:snapToGrid w:val="0"/>
          <w:sz w:val="24"/>
          <w:szCs w:val="20"/>
          <w:lang w:val="x-none" w:eastAsia="x-none"/>
        </w:rPr>
        <w:t xml:space="preserve">, ryzyka bazowego oraz ryzyka </w:t>
      </w:r>
      <w:r w:rsidRPr="00725CED">
        <w:rPr>
          <w:rFonts w:ascii="Times New Roman" w:eastAsia="Times New Roman" w:hAnsi="Times New Roman" w:cs="Times New Roman"/>
          <w:snapToGrid w:val="0"/>
          <w:sz w:val="24"/>
          <w:szCs w:val="20"/>
          <w:lang w:val="x-none" w:eastAsia="x-none"/>
        </w:rPr>
        <w:t xml:space="preserve">opcji klienta. </w:t>
      </w:r>
    </w:p>
    <w:p w14:paraId="64750030" w14:textId="77777777" w:rsidR="00BD7E6F" w:rsidRPr="00725CED" w:rsidRDefault="001B1509" w:rsidP="008F322A">
      <w:pPr>
        <w:spacing w:after="0" w:line="264" w:lineRule="auto"/>
        <w:jc w:val="both"/>
        <w:rPr>
          <w:rFonts w:ascii="Times New Roman" w:hAnsi="Times New Roman" w:cs="Times New Roman"/>
          <w:sz w:val="24"/>
          <w:szCs w:val="24"/>
        </w:rPr>
      </w:pPr>
      <w:r w:rsidRPr="00725CED">
        <w:rPr>
          <w:rFonts w:ascii="Times New Roman" w:hAnsi="Times New Roman" w:cs="Times New Roman"/>
          <w:sz w:val="24"/>
          <w:szCs w:val="24"/>
        </w:rPr>
        <w:lastRenderedPageBreak/>
        <w:t>Na dzień 31.12.20</w:t>
      </w:r>
      <w:r w:rsidR="0055365F" w:rsidRPr="00725CED">
        <w:rPr>
          <w:rFonts w:ascii="Times New Roman" w:hAnsi="Times New Roman" w:cs="Times New Roman"/>
          <w:sz w:val="24"/>
          <w:szCs w:val="24"/>
        </w:rPr>
        <w:t>20</w:t>
      </w:r>
      <w:r w:rsidR="00BD7E6F" w:rsidRPr="00725CED">
        <w:rPr>
          <w:rFonts w:ascii="Times New Roman" w:hAnsi="Times New Roman" w:cs="Times New Roman"/>
          <w:sz w:val="24"/>
          <w:szCs w:val="24"/>
        </w:rPr>
        <w:t xml:space="preserve"> r. kapitał wewnętrzny na pokrycie ryzyka stopy procentowej</w:t>
      </w:r>
      <w:r w:rsidR="00A254E8" w:rsidRPr="00725CED">
        <w:rPr>
          <w:rFonts w:ascii="Times New Roman" w:hAnsi="Times New Roman" w:cs="Times New Roman"/>
          <w:sz w:val="24"/>
          <w:szCs w:val="24"/>
        </w:rPr>
        <w:t xml:space="preserve"> wyniósł </w:t>
      </w:r>
      <w:r w:rsidR="0055365F" w:rsidRPr="00725CED">
        <w:rPr>
          <w:rFonts w:ascii="Times New Roman" w:hAnsi="Times New Roman" w:cs="Times New Roman"/>
          <w:sz w:val="24"/>
          <w:szCs w:val="24"/>
        </w:rPr>
        <w:t>843</w:t>
      </w:r>
      <w:r w:rsidR="005558B7" w:rsidRPr="00725CED">
        <w:rPr>
          <w:rFonts w:ascii="Times New Roman" w:hAnsi="Times New Roman" w:cs="Times New Roman"/>
          <w:sz w:val="24"/>
          <w:szCs w:val="24"/>
        </w:rPr>
        <w:t> </w:t>
      </w:r>
      <w:r w:rsidR="006B4D7E" w:rsidRPr="00725CED">
        <w:rPr>
          <w:rFonts w:ascii="Times New Roman" w:hAnsi="Times New Roman" w:cs="Times New Roman"/>
          <w:sz w:val="24"/>
          <w:szCs w:val="24"/>
        </w:rPr>
        <w:t>tys. zł</w:t>
      </w:r>
      <w:r w:rsidR="00A62551" w:rsidRPr="00725CED">
        <w:rPr>
          <w:rFonts w:ascii="Times New Roman" w:hAnsi="Times New Roman" w:cs="Times New Roman"/>
          <w:sz w:val="24"/>
          <w:szCs w:val="24"/>
        </w:rPr>
        <w:t xml:space="preserve"> i dotyczył ryzyka bazowego. </w:t>
      </w:r>
    </w:p>
    <w:p w14:paraId="77951DA2" w14:textId="77777777" w:rsidR="00112E80" w:rsidRPr="00725CED" w:rsidRDefault="00112E80" w:rsidP="00174CA0">
      <w:pPr>
        <w:spacing w:after="0" w:line="264" w:lineRule="auto"/>
        <w:rPr>
          <w:rFonts w:ascii="Times New Roman" w:hAnsi="Times New Roman" w:cs="Times New Roman"/>
          <w:b/>
          <w:sz w:val="24"/>
          <w:szCs w:val="24"/>
        </w:rPr>
      </w:pPr>
    </w:p>
    <w:p w14:paraId="2E9EB4C8" w14:textId="77777777" w:rsidR="006C34F1" w:rsidRPr="00725CED" w:rsidRDefault="006C34F1" w:rsidP="007B36B8">
      <w:pPr>
        <w:pStyle w:val="Nagwek1"/>
        <w:numPr>
          <w:ilvl w:val="2"/>
          <w:numId w:val="28"/>
        </w:numPr>
        <w:ind w:left="284" w:hanging="284"/>
        <w:rPr>
          <w:rFonts w:ascii="Times New Roman" w:hAnsi="Times New Roman" w:cs="Times New Roman"/>
          <w:b/>
          <w:color w:val="auto"/>
          <w:sz w:val="24"/>
          <w:szCs w:val="24"/>
        </w:rPr>
      </w:pPr>
      <w:bookmarkStart w:id="42" w:name="_Toc44930285"/>
      <w:r w:rsidRPr="00725CED">
        <w:rPr>
          <w:rFonts w:ascii="Times New Roman" w:hAnsi="Times New Roman" w:cs="Times New Roman"/>
          <w:b/>
          <w:color w:val="auto"/>
          <w:sz w:val="24"/>
          <w:szCs w:val="24"/>
        </w:rPr>
        <w:t>KAPITAŁ WEWNĘTRZNY NA RYZYKO PŁYNNOŚCI</w:t>
      </w:r>
      <w:bookmarkEnd w:id="42"/>
      <w:r w:rsidRPr="00725CED">
        <w:rPr>
          <w:rFonts w:ascii="Times New Roman" w:hAnsi="Times New Roman" w:cs="Times New Roman"/>
          <w:b/>
          <w:color w:val="auto"/>
          <w:sz w:val="24"/>
          <w:szCs w:val="24"/>
        </w:rPr>
        <w:t xml:space="preserve"> </w:t>
      </w:r>
    </w:p>
    <w:p w14:paraId="198A29E9" w14:textId="77777777" w:rsidR="00780ADC" w:rsidRPr="00725CED" w:rsidRDefault="00780ADC" w:rsidP="00174CA0">
      <w:pPr>
        <w:pStyle w:val="Tekstkomentarza"/>
        <w:spacing w:before="0" w:after="0" w:line="264" w:lineRule="auto"/>
        <w:rPr>
          <w:snapToGrid/>
        </w:rPr>
      </w:pPr>
    </w:p>
    <w:p w14:paraId="64768D89" w14:textId="77777777" w:rsidR="00637723" w:rsidRPr="00725CED" w:rsidRDefault="00C12445" w:rsidP="00174CA0">
      <w:pPr>
        <w:pStyle w:val="Tekstkomentarza"/>
        <w:spacing w:before="0" w:after="0" w:line="264" w:lineRule="auto"/>
        <w:ind w:firstLine="708"/>
        <w:rPr>
          <w:snapToGrid/>
        </w:rPr>
      </w:pPr>
      <w:r w:rsidRPr="00725CED">
        <w:rPr>
          <w:snapToGrid/>
        </w:rPr>
        <w:t>Bank wylicza kapitał wewnę</w:t>
      </w:r>
      <w:r w:rsidR="00A254E8" w:rsidRPr="00725CED">
        <w:rPr>
          <w:snapToGrid/>
        </w:rPr>
        <w:t>trzny z tytułu ryzyka płynności</w:t>
      </w:r>
      <w:r w:rsidRPr="00725CED">
        <w:rPr>
          <w:snapToGrid/>
        </w:rPr>
        <w:t xml:space="preserve"> </w:t>
      </w:r>
      <w:r w:rsidR="00637723" w:rsidRPr="00725CED">
        <w:rPr>
          <w:snapToGrid/>
        </w:rPr>
        <w:t>wykorzystując wskaźnik LCR wyznaczany</w:t>
      </w:r>
      <w:r w:rsidR="00637723" w:rsidRPr="00725CED">
        <w:rPr>
          <w:snapToGrid/>
          <w:lang w:val="pl-PL"/>
        </w:rPr>
        <w:t xml:space="preserve"> </w:t>
      </w:r>
      <w:r w:rsidR="00637723" w:rsidRPr="00725CED">
        <w:rPr>
          <w:snapToGrid/>
        </w:rPr>
        <w:t>zgodnie z Instrukcją Zasady zarządzania ryzykiem płynności w Warmińsko – Mazurskim Banku Spółdzielczym.</w:t>
      </w:r>
    </w:p>
    <w:p w14:paraId="33209BF5" w14:textId="77777777" w:rsidR="00637723" w:rsidRPr="00725CED" w:rsidRDefault="00637723" w:rsidP="00637723">
      <w:pPr>
        <w:pStyle w:val="Tekstkomentarza"/>
        <w:spacing w:after="0" w:line="264" w:lineRule="auto"/>
        <w:ind w:firstLine="708"/>
        <w:rPr>
          <w:snapToGrid/>
        </w:rPr>
      </w:pPr>
      <w:r w:rsidRPr="00725CED">
        <w:rPr>
          <w:snapToGrid/>
        </w:rPr>
        <w:t>W celu wyliczenia wewnętrznego wymogu kapitałowego na pokrycie ryzyka płynności Bank bada, jak wypływ depozytów, w okresie do 30 dni, oszacowany w oparciu o test warunków skrajnych wpłynie na wskaźnik LCR.</w:t>
      </w:r>
    </w:p>
    <w:p w14:paraId="050BE205" w14:textId="77777777" w:rsidR="00637723" w:rsidRPr="003F7C3D" w:rsidRDefault="00637723" w:rsidP="00637723">
      <w:pPr>
        <w:pStyle w:val="Tekstkomentarza"/>
        <w:spacing w:after="0" w:line="264" w:lineRule="auto"/>
        <w:ind w:firstLine="708"/>
        <w:rPr>
          <w:snapToGrid/>
        </w:rPr>
      </w:pPr>
      <w:r w:rsidRPr="00725CED">
        <w:rPr>
          <w:snapToGrid/>
        </w:rPr>
        <w:t xml:space="preserve">Koszt przywrócenia wskaźnika LCR do minimalnego, wymaganego przepisami poziomu, stanowiący jednocześnie podstawę do oszacowania kapitału wewnętrznego, obliczany jest według zasad opisanych w Instrukcji funkcjonowania procesu oceny adekwatności poziomu kapitału wewnętrznego (ICAAP) w Warmińsko-Mazurskim Banku Spółdzielczym. W przypadku, gdy roczny koszt utrzymania wskaźnika, przy założeniu zaistnienia sytuacji szokowej przekroczy 1% funduszy własnych Bank wyznacza wewnętrzny wymóg kapitałowy na </w:t>
      </w:r>
      <w:r w:rsidRPr="003F7C3D">
        <w:rPr>
          <w:snapToGrid/>
        </w:rPr>
        <w:t>pokrycie ryzyka płynności.</w:t>
      </w:r>
    </w:p>
    <w:p w14:paraId="33EA8F64" w14:textId="77777777" w:rsidR="001B1509" w:rsidRPr="003F7C3D" w:rsidRDefault="001B1509" w:rsidP="001B1509">
      <w:pPr>
        <w:spacing w:after="0" w:line="264" w:lineRule="auto"/>
        <w:jc w:val="both"/>
        <w:rPr>
          <w:rFonts w:ascii="Times New Roman" w:eastAsia="Times New Roman" w:hAnsi="Times New Roman" w:cs="Times New Roman"/>
          <w:sz w:val="24"/>
          <w:szCs w:val="20"/>
          <w:lang w:val="x-none" w:eastAsia="x-none"/>
        </w:rPr>
      </w:pPr>
      <w:r w:rsidRPr="003F7C3D">
        <w:rPr>
          <w:rFonts w:ascii="Times New Roman" w:eastAsia="Times New Roman" w:hAnsi="Times New Roman" w:cs="Times New Roman"/>
          <w:sz w:val="24"/>
          <w:szCs w:val="20"/>
          <w:lang w:val="x-none" w:eastAsia="x-none"/>
        </w:rPr>
        <w:t xml:space="preserve">Na dzień analizy, przy założeniu zaistnienia sytuacji szokowej, wskaźnik LCR wyniósł </w:t>
      </w:r>
      <w:r w:rsidR="00725CED" w:rsidRPr="003F7C3D">
        <w:rPr>
          <w:rFonts w:ascii="Times New Roman" w:eastAsia="Times New Roman" w:hAnsi="Times New Roman" w:cs="Times New Roman"/>
          <w:sz w:val="24"/>
          <w:szCs w:val="20"/>
          <w:lang w:eastAsia="x-none"/>
        </w:rPr>
        <w:t>91</w:t>
      </w:r>
      <w:r w:rsidRPr="003F7C3D">
        <w:rPr>
          <w:rFonts w:ascii="Times New Roman" w:eastAsia="Times New Roman" w:hAnsi="Times New Roman" w:cs="Times New Roman"/>
          <w:sz w:val="24"/>
          <w:szCs w:val="20"/>
          <w:lang w:val="x-none" w:eastAsia="x-none"/>
        </w:rPr>
        <w:t xml:space="preserve">% i był niższy od 100%. W związku z powyższym wyznaczono brakującą kwotę aktywów płynnych i wyliczono koszt przywrócenia wskaźnika do wymaganego poziomu </w:t>
      </w:r>
    </w:p>
    <w:p w14:paraId="488BC44C" w14:textId="77777777" w:rsidR="001B1509" w:rsidRPr="00725CED" w:rsidRDefault="001B1509" w:rsidP="001B1509">
      <w:pPr>
        <w:spacing w:after="0" w:line="264" w:lineRule="auto"/>
        <w:jc w:val="both"/>
        <w:rPr>
          <w:rFonts w:ascii="Times New Roman" w:eastAsia="Times New Roman" w:hAnsi="Times New Roman" w:cs="Times New Roman"/>
          <w:sz w:val="24"/>
          <w:szCs w:val="20"/>
          <w:lang w:val="x-none" w:eastAsia="x-none"/>
        </w:rPr>
      </w:pPr>
      <w:r w:rsidRPr="003F7C3D">
        <w:rPr>
          <w:rFonts w:ascii="Times New Roman" w:eastAsia="Times New Roman" w:hAnsi="Times New Roman" w:cs="Times New Roman"/>
          <w:sz w:val="24"/>
          <w:szCs w:val="20"/>
          <w:lang w:val="x-none" w:eastAsia="x-none"/>
        </w:rPr>
        <w:t xml:space="preserve">w wysokości </w:t>
      </w:r>
      <w:r w:rsidR="00725CED" w:rsidRPr="003F7C3D">
        <w:rPr>
          <w:rFonts w:ascii="Times New Roman" w:eastAsia="Times New Roman" w:hAnsi="Times New Roman" w:cs="Times New Roman"/>
          <w:sz w:val="24"/>
          <w:szCs w:val="20"/>
          <w:lang w:eastAsia="x-none"/>
        </w:rPr>
        <w:t>39</w:t>
      </w:r>
      <w:r w:rsidRPr="003F7C3D">
        <w:rPr>
          <w:rFonts w:ascii="Times New Roman" w:eastAsia="Times New Roman" w:hAnsi="Times New Roman" w:cs="Times New Roman"/>
          <w:sz w:val="24"/>
          <w:szCs w:val="20"/>
          <w:lang w:val="x-none" w:eastAsia="x-none"/>
        </w:rPr>
        <w:t xml:space="preserve"> tys. zł, co stanowi 0,</w:t>
      </w:r>
      <w:r w:rsidR="00725CED" w:rsidRPr="003F7C3D">
        <w:rPr>
          <w:rFonts w:ascii="Times New Roman" w:eastAsia="Times New Roman" w:hAnsi="Times New Roman" w:cs="Times New Roman"/>
          <w:sz w:val="24"/>
          <w:szCs w:val="20"/>
          <w:lang w:eastAsia="x-none"/>
        </w:rPr>
        <w:t>04</w:t>
      </w:r>
      <w:r w:rsidRPr="003F7C3D">
        <w:rPr>
          <w:rFonts w:ascii="Times New Roman" w:eastAsia="Times New Roman" w:hAnsi="Times New Roman" w:cs="Times New Roman"/>
          <w:sz w:val="24"/>
          <w:szCs w:val="20"/>
          <w:lang w:val="x-none" w:eastAsia="x-none"/>
        </w:rPr>
        <w:t>% funduszy własnych.</w:t>
      </w:r>
    </w:p>
    <w:p w14:paraId="34F670B3" w14:textId="77777777" w:rsidR="00780ADC" w:rsidRPr="00725CED" w:rsidRDefault="001B1509" w:rsidP="001B1509">
      <w:pPr>
        <w:spacing w:after="0" w:line="264" w:lineRule="auto"/>
        <w:jc w:val="both"/>
        <w:rPr>
          <w:rFonts w:ascii="Times New Roman" w:hAnsi="Times New Roman" w:cs="Times New Roman"/>
          <w:b/>
          <w:sz w:val="24"/>
          <w:szCs w:val="24"/>
        </w:rPr>
      </w:pPr>
      <w:r w:rsidRPr="00725CED">
        <w:rPr>
          <w:rFonts w:ascii="Times New Roman" w:eastAsia="Times New Roman" w:hAnsi="Times New Roman" w:cs="Times New Roman"/>
          <w:sz w:val="24"/>
          <w:szCs w:val="20"/>
          <w:lang w:val="x-none" w:eastAsia="x-none"/>
        </w:rPr>
        <w:t>Roczny koszt utrzymania wskaźnika przy założeniu zaistnienia sytuacji szokowej nie przekroczy 1% funduszy własnych Bank, w związku z powyższym nie ma potrzeby wyznaczenia dodatkowego wymogu kapitałowego z tytułu ryzyka płynności.</w:t>
      </w:r>
    </w:p>
    <w:p w14:paraId="6D4E5BBD" w14:textId="77777777" w:rsidR="00780ADC" w:rsidRPr="00725CED" w:rsidRDefault="00780ADC" w:rsidP="007B36B8">
      <w:pPr>
        <w:pStyle w:val="Nagwek1"/>
        <w:numPr>
          <w:ilvl w:val="2"/>
          <w:numId w:val="28"/>
        </w:numPr>
        <w:ind w:left="709" w:hanging="709"/>
        <w:rPr>
          <w:rFonts w:ascii="Times New Roman" w:hAnsi="Times New Roman" w:cs="Times New Roman"/>
          <w:b/>
          <w:color w:val="auto"/>
          <w:sz w:val="24"/>
          <w:szCs w:val="24"/>
        </w:rPr>
      </w:pPr>
      <w:bookmarkStart w:id="43" w:name="_Toc44930286"/>
      <w:r w:rsidRPr="00725CED">
        <w:rPr>
          <w:rFonts w:ascii="Times New Roman" w:hAnsi="Times New Roman" w:cs="Times New Roman"/>
          <w:b/>
          <w:color w:val="auto"/>
          <w:sz w:val="24"/>
          <w:szCs w:val="24"/>
        </w:rPr>
        <w:t>KAPITAŁ WEWNĘTRZNY NA RYZYKO CYKLU GOSPODARCZEGO</w:t>
      </w:r>
      <w:bookmarkEnd w:id="43"/>
      <w:r w:rsidRPr="00725CED">
        <w:rPr>
          <w:rFonts w:ascii="Times New Roman" w:hAnsi="Times New Roman" w:cs="Times New Roman"/>
          <w:b/>
          <w:color w:val="auto"/>
          <w:sz w:val="24"/>
          <w:szCs w:val="24"/>
        </w:rPr>
        <w:t xml:space="preserve">  </w:t>
      </w:r>
    </w:p>
    <w:p w14:paraId="72226442" w14:textId="77777777" w:rsidR="006C34F1" w:rsidRPr="00725CED" w:rsidRDefault="006C34F1" w:rsidP="00174CA0">
      <w:pPr>
        <w:spacing w:after="0" w:line="264" w:lineRule="auto"/>
        <w:rPr>
          <w:rFonts w:ascii="Times New Roman" w:hAnsi="Times New Roman" w:cs="Times New Roman"/>
          <w:sz w:val="24"/>
          <w:szCs w:val="24"/>
        </w:rPr>
      </w:pPr>
    </w:p>
    <w:p w14:paraId="2C6D28E5" w14:textId="77777777" w:rsidR="00780ADC" w:rsidRPr="00725CED" w:rsidRDefault="00780ADC" w:rsidP="00A62551">
      <w:pPr>
        <w:pStyle w:val="Tekstkomentarza"/>
        <w:spacing w:before="0" w:after="0" w:line="264" w:lineRule="auto"/>
        <w:ind w:firstLine="708"/>
        <w:rPr>
          <w:szCs w:val="24"/>
        </w:rPr>
      </w:pPr>
      <w:r w:rsidRPr="00725CED">
        <w:rPr>
          <w:szCs w:val="24"/>
        </w:rPr>
        <w:t xml:space="preserve">Ocenę istotności ryzyka cyklu gospodarczego Bank przeprowadza </w:t>
      </w:r>
      <w:r w:rsidR="000C0448" w:rsidRPr="00725CED">
        <w:rPr>
          <w:szCs w:val="24"/>
          <w:lang w:val="pl-PL"/>
        </w:rPr>
        <w:t xml:space="preserve">się dokonując </w:t>
      </w:r>
      <w:r w:rsidRPr="00725CED">
        <w:rPr>
          <w:szCs w:val="24"/>
        </w:rPr>
        <w:t>stosując następujący algorytm:</w:t>
      </w:r>
    </w:p>
    <w:p w14:paraId="72C6A8D6" w14:textId="77777777" w:rsidR="001B1509" w:rsidRPr="00725CED" w:rsidRDefault="001B1509" w:rsidP="001B1509">
      <w:pPr>
        <w:pStyle w:val="Tekstkomentarza"/>
        <w:numPr>
          <w:ilvl w:val="0"/>
          <w:numId w:val="12"/>
        </w:numPr>
        <w:spacing w:after="0" w:line="240" w:lineRule="auto"/>
      </w:pPr>
      <w:r w:rsidRPr="00725CED">
        <w:t xml:space="preserve">Bank dokonuje zestawienia wskaźnika ryzyka kredytowego, liczonego jako udział procentowy kredytów zagrożonych w portfelu kredytowym ogółem, wyliczonych na koniec ostatnich </w:t>
      </w:r>
      <w:r w:rsidRPr="00725CED">
        <w:rPr>
          <w:lang w:val="pl-PL"/>
        </w:rPr>
        <w:t xml:space="preserve">3 </w:t>
      </w:r>
      <w:r w:rsidRPr="00725CED">
        <w:t xml:space="preserve"> lat kalendarzowych poprzedzających datę analizy,</w:t>
      </w:r>
    </w:p>
    <w:p w14:paraId="4A481D2B" w14:textId="77777777" w:rsidR="001B1509" w:rsidRPr="00725CED" w:rsidRDefault="001B1509" w:rsidP="001B1509">
      <w:pPr>
        <w:pStyle w:val="Tekstkomentarza"/>
        <w:numPr>
          <w:ilvl w:val="0"/>
          <w:numId w:val="12"/>
        </w:numPr>
        <w:spacing w:after="0" w:line="240" w:lineRule="auto"/>
      </w:pPr>
      <w:r w:rsidRPr="00725CED">
        <w:t>z zestawienia, o którym mowa powyżej dopuszcza się możliwość wyłączenia portfela kredytowego banku przyłączonego w tym okresie,</w:t>
      </w:r>
    </w:p>
    <w:p w14:paraId="4B93C52D" w14:textId="77777777" w:rsidR="001B1509" w:rsidRPr="00725CED" w:rsidRDefault="001B1509" w:rsidP="001B1509">
      <w:pPr>
        <w:pStyle w:val="Tekstkomentarza"/>
        <w:numPr>
          <w:ilvl w:val="0"/>
          <w:numId w:val="12"/>
        </w:numPr>
        <w:spacing w:after="0" w:line="240" w:lineRule="auto"/>
      </w:pPr>
      <w:r w:rsidRPr="00725CED">
        <w:t xml:space="preserve">do dalszych analiz Bank przyjmuje wartość </w:t>
      </w:r>
      <w:r w:rsidRPr="00725CED">
        <w:rPr>
          <w:lang w:val="pl-PL"/>
        </w:rPr>
        <w:t xml:space="preserve">średnią </w:t>
      </w:r>
      <w:r w:rsidRPr="00725CED">
        <w:t>ze wskaźników określonych wyżej.</w:t>
      </w:r>
    </w:p>
    <w:p w14:paraId="7F001EEB" w14:textId="77777777" w:rsidR="001B1509" w:rsidRPr="00725CED" w:rsidRDefault="001B1509" w:rsidP="001B1509">
      <w:pPr>
        <w:pStyle w:val="Tekstkomentarza"/>
        <w:spacing w:after="0" w:line="240" w:lineRule="auto"/>
      </w:pPr>
      <w:r w:rsidRPr="00725CED">
        <w:t xml:space="preserve">Bank uznaje ryzyko cyklu gospodarczego za istotne i wyznacza wewnętrzny wymóg kapitałowy na pokrycie tego ryzyka, jeżeli poziom wskaźnika wyliczony na dzień analizy przewyższa o więcej niż </w:t>
      </w:r>
      <w:r w:rsidRPr="00725CED">
        <w:rPr>
          <w:lang w:val="pl-PL"/>
        </w:rPr>
        <w:t xml:space="preserve">2 </w:t>
      </w:r>
      <w:r w:rsidRPr="00725CED">
        <w:t>punkt</w:t>
      </w:r>
      <w:r w:rsidRPr="00725CED">
        <w:rPr>
          <w:lang w:val="pl-PL"/>
        </w:rPr>
        <w:t>y</w:t>
      </w:r>
      <w:r w:rsidRPr="00725CED">
        <w:t xml:space="preserve"> procentow</w:t>
      </w:r>
      <w:r w:rsidRPr="00725CED">
        <w:rPr>
          <w:lang w:val="pl-PL"/>
        </w:rPr>
        <w:t>e</w:t>
      </w:r>
      <w:r w:rsidRPr="00725CED">
        <w:t xml:space="preserve"> poziom </w:t>
      </w:r>
      <w:r w:rsidRPr="00725CED">
        <w:rPr>
          <w:lang w:val="pl-PL"/>
        </w:rPr>
        <w:t xml:space="preserve">średniego </w:t>
      </w:r>
      <w:r w:rsidRPr="00725CED">
        <w:t>wskaźnika kredytów zagrożonych w okresie</w:t>
      </w:r>
      <w:r w:rsidRPr="00725CED">
        <w:rPr>
          <w:lang w:val="pl-PL"/>
        </w:rPr>
        <w:t xml:space="preserve"> 3</w:t>
      </w:r>
      <w:r w:rsidRPr="00725CED">
        <w:t xml:space="preserve"> lat kalendarzowych poprzedzających datę analizy.</w:t>
      </w:r>
    </w:p>
    <w:p w14:paraId="42AF19D4" w14:textId="77777777" w:rsidR="00A62551" w:rsidRPr="00725CED" w:rsidRDefault="0053317F" w:rsidP="00A62551">
      <w:pPr>
        <w:spacing w:after="0" w:line="264" w:lineRule="auto"/>
        <w:jc w:val="both"/>
        <w:rPr>
          <w:rFonts w:ascii="Times New Roman" w:hAnsi="Times New Roman" w:cs="Times New Roman"/>
          <w:sz w:val="24"/>
          <w:szCs w:val="24"/>
        </w:rPr>
      </w:pPr>
      <w:r w:rsidRPr="00725CED">
        <w:rPr>
          <w:rFonts w:ascii="Times New Roman" w:hAnsi="Times New Roman" w:cs="Times New Roman"/>
          <w:sz w:val="24"/>
          <w:szCs w:val="24"/>
        </w:rPr>
        <w:t xml:space="preserve">Na dzień analizy udział kredytów zagrożonych w portfelu kredytowym w ostatnich 3 latach nie przewyższył o więcej niż 2 punkty procentowego poziomu średniego wskaźnika kredytów </w:t>
      </w:r>
      <w:r w:rsidRPr="00725CED">
        <w:rPr>
          <w:rFonts w:ascii="Times New Roman" w:hAnsi="Times New Roman" w:cs="Times New Roman"/>
          <w:sz w:val="24"/>
          <w:szCs w:val="24"/>
        </w:rPr>
        <w:lastRenderedPageBreak/>
        <w:t>zagrożonych w okresie 3 lat kalendarzowych. Nie było więc potrzeby wyznaczania wymogu kapitałowego z tytułu cyklu gospodarczego.</w:t>
      </w:r>
    </w:p>
    <w:p w14:paraId="527EA89D" w14:textId="77777777" w:rsidR="0053317F" w:rsidRPr="000E3272" w:rsidRDefault="0053317F" w:rsidP="00A62551">
      <w:pPr>
        <w:spacing w:after="0" w:line="264" w:lineRule="auto"/>
        <w:jc w:val="both"/>
        <w:rPr>
          <w:rFonts w:ascii="Times New Roman" w:hAnsi="Times New Roman" w:cs="Times New Roman"/>
          <w:color w:val="FF0000"/>
          <w:sz w:val="24"/>
          <w:szCs w:val="24"/>
        </w:rPr>
      </w:pPr>
    </w:p>
    <w:p w14:paraId="60177DA1" w14:textId="77777777" w:rsidR="006E7B14" w:rsidRPr="00725CED" w:rsidRDefault="006E7B14" w:rsidP="007B36B8">
      <w:pPr>
        <w:pStyle w:val="Nagwek1"/>
        <w:numPr>
          <w:ilvl w:val="2"/>
          <w:numId w:val="28"/>
        </w:numPr>
        <w:ind w:left="567"/>
        <w:rPr>
          <w:rFonts w:ascii="Times New Roman" w:hAnsi="Times New Roman" w:cs="Times New Roman"/>
          <w:b/>
          <w:color w:val="auto"/>
          <w:sz w:val="24"/>
          <w:szCs w:val="24"/>
        </w:rPr>
      </w:pPr>
      <w:bookmarkStart w:id="44" w:name="_Toc44930287"/>
      <w:r w:rsidRPr="00725CED">
        <w:rPr>
          <w:rFonts w:ascii="Times New Roman" w:hAnsi="Times New Roman" w:cs="Times New Roman"/>
          <w:b/>
          <w:color w:val="auto"/>
          <w:sz w:val="24"/>
          <w:szCs w:val="24"/>
        </w:rPr>
        <w:t>KAPITAŁ WEWNĘTRZNY NA RYZYKO WYNIKU FIN</w:t>
      </w:r>
      <w:r w:rsidR="00A254E8" w:rsidRPr="00725CED">
        <w:rPr>
          <w:rFonts w:ascii="Times New Roman" w:hAnsi="Times New Roman" w:cs="Times New Roman"/>
          <w:b/>
          <w:color w:val="auto"/>
          <w:sz w:val="24"/>
          <w:szCs w:val="24"/>
        </w:rPr>
        <w:t>A</w:t>
      </w:r>
      <w:r w:rsidRPr="00725CED">
        <w:rPr>
          <w:rFonts w:ascii="Times New Roman" w:hAnsi="Times New Roman" w:cs="Times New Roman"/>
          <w:b/>
          <w:color w:val="auto"/>
          <w:sz w:val="24"/>
          <w:szCs w:val="24"/>
        </w:rPr>
        <w:t>NSOWEGO</w:t>
      </w:r>
      <w:bookmarkEnd w:id="44"/>
      <w:r w:rsidRPr="00725CED">
        <w:rPr>
          <w:rFonts w:ascii="Times New Roman" w:hAnsi="Times New Roman" w:cs="Times New Roman"/>
          <w:b/>
          <w:color w:val="auto"/>
          <w:sz w:val="24"/>
          <w:szCs w:val="24"/>
        </w:rPr>
        <w:t xml:space="preserve">  </w:t>
      </w:r>
    </w:p>
    <w:p w14:paraId="003B673A" w14:textId="77777777" w:rsidR="00A62551" w:rsidRPr="00725CED" w:rsidRDefault="00A62551" w:rsidP="00174CA0">
      <w:pPr>
        <w:spacing w:after="0" w:line="264" w:lineRule="auto"/>
        <w:rPr>
          <w:rFonts w:ascii="Times New Roman" w:hAnsi="Times New Roman" w:cs="Times New Roman"/>
          <w:b/>
          <w:sz w:val="24"/>
          <w:szCs w:val="24"/>
        </w:rPr>
      </w:pPr>
    </w:p>
    <w:p w14:paraId="01F3D877" w14:textId="77777777" w:rsidR="006E7B14" w:rsidRPr="00725CED" w:rsidRDefault="006E7B14" w:rsidP="00A62551">
      <w:pPr>
        <w:pStyle w:val="Tekstkomentarza"/>
        <w:spacing w:before="0" w:after="0" w:line="264" w:lineRule="auto"/>
        <w:ind w:firstLine="708"/>
      </w:pPr>
      <w:r w:rsidRPr="00725CED">
        <w:t>Bank w ocenie istotności ryzyka wyniku finansowego</w:t>
      </w:r>
      <w:r w:rsidR="00DB334B" w:rsidRPr="00725CED">
        <w:rPr>
          <w:lang w:val="pl-PL"/>
        </w:rPr>
        <w:t>,</w:t>
      </w:r>
      <w:r w:rsidRPr="00725CED">
        <w:t xml:space="preserve"> dla potrzeb wyznaczania wewnętrznego wymogu kapitałowego, dokonuje analizy wielkości planowanego wyniku finansowego na dany rok według planu finansowego zatwierdzonego przez Radę Nadzorczą, a wielkością zrealizowaną na datę analizy.</w:t>
      </w:r>
    </w:p>
    <w:p w14:paraId="02C41026" w14:textId="77777777" w:rsidR="006E7B14" w:rsidRPr="00725CED" w:rsidRDefault="006E7B14" w:rsidP="00A62551">
      <w:pPr>
        <w:pStyle w:val="Tekstkomentarza"/>
        <w:spacing w:before="0" w:after="0" w:line="264" w:lineRule="auto"/>
        <w:ind w:firstLine="708"/>
      </w:pPr>
      <w:r w:rsidRPr="00725CED">
        <w:t>Jeżeli różnica pomiędzy wartością planowaną wynik</w:t>
      </w:r>
      <w:r w:rsidR="00DB334B" w:rsidRPr="00725CED">
        <w:t>u finansowego netto na dany rok</w:t>
      </w:r>
      <w:r w:rsidRPr="00725CED">
        <w:t xml:space="preserve"> a zrealizowaną na datę dokonywania oceny kapitału wewnętrznego wartością wyniku finansowego netto, powiększoną o wartość wyniku planowanego do zrealizowania na okres pozostający do zakończenia roku jest dodatnia i większa niż 20% planowanego wyniku finansowego netto na dany rok, to Bank uznaje, że ryzyko wyniku finansowego jest istotne </w:t>
      </w:r>
      <w:r w:rsidR="00DB334B" w:rsidRPr="00725CED">
        <w:rPr>
          <w:lang w:val="pl-PL"/>
        </w:rPr>
        <w:t xml:space="preserve">               </w:t>
      </w:r>
      <w:r w:rsidRPr="00725CED">
        <w:t>i wyznacza wewnętrzny wymóg kapitałowy z tego tytułu.</w:t>
      </w:r>
    </w:p>
    <w:p w14:paraId="36AC2529" w14:textId="77777777" w:rsidR="00FC41F9" w:rsidRPr="00B75B83" w:rsidRDefault="001B1509" w:rsidP="001B1509">
      <w:pPr>
        <w:spacing w:after="0" w:line="264" w:lineRule="auto"/>
        <w:ind w:firstLine="708"/>
        <w:jc w:val="both"/>
        <w:rPr>
          <w:rFonts w:ascii="Times New Roman" w:hAnsi="Times New Roman" w:cs="Times New Roman"/>
          <w:b/>
          <w:sz w:val="24"/>
          <w:szCs w:val="24"/>
          <w:lang w:val="x-none"/>
        </w:rPr>
      </w:pPr>
      <w:r w:rsidRPr="00B75B83">
        <w:rPr>
          <w:rFonts w:ascii="Times New Roman" w:eastAsia="Times New Roman" w:hAnsi="Times New Roman" w:cs="Times New Roman"/>
          <w:snapToGrid w:val="0"/>
          <w:sz w:val="24"/>
          <w:szCs w:val="20"/>
          <w:lang w:eastAsia="x-none"/>
        </w:rPr>
        <w:t xml:space="preserve">Na dzień analizy suma wartości wyniku zrealizowanego netto wyniosła </w:t>
      </w:r>
      <w:r w:rsidR="0072277B" w:rsidRPr="00B75B83">
        <w:rPr>
          <w:rFonts w:ascii="Times New Roman" w:eastAsia="Times New Roman" w:hAnsi="Times New Roman" w:cs="Times New Roman"/>
          <w:snapToGrid w:val="0"/>
          <w:sz w:val="24"/>
          <w:szCs w:val="20"/>
          <w:lang w:eastAsia="x-none"/>
        </w:rPr>
        <w:t>3 135</w:t>
      </w:r>
      <w:r w:rsidRPr="00B75B83">
        <w:rPr>
          <w:rFonts w:ascii="Times New Roman" w:eastAsia="Times New Roman" w:hAnsi="Times New Roman" w:cs="Times New Roman"/>
          <w:snapToGrid w:val="0"/>
          <w:sz w:val="24"/>
          <w:szCs w:val="20"/>
          <w:lang w:eastAsia="x-none"/>
        </w:rPr>
        <w:t xml:space="preserve"> tys. zł i jest </w:t>
      </w:r>
      <w:r w:rsidR="00B75B83" w:rsidRPr="00B75B83">
        <w:rPr>
          <w:rFonts w:ascii="Times New Roman" w:eastAsia="Times New Roman" w:hAnsi="Times New Roman" w:cs="Times New Roman"/>
          <w:snapToGrid w:val="0"/>
          <w:sz w:val="24"/>
          <w:szCs w:val="20"/>
          <w:lang w:eastAsia="x-none"/>
        </w:rPr>
        <w:t>wyższa</w:t>
      </w:r>
      <w:r w:rsidRPr="00B75B83">
        <w:rPr>
          <w:rFonts w:ascii="Times New Roman" w:eastAsia="Times New Roman" w:hAnsi="Times New Roman" w:cs="Times New Roman"/>
          <w:snapToGrid w:val="0"/>
          <w:sz w:val="24"/>
          <w:szCs w:val="20"/>
          <w:lang w:eastAsia="x-none"/>
        </w:rPr>
        <w:t xml:space="preserve"> od wyniku planowanego o </w:t>
      </w:r>
      <w:r w:rsidR="00B75B83" w:rsidRPr="00B75B83">
        <w:rPr>
          <w:rFonts w:ascii="Times New Roman" w:eastAsia="Times New Roman" w:hAnsi="Times New Roman" w:cs="Times New Roman"/>
          <w:snapToGrid w:val="0"/>
          <w:sz w:val="24"/>
          <w:szCs w:val="20"/>
          <w:lang w:eastAsia="x-none"/>
        </w:rPr>
        <w:t>1 149</w:t>
      </w:r>
      <w:r w:rsidRPr="00B75B83">
        <w:rPr>
          <w:rFonts w:ascii="Times New Roman" w:eastAsia="Times New Roman" w:hAnsi="Times New Roman" w:cs="Times New Roman"/>
          <w:snapToGrid w:val="0"/>
          <w:sz w:val="24"/>
          <w:szCs w:val="20"/>
          <w:lang w:eastAsia="x-none"/>
        </w:rPr>
        <w:t xml:space="preserve"> tys. zł</w:t>
      </w:r>
      <w:r w:rsidR="00B75B83">
        <w:rPr>
          <w:rFonts w:ascii="Times New Roman" w:eastAsia="Times New Roman" w:hAnsi="Times New Roman" w:cs="Times New Roman"/>
          <w:snapToGrid w:val="0"/>
          <w:sz w:val="24"/>
          <w:szCs w:val="20"/>
          <w:lang w:eastAsia="x-none"/>
        </w:rPr>
        <w:t xml:space="preserve"> (na IV kwartał 2020 r. </w:t>
      </w:r>
      <w:r w:rsidR="00D96FF1">
        <w:rPr>
          <w:rFonts w:ascii="Times New Roman" w:eastAsia="Times New Roman" w:hAnsi="Times New Roman" w:cs="Times New Roman"/>
          <w:snapToGrid w:val="0"/>
          <w:sz w:val="24"/>
          <w:szCs w:val="20"/>
          <w:lang w:eastAsia="x-none"/>
        </w:rPr>
        <w:t>planowany wynik netto na 2020 r. wynosił</w:t>
      </w:r>
      <w:r w:rsidR="00B75B83">
        <w:rPr>
          <w:rFonts w:ascii="Times New Roman" w:eastAsia="Times New Roman" w:hAnsi="Times New Roman" w:cs="Times New Roman"/>
          <w:snapToGrid w:val="0"/>
          <w:sz w:val="24"/>
          <w:szCs w:val="20"/>
          <w:lang w:eastAsia="x-none"/>
        </w:rPr>
        <w:t xml:space="preserve"> 1 986 tys. zł)</w:t>
      </w:r>
      <w:r w:rsidRPr="00B75B83">
        <w:rPr>
          <w:rFonts w:ascii="Times New Roman" w:eastAsia="Times New Roman" w:hAnsi="Times New Roman" w:cs="Times New Roman"/>
          <w:snapToGrid w:val="0"/>
          <w:sz w:val="24"/>
          <w:szCs w:val="20"/>
          <w:lang w:eastAsia="x-none"/>
        </w:rPr>
        <w:t xml:space="preserve">, co stanowi </w:t>
      </w:r>
      <w:r w:rsidR="00B75B83" w:rsidRPr="00B75B83">
        <w:rPr>
          <w:rFonts w:ascii="Times New Roman" w:eastAsia="Times New Roman" w:hAnsi="Times New Roman" w:cs="Times New Roman"/>
          <w:snapToGrid w:val="0"/>
          <w:sz w:val="24"/>
          <w:szCs w:val="20"/>
          <w:lang w:eastAsia="x-none"/>
        </w:rPr>
        <w:t>157,85</w:t>
      </w:r>
      <w:r w:rsidRPr="00B75B83">
        <w:rPr>
          <w:rFonts w:ascii="Times New Roman" w:eastAsia="Times New Roman" w:hAnsi="Times New Roman" w:cs="Times New Roman"/>
          <w:snapToGrid w:val="0"/>
          <w:sz w:val="24"/>
          <w:szCs w:val="20"/>
          <w:lang w:eastAsia="x-none"/>
        </w:rPr>
        <w:t>% planowanego wyniku finansowego na koniec roku, więc nie ma więc potrzeby wyznaczania wewnętrznego wymogu kapitałowego z tytułu ryzyka wyniku finansowego.</w:t>
      </w:r>
    </w:p>
    <w:p w14:paraId="051A65A9" w14:textId="77777777" w:rsidR="006C34F1" w:rsidRPr="00B75B83" w:rsidRDefault="006C34F1" w:rsidP="007B36B8">
      <w:pPr>
        <w:pStyle w:val="Nagwek1"/>
        <w:numPr>
          <w:ilvl w:val="2"/>
          <w:numId w:val="28"/>
        </w:numPr>
        <w:ind w:left="709"/>
        <w:rPr>
          <w:rFonts w:ascii="Times New Roman" w:hAnsi="Times New Roman" w:cs="Times New Roman"/>
          <w:b/>
          <w:color w:val="auto"/>
          <w:sz w:val="24"/>
          <w:szCs w:val="24"/>
        </w:rPr>
      </w:pPr>
      <w:bookmarkStart w:id="45" w:name="_Toc44930288"/>
      <w:r w:rsidRPr="00B75B83">
        <w:rPr>
          <w:rFonts w:ascii="Times New Roman" w:hAnsi="Times New Roman" w:cs="Times New Roman"/>
          <w:b/>
          <w:color w:val="auto"/>
          <w:sz w:val="24"/>
          <w:szCs w:val="24"/>
        </w:rPr>
        <w:t>KAPITAŁ WEWNĘTRZNY NA RYZYKO KAPITAŁOWE</w:t>
      </w:r>
      <w:bookmarkEnd w:id="45"/>
      <w:r w:rsidRPr="00B75B83">
        <w:rPr>
          <w:rFonts w:ascii="Times New Roman" w:hAnsi="Times New Roman" w:cs="Times New Roman"/>
          <w:b/>
          <w:color w:val="auto"/>
          <w:sz w:val="24"/>
          <w:szCs w:val="24"/>
        </w:rPr>
        <w:t xml:space="preserve"> </w:t>
      </w:r>
    </w:p>
    <w:p w14:paraId="60BAB266" w14:textId="77777777" w:rsidR="00FC41F9" w:rsidRPr="00B75B83" w:rsidRDefault="00FC41F9" w:rsidP="00174CA0">
      <w:pPr>
        <w:spacing w:after="0" w:line="264" w:lineRule="auto"/>
        <w:rPr>
          <w:rFonts w:ascii="Times New Roman" w:hAnsi="Times New Roman" w:cs="Times New Roman"/>
          <w:sz w:val="24"/>
          <w:szCs w:val="24"/>
        </w:rPr>
      </w:pPr>
    </w:p>
    <w:p w14:paraId="755AE11F" w14:textId="77777777" w:rsidR="006C34F1" w:rsidRPr="00B75B83" w:rsidRDefault="006C34F1" w:rsidP="00174CA0">
      <w:pPr>
        <w:spacing w:after="0" w:line="264" w:lineRule="auto"/>
        <w:rPr>
          <w:rFonts w:ascii="Times New Roman" w:hAnsi="Times New Roman" w:cs="Times New Roman"/>
          <w:sz w:val="24"/>
          <w:szCs w:val="24"/>
        </w:rPr>
      </w:pPr>
      <w:r w:rsidRPr="00B75B83">
        <w:rPr>
          <w:rFonts w:ascii="Times New Roman" w:hAnsi="Times New Roman" w:cs="Times New Roman"/>
          <w:sz w:val="24"/>
          <w:szCs w:val="24"/>
        </w:rPr>
        <w:t xml:space="preserve">Bank oblicza kapitał wewnętrzny na ryzyko kapitałowe z tytułu zagrożenia wynikającego z: </w:t>
      </w:r>
    </w:p>
    <w:p w14:paraId="3A7B5BF2" w14:textId="77777777" w:rsidR="000C0448" w:rsidRPr="00B75B83" w:rsidRDefault="000C0448" w:rsidP="000C0448">
      <w:pPr>
        <w:pStyle w:val="Tekstkomentarza"/>
        <w:numPr>
          <w:ilvl w:val="0"/>
          <w:numId w:val="26"/>
        </w:numPr>
        <w:tabs>
          <w:tab w:val="left" w:pos="851"/>
        </w:tabs>
        <w:spacing w:before="120" w:after="0" w:line="240" w:lineRule="auto"/>
        <w:ind w:left="851" w:hanging="425"/>
      </w:pPr>
      <w:r w:rsidRPr="00B75B83">
        <w:rPr>
          <w:lang w:val="pl-PL"/>
        </w:rPr>
        <w:t xml:space="preserve">wielkości </w:t>
      </w:r>
      <w:r w:rsidRPr="00B75B83">
        <w:t>łączn</w:t>
      </w:r>
      <w:r w:rsidRPr="00B75B83">
        <w:rPr>
          <w:lang w:val="pl-PL"/>
        </w:rPr>
        <w:t>ego</w:t>
      </w:r>
      <w:r w:rsidRPr="00B75B83">
        <w:t xml:space="preserve"> współczynnik</w:t>
      </w:r>
      <w:r w:rsidRPr="00B75B83">
        <w:rPr>
          <w:lang w:val="pl-PL"/>
        </w:rPr>
        <w:t>a</w:t>
      </w:r>
      <w:r w:rsidRPr="00B75B83">
        <w:t xml:space="preserve"> kapitałow</w:t>
      </w:r>
      <w:r w:rsidRPr="00B75B83">
        <w:rPr>
          <w:lang w:val="pl-PL"/>
        </w:rPr>
        <w:t>ego</w:t>
      </w:r>
      <w:r w:rsidRPr="00B75B83">
        <w:t>;</w:t>
      </w:r>
      <w:r w:rsidRPr="00B75B83" w:rsidDel="00092588">
        <w:t xml:space="preserve"> </w:t>
      </w:r>
    </w:p>
    <w:p w14:paraId="29832C28" w14:textId="77777777" w:rsidR="000C0448" w:rsidRPr="00B75B83" w:rsidRDefault="000C0448" w:rsidP="000C0448">
      <w:pPr>
        <w:pStyle w:val="Tekstkomentarza"/>
        <w:numPr>
          <w:ilvl w:val="0"/>
          <w:numId w:val="26"/>
        </w:numPr>
        <w:tabs>
          <w:tab w:val="left" w:pos="851"/>
        </w:tabs>
        <w:spacing w:before="120" w:after="0" w:line="240" w:lineRule="auto"/>
        <w:ind w:left="851" w:hanging="425"/>
        <w:rPr>
          <w:szCs w:val="24"/>
        </w:rPr>
      </w:pPr>
      <w:r w:rsidRPr="00B75B83">
        <w:rPr>
          <w:szCs w:val="24"/>
          <w:lang w:val="pl-PL"/>
        </w:rPr>
        <w:t xml:space="preserve">wielkości </w:t>
      </w:r>
      <w:r w:rsidRPr="00B75B83">
        <w:rPr>
          <w:szCs w:val="24"/>
        </w:rPr>
        <w:t>współczynnik</w:t>
      </w:r>
      <w:r w:rsidRPr="00B75B83">
        <w:rPr>
          <w:szCs w:val="24"/>
          <w:lang w:val="pl-PL"/>
        </w:rPr>
        <w:t>a</w:t>
      </w:r>
      <w:r w:rsidRPr="00B75B83">
        <w:rPr>
          <w:szCs w:val="24"/>
        </w:rPr>
        <w:t xml:space="preserve"> kapitału Tier I.</w:t>
      </w:r>
    </w:p>
    <w:p w14:paraId="2841BAD2" w14:textId="77777777" w:rsidR="000C0448" w:rsidRPr="00B75B83" w:rsidRDefault="000C0448" w:rsidP="000C0448">
      <w:pPr>
        <w:pStyle w:val="Tekstkomentarza"/>
        <w:numPr>
          <w:ilvl w:val="0"/>
          <w:numId w:val="26"/>
        </w:numPr>
        <w:tabs>
          <w:tab w:val="left" w:pos="851"/>
        </w:tabs>
        <w:spacing w:before="120" w:after="0" w:line="240" w:lineRule="auto"/>
        <w:ind w:left="851" w:hanging="425"/>
        <w:rPr>
          <w:szCs w:val="24"/>
        </w:rPr>
      </w:pPr>
      <w:r w:rsidRPr="00B75B83">
        <w:rPr>
          <w:szCs w:val="24"/>
        </w:rPr>
        <w:t>struktury posiadanych funduszy w celu ustalenia stopnia koncentracji funduszu udziałowego,</w:t>
      </w:r>
    </w:p>
    <w:p w14:paraId="7CA8DE48" w14:textId="77777777" w:rsidR="000C0448" w:rsidRPr="00B75B83" w:rsidRDefault="000C0448" w:rsidP="000C0448">
      <w:pPr>
        <w:pStyle w:val="Tekstkomentarza"/>
        <w:numPr>
          <w:ilvl w:val="0"/>
          <w:numId w:val="26"/>
        </w:numPr>
        <w:tabs>
          <w:tab w:val="left" w:pos="851"/>
        </w:tabs>
        <w:spacing w:before="120" w:after="0" w:line="240" w:lineRule="auto"/>
        <w:ind w:left="851" w:hanging="425"/>
        <w:rPr>
          <w:szCs w:val="24"/>
        </w:rPr>
      </w:pPr>
      <w:r w:rsidRPr="00B75B83">
        <w:rPr>
          <w:szCs w:val="24"/>
        </w:rPr>
        <w:t>koncentracji pakietów „dużych” udziałów,</w:t>
      </w:r>
    </w:p>
    <w:p w14:paraId="756461BF" w14:textId="77777777" w:rsidR="006C34F1" w:rsidRPr="00B75B83" w:rsidRDefault="006C34F1" w:rsidP="00174CA0">
      <w:pPr>
        <w:spacing w:after="0" w:line="264" w:lineRule="auto"/>
        <w:rPr>
          <w:rFonts w:ascii="Times New Roman" w:hAnsi="Times New Roman" w:cs="Times New Roman"/>
          <w:sz w:val="24"/>
          <w:szCs w:val="24"/>
        </w:rPr>
      </w:pPr>
    </w:p>
    <w:p w14:paraId="2706C450" w14:textId="77777777" w:rsidR="00FC41F9" w:rsidRPr="00B75B83" w:rsidRDefault="00FC41F9" w:rsidP="00174CA0">
      <w:pPr>
        <w:tabs>
          <w:tab w:val="left" w:pos="2160"/>
        </w:tabs>
        <w:spacing w:after="0" w:line="264" w:lineRule="auto"/>
        <w:rPr>
          <w:rFonts w:ascii="Times New Roman" w:hAnsi="Times New Roman" w:cs="Times New Roman"/>
          <w:sz w:val="24"/>
          <w:szCs w:val="24"/>
        </w:rPr>
      </w:pPr>
      <w:r w:rsidRPr="00B75B83">
        <w:rPr>
          <w:rFonts w:ascii="Times New Roman" w:hAnsi="Times New Roman" w:cs="Times New Roman"/>
          <w:sz w:val="24"/>
          <w:szCs w:val="24"/>
        </w:rPr>
        <w:t>Wewnętrzny wymóg kapitałowy na pokrycie ryzyka kapitałowego stanowi większa z wartości wymogu:</w:t>
      </w:r>
    </w:p>
    <w:p w14:paraId="49A60881" w14:textId="77777777" w:rsidR="006E7B14" w:rsidRPr="00B75B83" w:rsidRDefault="00FC41F9" w:rsidP="00993749">
      <w:pPr>
        <w:numPr>
          <w:ilvl w:val="0"/>
          <w:numId w:val="13"/>
        </w:numPr>
        <w:tabs>
          <w:tab w:val="left" w:pos="750"/>
          <w:tab w:val="left" w:pos="2160"/>
        </w:tabs>
        <w:suppressAutoHyphens/>
        <w:autoSpaceDE w:val="0"/>
        <w:spacing w:after="0" w:line="264" w:lineRule="auto"/>
        <w:jc w:val="both"/>
        <w:rPr>
          <w:rFonts w:ascii="Times New Roman" w:hAnsi="Times New Roman" w:cs="Times New Roman"/>
          <w:sz w:val="24"/>
          <w:szCs w:val="24"/>
        </w:rPr>
      </w:pPr>
      <w:r w:rsidRPr="00B75B83">
        <w:rPr>
          <w:rFonts w:ascii="Times New Roman" w:hAnsi="Times New Roman" w:cs="Times New Roman"/>
          <w:sz w:val="24"/>
          <w:szCs w:val="24"/>
        </w:rPr>
        <w:t>na ryzyko kapitałowe z tyt. wielk</w:t>
      </w:r>
      <w:r w:rsidR="00DB334B" w:rsidRPr="00B75B83">
        <w:rPr>
          <w:rFonts w:ascii="Times New Roman" w:hAnsi="Times New Roman" w:cs="Times New Roman"/>
          <w:sz w:val="24"/>
          <w:szCs w:val="24"/>
        </w:rPr>
        <w:t>ości współczynników kapitałowych,</w:t>
      </w:r>
      <w:r w:rsidRPr="00B75B83">
        <w:rPr>
          <w:rFonts w:ascii="Times New Roman" w:hAnsi="Times New Roman" w:cs="Times New Roman"/>
          <w:sz w:val="24"/>
          <w:szCs w:val="24"/>
        </w:rPr>
        <w:t xml:space="preserve"> </w:t>
      </w:r>
    </w:p>
    <w:p w14:paraId="01A115BB" w14:textId="77777777" w:rsidR="006E7B14" w:rsidRPr="00B75B83" w:rsidRDefault="00FC41F9" w:rsidP="00993749">
      <w:pPr>
        <w:numPr>
          <w:ilvl w:val="0"/>
          <w:numId w:val="13"/>
        </w:numPr>
        <w:tabs>
          <w:tab w:val="left" w:pos="750"/>
          <w:tab w:val="left" w:pos="2160"/>
        </w:tabs>
        <w:suppressAutoHyphens/>
        <w:autoSpaceDE w:val="0"/>
        <w:spacing w:after="0" w:line="264" w:lineRule="auto"/>
        <w:jc w:val="both"/>
        <w:rPr>
          <w:rFonts w:ascii="Times New Roman" w:hAnsi="Times New Roman" w:cs="Times New Roman"/>
          <w:sz w:val="24"/>
          <w:szCs w:val="24"/>
        </w:rPr>
      </w:pPr>
      <w:r w:rsidRPr="00B75B83">
        <w:rPr>
          <w:rFonts w:ascii="Times New Roman" w:hAnsi="Times New Roman" w:cs="Times New Roman"/>
          <w:sz w:val="24"/>
          <w:szCs w:val="24"/>
        </w:rPr>
        <w:t>na koncentrację funduszu udziałowego,</w:t>
      </w:r>
    </w:p>
    <w:p w14:paraId="1BCB6ABF" w14:textId="77777777" w:rsidR="006E7B14" w:rsidRPr="00B75B83" w:rsidRDefault="00FC41F9" w:rsidP="00993749">
      <w:pPr>
        <w:numPr>
          <w:ilvl w:val="0"/>
          <w:numId w:val="13"/>
        </w:numPr>
        <w:tabs>
          <w:tab w:val="left" w:pos="750"/>
          <w:tab w:val="left" w:pos="2160"/>
        </w:tabs>
        <w:suppressAutoHyphens/>
        <w:autoSpaceDE w:val="0"/>
        <w:spacing w:after="0" w:line="264" w:lineRule="auto"/>
        <w:jc w:val="both"/>
        <w:rPr>
          <w:rFonts w:ascii="Times New Roman" w:hAnsi="Times New Roman" w:cs="Times New Roman"/>
          <w:sz w:val="24"/>
          <w:szCs w:val="24"/>
        </w:rPr>
      </w:pPr>
      <w:r w:rsidRPr="00B75B83">
        <w:rPr>
          <w:rFonts w:ascii="Times New Roman" w:hAnsi="Times New Roman" w:cs="Times New Roman"/>
          <w:sz w:val="24"/>
          <w:szCs w:val="24"/>
        </w:rPr>
        <w:t xml:space="preserve">na koncentrację „dużych” pakietów udziałów </w:t>
      </w:r>
    </w:p>
    <w:p w14:paraId="65CAE39F" w14:textId="77777777" w:rsidR="006E7B14" w:rsidRPr="000E3272" w:rsidRDefault="006E7B14" w:rsidP="00174CA0">
      <w:pPr>
        <w:tabs>
          <w:tab w:val="left" w:pos="2160"/>
        </w:tabs>
        <w:suppressAutoHyphens/>
        <w:autoSpaceDE w:val="0"/>
        <w:spacing w:after="0" w:line="264" w:lineRule="auto"/>
        <w:ind w:left="360"/>
        <w:jc w:val="both"/>
        <w:rPr>
          <w:rFonts w:ascii="Times New Roman" w:hAnsi="Times New Roman" w:cs="Times New Roman"/>
          <w:color w:val="FF0000"/>
          <w:sz w:val="24"/>
          <w:szCs w:val="24"/>
        </w:rPr>
      </w:pPr>
    </w:p>
    <w:p w14:paraId="338B45FB" w14:textId="77777777" w:rsidR="00EC0B06" w:rsidRPr="00AD0B72" w:rsidRDefault="001B1509" w:rsidP="00EC0B06">
      <w:pPr>
        <w:tabs>
          <w:tab w:val="left" w:pos="2160"/>
        </w:tabs>
        <w:suppressAutoHyphens/>
        <w:autoSpaceDE w:val="0"/>
        <w:spacing w:after="0" w:line="264" w:lineRule="auto"/>
        <w:ind w:firstLine="567"/>
        <w:jc w:val="both"/>
        <w:rPr>
          <w:rFonts w:ascii="Times New Roman" w:hAnsi="Times New Roman" w:cs="Times New Roman"/>
          <w:sz w:val="24"/>
          <w:szCs w:val="24"/>
        </w:rPr>
      </w:pPr>
      <w:r w:rsidRPr="00AD0B72">
        <w:rPr>
          <w:rFonts w:ascii="Times New Roman" w:hAnsi="Times New Roman" w:cs="Times New Roman"/>
          <w:sz w:val="24"/>
          <w:szCs w:val="24"/>
        </w:rPr>
        <w:t>Według danych na 31.12.20</w:t>
      </w:r>
      <w:r w:rsidR="00AD0B72" w:rsidRPr="00AD0B72">
        <w:rPr>
          <w:rFonts w:ascii="Times New Roman" w:hAnsi="Times New Roman" w:cs="Times New Roman"/>
          <w:sz w:val="24"/>
          <w:szCs w:val="24"/>
        </w:rPr>
        <w:t>20</w:t>
      </w:r>
      <w:r w:rsidR="00DB334B" w:rsidRPr="00AD0B72">
        <w:rPr>
          <w:rFonts w:ascii="Times New Roman" w:hAnsi="Times New Roman" w:cs="Times New Roman"/>
          <w:sz w:val="24"/>
          <w:szCs w:val="24"/>
        </w:rPr>
        <w:t xml:space="preserve"> </w:t>
      </w:r>
      <w:r w:rsidR="00EC0B06" w:rsidRPr="00AD0B72">
        <w:rPr>
          <w:rFonts w:ascii="Times New Roman" w:hAnsi="Times New Roman" w:cs="Times New Roman"/>
          <w:sz w:val="24"/>
          <w:szCs w:val="24"/>
        </w:rPr>
        <w:t>r. wskaźnik udziału funduszu udziałowego w</w:t>
      </w:r>
      <w:r w:rsidR="000C0448" w:rsidRPr="00AD0B72">
        <w:rPr>
          <w:rFonts w:ascii="Times New Roman" w:hAnsi="Times New Roman" w:cs="Times New Roman"/>
          <w:sz w:val="24"/>
          <w:szCs w:val="24"/>
        </w:rPr>
        <w:t xml:space="preserve"> kapitale własnym wynosi</w:t>
      </w:r>
      <w:r w:rsidR="00C72A7F" w:rsidRPr="00AD0B72">
        <w:rPr>
          <w:rFonts w:ascii="Times New Roman" w:hAnsi="Times New Roman" w:cs="Times New Roman"/>
          <w:sz w:val="24"/>
          <w:szCs w:val="24"/>
        </w:rPr>
        <w:t>ł</w:t>
      </w:r>
      <w:r w:rsidR="000C0448" w:rsidRPr="00AD0B72">
        <w:rPr>
          <w:rFonts w:ascii="Times New Roman" w:hAnsi="Times New Roman" w:cs="Times New Roman"/>
          <w:sz w:val="24"/>
          <w:szCs w:val="24"/>
        </w:rPr>
        <w:t xml:space="preserve"> 0,</w:t>
      </w:r>
      <w:r w:rsidRPr="00AD0B72">
        <w:rPr>
          <w:rFonts w:ascii="Times New Roman" w:hAnsi="Times New Roman" w:cs="Times New Roman"/>
          <w:sz w:val="24"/>
          <w:szCs w:val="24"/>
        </w:rPr>
        <w:t>2</w:t>
      </w:r>
      <w:r w:rsidR="00AD0B72" w:rsidRPr="00AD0B72">
        <w:rPr>
          <w:rFonts w:ascii="Times New Roman" w:hAnsi="Times New Roman" w:cs="Times New Roman"/>
          <w:sz w:val="24"/>
          <w:szCs w:val="24"/>
        </w:rPr>
        <w:t>6</w:t>
      </w:r>
      <w:r w:rsidR="0053317F" w:rsidRPr="00AD0B72">
        <w:rPr>
          <w:rFonts w:ascii="Times New Roman" w:hAnsi="Times New Roman" w:cs="Times New Roman"/>
          <w:sz w:val="24"/>
          <w:szCs w:val="24"/>
        </w:rPr>
        <w:t xml:space="preserve">% </w:t>
      </w:r>
      <w:r w:rsidR="00EC0B06" w:rsidRPr="00AD0B72">
        <w:rPr>
          <w:rFonts w:ascii="Times New Roman" w:hAnsi="Times New Roman" w:cs="Times New Roman"/>
          <w:sz w:val="24"/>
          <w:szCs w:val="24"/>
        </w:rPr>
        <w:t xml:space="preserve">(limit </w:t>
      </w:r>
      <w:r w:rsidR="0053317F" w:rsidRPr="00AD0B72">
        <w:rPr>
          <w:rFonts w:ascii="Times New Roman" w:hAnsi="Times New Roman" w:cs="Times New Roman"/>
          <w:sz w:val="24"/>
          <w:szCs w:val="24"/>
        </w:rPr>
        <w:t>0,5</w:t>
      </w:r>
      <w:r w:rsidR="000227CD">
        <w:rPr>
          <w:rFonts w:ascii="Times New Roman" w:hAnsi="Times New Roman" w:cs="Times New Roman"/>
          <w:sz w:val="24"/>
          <w:szCs w:val="24"/>
        </w:rPr>
        <w:t>%), Bank posiadał „duże”</w:t>
      </w:r>
      <w:r w:rsidR="00EC0B06" w:rsidRPr="00AD0B72">
        <w:rPr>
          <w:rFonts w:ascii="Times New Roman" w:hAnsi="Times New Roman" w:cs="Times New Roman"/>
          <w:sz w:val="24"/>
          <w:szCs w:val="24"/>
        </w:rPr>
        <w:t xml:space="preserve"> pakiet</w:t>
      </w:r>
      <w:r w:rsidR="000227CD">
        <w:rPr>
          <w:rFonts w:ascii="Times New Roman" w:hAnsi="Times New Roman" w:cs="Times New Roman"/>
          <w:sz w:val="24"/>
          <w:szCs w:val="24"/>
        </w:rPr>
        <w:t>y</w:t>
      </w:r>
      <w:r w:rsidR="00EC0B06" w:rsidRPr="00AD0B72">
        <w:rPr>
          <w:rFonts w:ascii="Times New Roman" w:hAnsi="Times New Roman" w:cs="Times New Roman"/>
          <w:sz w:val="24"/>
          <w:szCs w:val="24"/>
        </w:rPr>
        <w:t xml:space="preserve"> udziałów</w:t>
      </w:r>
      <w:r w:rsidR="000227CD">
        <w:rPr>
          <w:rFonts w:ascii="Times New Roman" w:hAnsi="Times New Roman" w:cs="Times New Roman"/>
          <w:sz w:val="24"/>
          <w:szCs w:val="24"/>
        </w:rPr>
        <w:t xml:space="preserve">, które stanowiły </w:t>
      </w:r>
      <w:r w:rsidR="00FC0D83">
        <w:rPr>
          <w:rFonts w:ascii="Times New Roman" w:hAnsi="Times New Roman" w:cs="Times New Roman"/>
          <w:sz w:val="24"/>
          <w:szCs w:val="24"/>
        </w:rPr>
        <w:t>14,46</w:t>
      </w:r>
      <w:r w:rsidR="000227CD">
        <w:rPr>
          <w:rFonts w:ascii="Times New Roman" w:hAnsi="Times New Roman" w:cs="Times New Roman"/>
          <w:sz w:val="24"/>
          <w:szCs w:val="24"/>
        </w:rPr>
        <w:t>% funduszu udziałowego przy ustalonym limicie 30%</w:t>
      </w:r>
      <w:r w:rsidR="00EC0B06" w:rsidRPr="00AD0B72">
        <w:rPr>
          <w:rFonts w:ascii="Times New Roman" w:hAnsi="Times New Roman" w:cs="Times New Roman"/>
          <w:sz w:val="24"/>
          <w:szCs w:val="24"/>
        </w:rPr>
        <w:t xml:space="preserve">, łączny współczynnik kapitałowy wyniósł </w:t>
      </w:r>
      <w:r w:rsidR="000C0448" w:rsidRPr="00AD0B72">
        <w:rPr>
          <w:rFonts w:ascii="Times New Roman" w:hAnsi="Times New Roman" w:cs="Times New Roman"/>
          <w:sz w:val="24"/>
          <w:szCs w:val="24"/>
        </w:rPr>
        <w:t>22,</w:t>
      </w:r>
      <w:r w:rsidR="00AD0B72" w:rsidRPr="00AD0B72">
        <w:rPr>
          <w:rFonts w:ascii="Times New Roman" w:hAnsi="Times New Roman" w:cs="Times New Roman"/>
          <w:sz w:val="24"/>
          <w:szCs w:val="24"/>
        </w:rPr>
        <w:t>80</w:t>
      </w:r>
      <w:r w:rsidR="00EC0B06" w:rsidRPr="00AD0B72">
        <w:rPr>
          <w:rFonts w:ascii="Times New Roman" w:hAnsi="Times New Roman" w:cs="Times New Roman"/>
          <w:sz w:val="24"/>
          <w:szCs w:val="24"/>
        </w:rPr>
        <w:t>% (limit 16,5%)</w:t>
      </w:r>
      <w:r w:rsidR="00DB334B" w:rsidRPr="00AD0B72">
        <w:rPr>
          <w:rFonts w:ascii="Times New Roman" w:hAnsi="Times New Roman" w:cs="Times New Roman"/>
          <w:sz w:val="24"/>
          <w:szCs w:val="24"/>
        </w:rPr>
        <w:t xml:space="preserve">, </w:t>
      </w:r>
      <w:r w:rsidR="00EC0B06" w:rsidRPr="00AD0B72">
        <w:rPr>
          <w:rFonts w:ascii="Times New Roman" w:hAnsi="Times New Roman" w:cs="Times New Roman"/>
          <w:sz w:val="24"/>
          <w:szCs w:val="24"/>
        </w:rPr>
        <w:t xml:space="preserve">a współczynnik kapitału Tier I </w:t>
      </w:r>
      <w:r w:rsidR="00AD0B72" w:rsidRPr="00AD0B72">
        <w:rPr>
          <w:rFonts w:ascii="Times New Roman" w:hAnsi="Times New Roman" w:cs="Times New Roman"/>
          <w:sz w:val="24"/>
          <w:szCs w:val="24"/>
        </w:rPr>
        <w:t>21,67</w:t>
      </w:r>
      <w:r w:rsidR="00EC0B06" w:rsidRPr="00AD0B72">
        <w:rPr>
          <w:rFonts w:ascii="Times New Roman" w:hAnsi="Times New Roman" w:cs="Times New Roman"/>
          <w:sz w:val="24"/>
          <w:szCs w:val="24"/>
        </w:rPr>
        <w:t>% (limit 15,5%)</w:t>
      </w:r>
      <w:r w:rsidR="00DB334B" w:rsidRPr="00AD0B72">
        <w:rPr>
          <w:rFonts w:ascii="Times New Roman" w:hAnsi="Times New Roman" w:cs="Times New Roman"/>
          <w:sz w:val="24"/>
          <w:szCs w:val="24"/>
        </w:rPr>
        <w:t>.</w:t>
      </w:r>
    </w:p>
    <w:p w14:paraId="0108900B" w14:textId="77777777" w:rsidR="006C34F1" w:rsidRPr="00AD0B72" w:rsidRDefault="00EC0B06" w:rsidP="00174CA0">
      <w:pPr>
        <w:tabs>
          <w:tab w:val="left" w:pos="750"/>
          <w:tab w:val="left" w:pos="2160"/>
        </w:tabs>
        <w:suppressAutoHyphens/>
        <w:autoSpaceDE w:val="0"/>
        <w:spacing w:after="0" w:line="264" w:lineRule="auto"/>
        <w:jc w:val="both"/>
        <w:rPr>
          <w:rFonts w:ascii="Times New Roman" w:hAnsi="Times New Roman" w:cs="Times New Roman"/>
          <w:sz w:val="24"/>
          <w:szCs w:val="24"/>
        </w:rPr>
      </w:pPr>
      <w:r w:rsidRPr="00AD0B72">
        <w:rPr>
          <w:rFonts w:ascii="Times New Roman" w:hAnsi="Times New Roman" w:cs="Times New Roman"/>
          <w:sz w:val="24"/>
          <w:szCs w:val="24"/>
        </w:rPr>
        <w:tab/>
      </w:r>
      <w:r w:rsidR="00C72A7F" w:rsidRPr="00AD0B72">
        <w:rPr>
          <w:rFonts w:ascii="Times New Roman" w:hAnsi="Times New Roman" w:cs="Times New Roman"/>
          <w:sz w:val="24"/>
          <w:szCs w:val="24"/>
        </w:rPr>
        <w:t>Na dzień 31.12.20</w:t>
      </w:r>
      <w:r w:rsidR="00AD0B72" w:rsidRPr="00AD0B72">
        <w:rPr>
          <w:rFonts w:ascii="Times New Roman" w:hAnsi="Times New Roman" w:cs="Times New Roman"/>
          <w:sz w:val="24"/>
          <w:szCs w:val="24"/>
        </w:rPr>
        <w:t>20</w:t>
      </w:r>
      <w:r w:rsidR="006C34F1" w:rsidRPr="00AD0B72">
        <w:rPr>
          <w:rFonts w:ascii="Times New Roman" w:hAnsi="Times New Roman" w:cs="Times New Roman"/>
          <w:sz w:val="24"/>
          <w:szCs w:val="24"/>
        </w:rPr>
        <w:t xml:space="preserve"> r. </w:t>
      </w:r>
      <w:r w:rsidR="00C72A7F" w:rsidRPr="00AD0B72">
        <w:rPr>
          <w:rFonts w:ascii="Times New Roman" w:hAnsi="Times New Roman" w:cs="Times New Roman"/>
          <w:sz w:val="24"/>
          <w:szCs w:val="24"/>
        </w:rPr>
        <w:t xml:space="preserve">nie wyznaczono </w:t>
      </w:r>
      <w:r w:rsidR="006C34F1" w:rsidRPr="00AD0B72">
        <w:rPr>
          <w:rFonts w:ascii="Times New Roman" w:hAnsi="Times New Roman" w:cs="Times New Roman"/>
          <w:sz w:val="24"/>
          <w:szCs w:val="24"/>
        </w:rPr>
        <w:t>kapitał</w:t>
      </w:r>
      <w:r w:rsidR="00C72A7F" w:rsidRPr="00AD0B72">
        <w:rPr>
          <w:rFonts w:ascii="Times New Roman" w:hAnsi="Times New Roman" w:cs="Times New Roman"/>
          <w:sz w:val="24"/>
          <w:szCs w:val="24"/>
        </w:rPr>
        <w:t>u wewnętrznego</w:t>
      </w:r>
      <w:r w:rsidR="006C34F1" w:rsidRPr="00AD0B72">
        <w:rPr>
          <w:rFonts w:ascii="Times New Roman" w:hAnsi="Times New Roman" w:cs="Times New Roman"/>
          <w:sz w:val="24"/>
          <w:szCs w:val="24"/>
        </w:rPr>
        <w:t xml:space="preserve"> na ryzyko kap</w:t>
      </w:r>
      <w:r w:rsidR="00FC41F9" w:rsidRPr="00AD0B72">
        <w:rPr>
          <w:rFonts w:ascii="Times New Roman" w:hAnsi="Times New Roman" w:cs="Times New Roman"/>
          <w:sz w:val="24"/>
          <w:szCs w:val="24"/>
        </w:rPr>
        <w:t>itałowe</w:t>
      </w:r>
      <w:r w:rsidR="00C72A7F" w:rsidRPr="00AD0B72">
        <w:rPr>
          <w:rFonts w:ascii="Times New Roman" w:hAnsi="Times New Roman" w:cs="Times New Roman"/>
          <w:sz w:val="24"/>
          <w:szCs w:val="24"/>
        </w:rPr>
        <w:t>.</w:t>
      </w:r>
      <w:r w:rsidR="00FC41F9" w:rsidRPr="00AD0B72">
        <w:rPr>
          <w:rFonts w:ascii="Times New Roman" w:hAnsi="Times New Roman" w:cs="Times New Roman"/>
          <w:sz w:val="24"/>
          <w:szCs w:val="24"/>
        </w:rPr>
        <w:t xml:space="preserve"> </w:t>
      </w:r>
    </w:p>
    <w:p w14:paraId="408AB204" w14:textId="77777777" w:rsidR="00FC41F9" w:rsidRPr="00AD0B72" w:rsidRDefault="00FC41F9" w:rsidP="00174CA0">
      <w:pPr>
        <w:spacing w:after="0" w:line="264" w:lineRule="auto"/>
        <w:rPr>
          <w:rFonts w:ascii="Times New Roman" w:hAnsi="Times New Roman" w:cs="Times New Roman"/>
          <w:sz w:val="24"/>
          <w:szCs w:val="24"/>
        </w:rPr>
      </w:pPr>
    </w:p>
    <w:p w14:paraId="23DC09E4" w14:textId="77777777" w:rsidR="006C34F1" w:rsidRPr="00AD0B72" w:rsidRDefault="006C34F1" w:rsidP="007B36B8">
      <w:pPr>
        <w:pStyle w:val="Nagwek1"/>
        <w:numPr>
          <w:ilvl w:val="2"/>
          <w:numId w:val="28"/>
        </w:numPr>
        <w:ind w:left="567" w:hanging="567"/>
        <w:rPr>
          <w:rFonts w:ascii="Times New Roman" w:hAnsi="Times New Roman" w:cs="Times New Roman"/>
          <w:b/>
          <w:color w:val="auto"/>
          <w:sz w:val="24"/>
          <w:szCs w:val="24"/>
        </w:rPr>
      </w:pPr>
      <w:bookmarkStart w:id="46" w:name="_Toc44930289"/>
      <w:r w:rsidRPr="00AD0B72">
        <w:rPr>
          <w:rFonts w:ascii="Times New Roman" w:hAnsi="Times New Roman" w:cs="Times New Roman"/>
          <w:b/>
          <w:color w:val="auto"/>
          <w:sz w:val="24"/>
          <w:szCs w:val="24"/>
        </w:rPr>
        <w:lastRenderedPageBreak/>
        <w:t xml:space="preserve">KAPITAŁ WEWNĘTRZNY NA RYZYKO </w:t>
      </w:r>
      <w:r w:rsidR="006E7B14" w:rsidRPr="00AD0B72">
        <w:rPr>
          <w:rFonts w:ascii="Times New Roman" w:hAnsi="Times New Roman" w:cs="Times New Roman"/>
          <w:b/>
          <w:color w:val="auto"/>
          <w:sz w:val="24"/>
          <w:szCs w:val="24"/>
        </w:rPr>
        <w:t>STRATEGICZNE</w:t>
      </w:r>
      <w:bookmarkEnd w:id="46"/>
      <w:r w:rsidR="006E7B14" w:rsidRPr="00AD0B72">
        <w:rPr>
          <w:rFonts w:ascii="Times New Roman" w:hAnsi="Times New Roman" w:cs="Times New Roman"/>
          <w:b/>
          <w:color w:val="auto"/>
          <w:sz w:val="24"/>
          <w:szCs w:val="24"/>
        </w:rPr>
        <w:t xml:space="preserve"> </w:t>
      </w:r>
    </w:p>
    <w:p w14:paraId="4B7424E1" w14:textId="77777777" w:rsidR="006E7B14" w:rsidRPr="00AD0B72" w:rsidRDefault="006E7B14" w:rsidP="00174CA0">
      <w:pPr>
        <w:spacing w:after="0" w:line="264" w:lineRule="auto"/>
        <w:rPr>
          <w:rFonts w:ascii="Times New Roman" w:hAnsi="Times New Roman" w:cs="Times New Roman"/>
          <w:sz w:val="24"/>
          <w:szCs w:val="24"/>
        </w:rPr>
      </w:pPr>
    </w:p>
    <w:p w14:paraId="41B7964B" w14:textId="77777777" w:rsidR="00C72A7F" w:rsidRPr="00AD0B72" w:rsidRDefault="00C72A7F" w:rsidP="00C72A7F">
      <w:pPr>
        <w:pStyle w:val="Tekstkomentarza"/>
        <w:spacing w:before="120" w:line="240" w:lineRule="auto"/>
        <w:ind w:left="426"/>
        <w:rPr>
          <w:snapToGrid/>
          <w:szCs w:val="24"/>
        </w:rPr>
      </w:pPr>
      <w:r w:rsidRPr="00AD0B72">
        <w:rPr>
          <w:snapToGrid/>
          <w:szCs w:val="24"/>
        </w:rPr>
        <w:t xml:space="preserve">Przy badaniu istotności ryzyka strategicznego, Bank przeprowadza ocenę skali i specyfiki prowadzonej działalności bankowej w okresie poprzedniego </w:t>
      </w:r>
      <w:r w:rsidRPr="00AD0B72">
        <w:rPr>
          <w:snapToGrid/>
          <w:szCs w:val="24"/>
          <w:lang w:val="pl-PL"/>
        </w:rPr>
        <w:t>roku</w:t>
      </w:r>
      <w:r w:rsidRPr="00AD0B72">
        <w:rPr>
          <w:snapToGrid/>
          <w:szCs w:val="24"/>
        </w:rPr>
        <w:t xml:space="preserve"> i planowanych w tym zakresie zmian na okres realizacji strategii, poprzez udzielenie odpowiedzi na poniższe pytania:</w:t>
      </w:r>
    </w:p>
    <w:p w14:paraId="3B0D8AD2" w14:textId="77777777" w:rsidR="00C72A7F" w:rsidRPr="00AD0B72" w:rsidRDefault="00C72A7F" w:rsidP="00C72A7F">
      <w:pPr>
        <w:pStyle w:val="Tekstkomentarza"/>
        <w:spacing w:before="120" w:line="240" w:lineRule="auto"/>
        <w:ind w:left="426"/>
        <w:rPr>
          <w:snapToGrid/>
          <w:szCs w:val="24"/>
        </w:rPr>
      </w:pPr>
      <w:r w:rsidRPr="00AD0B72">
        <w:rPr>
          <w:snapToGrid/>
          <w:szCs w:val="24"/>
        </w:rPr>
        <w:t>1)</w:t>
      </w:r>
      <w:r w:rsidRPr="00AD0B72">
        <w:rPr>
          <w:snapToGrid/>
          <w:szCs w:val="24"/>
        </w:rPr>
        <w:tab/>
        <w:t>Czy Bank prowadzi i zamierza prowadzić tylko tradycyjną działalność bankową?</w:t>
      </w:r>
    </w:p>
    <w:p w14:paraId="11937063" w14:textId="77777777" w:rsidR="00C72A7F" w:rsidRPr="00AD0B72" w:rsidRDefault="00C72A7F" w:rsidP="00C72A7F">
      <w:pPr>
        <w:pStyle w:val="Tekstkomentarza"/>
        <w:spacing w:before="120" w:line="240" w:lineRule="auto"/>
        <w:ind w:left="426"/>
        <w:rPr>
          <w:snapToGrid/>
          <w:szCs w:val="24"/>
        </w:rPr>
      </w:pPr>
      <w:r w:rsidRPr="00AD0B72">
        <w:rPr>
          <w:snapToGrid/>
          <w:szCs w:val="24"/>
        </w:rPr>
        <w:t>2)</w:t>
      </w:r>
      <w:r w:rsidRPr="00AD0B72">
        <w:rPr>
          <w:snapToGrid/>
          <w:szCs w:val="24"/>
        </w:rPr>
        <w:tab/>
        <w:t>Czy Bank nie angażował się lub nie zamierza angażować się w instrumenty finansowe o podwyższonym ryzyku (instrumenty pochodne, derywaty kredytowe, akcje, jednostki uczestnictwa w funduszach inwestycyjnych etc.) w skali powyżej 5% sumy bilansowej?</w:t>
      </w:r>
    </w:p>
    <w:p w14:paraId="604B2E20" w14:textId="77777777" w:rsidR="00C72A7F" w:rsidRPr="00AD0B72" w:rsidRDefault="00C72A7F" w:rsidP="00C72A7F">
      <w:pPr>
        <w:pStyle w:val="Tekstkomentarza"/>
        <w:spacing w:before="120" w:line="240" w:lineRule="auto"/>
        <w:ind w:left="426"/>
        <w:rPr>
          <w:snapToGrid/>
          <w:szCs w:val="24"/>
        </w:rPr>
      </w:pPr>
      <w:r w:rsidRPr="00AD0B72">
        <w:rPr>
          <w:snapToGrid/>
          <w:szCs w:val="24"/>
        </w:rPr>
        <w:t>3)</w:t>
      </w:r>
      <w:r w:rsidRPr="00AD0B72">
        <w:rPr>
          <w:snapToGrid/>
          <w:szCs w:val="24"/>
        </w:rPr>
        <w:tab/>
        <w:t>Czy Bank realizuje zatwierdzoną przez Radę Nadzorczą wieloletnią strategię zarządzania Bankiem?</w:t>
      </w:r>
    </w:p>
    <w:p w14:paraId="3F356940" w14:textId="77777777" w:rsidR="00C72A7F" w:rsidRPr="00AD0B72" w:rsidRDefault="00C72A7F" w:rsidP="00C72A7F">
      <w:pPr>
        <w:pStyle w:val="Tekstkomentarza"/>
        <w:spacing w:before="120" w:line="240" w:lineRule="auto"/>
        <w:ind w:left="426"/>
        <w:rPr>
          <w:snapToGrid/>
          <w:szCs w:val="24"/>
          <w:lang w:val="pl-PL"/>
        </w:rPr>
      </w:pPr>
      <w:r w:rsidRPr="00AD0B72">
        <w:rPr>
          <w:snapToGrid/>
          <w:szCs w:val="24"/>
          <w:lang w:val="pl-PL"/>
        </w:rPr>
        <w:t>4) Czy Bank przestrzega limitów strategicznych zatwierdzonych przez Radę Nadzorczą?</w:t>
      </w:r>
    </w:p>
    <w:p w14:paraId="7F139E1A" w14:textId="77777777" w:rsidR="00C72A7F" w:rsidRPr="00AD0B72" w:rsidRDefault="00C72A7F" w:rsidP="00C72A7F">
      <w:pPr>
        <w:pStyle w:val="Tekstkomentarza"/>
        <w:spacing w:before="120" w:line="240" w:lineRule="auto"/>
        <w:ind w:left="426"/>
        <w:rPr>
          <w:snapToGrid/>
          <w:szCs w:val="24"/>
          <w:lang w:val="pl-PL"/>
        </w:rPr>
      </w:pPr>
      <w:r w:rsidRPr="00AD0B72">
        <w:rPr>
          <w:snapToGrid/>
          <w:szCs w:val="24"/>
        </w:rPr>
        <w:t xml:space="preserve">5) Czy </w:t>
      </w:r>
      <w:r w:rsidRPr="00AD0B72">
        <w:rPr>
          <w:snapToGrid/>
          <w:szCs w:val="24"/>
          <w:lang w:val="pl-PL"/>
        </w:rPr>
        <w:t>Bank realizuje założenia wynikające z rocznego planu finansowego w zakresie:</w:t>
      </w:r>
    </w:p>
    <w:p w14:paraId="2EA55431" w14:textId="77777777" w:rsidR="00C72A7F" w:rsidRPr="00AD0B72" w:rsidRDefault="00C72A7F" w:rsidP="00C72A7F">
      <w:pPr>
        <w:pStyle w:val="Tekstkomentarza"/>
        <w:spacing w:before="120" w:line="240" w:lineRule="auto"/>
        <w:ind w:left="709"/>
        <w:rPr>
          <w:snapToGrid/>
          <w:szCs w:val="24"/>
          <w:lang w:val="pl-PL"/>
        </w:rPr>
      </w:pPr>
      <w:r w:rsidRPr="00AD0B72">
        <w:rPr>
          <w:snapToGrid/>
          <w:szCs w:val="24"/>
          <w:lang w:val="pl-PL"/>
        </w:rPr>
        <w:t>a) sumy bilansowej (jeżeli wielkość sumy bilansowej na dzień analizy wynosi co najmniej 90% wartości planowanej uważa się, że założenia zostały zrealizowane i Bank udziela odpowiedzi pozytywnej „TAK”),</w:t>
      </w:r>
    </w:p>
    <w:p w14:paraId="179BA250" w14:textId="77777777" w:rsidR="00C72A7F" w:rsidRPr="00AD0B72" w:rsidRDefault="00C72A7F" w:rsidP="00C72A7F">
      <w:pPr>
        <w:pStyle w:val="Tekstkomentarza"/>
        <w:spacing w:before="120" w:line="240" w:lineRule="auto"/>
        <w:ind w:left="709"/>
        <w:rPr>
          <w:snapToGrid/>
          <w:szCs w:val="24"/>
          <w:lang w:val="pl-PL"/>
        </w:rPr>
      </w:pPr>
      <w:r w:rsidRPr="00AD0B72">
        <w:rPr>
          <w:snapToGrid/>
          <w:szCs w:val="24"/>
          <w:lang w:val="pl-PL"/>
        </w:rPr>
        <w:t>b) należności ogółem od pomiotów niefinansowych i jednostek budżetowych (jeżeli wielkość należności na dzień analizy wynosi co najmniej 90% wartości planowanej uważa się, że założenia zostały zrealizowane i Bank udziela odpowiedzi pozytywnej „TAK”),</w:t>
      </w:r>
    </w:p>
    <w:p w14:paraId="48AE879E" w14:textId="77777777" w:rsidR="00C72A7F" w:rsidRPr="00AD0B72" w:rsidRDefault="00C72A7F" w:rsidP="00C72A7F">
      <w:pPr>
        <w:pStyle w:val="Tekstkomentarza"/>
        <w:spacing w:before="120" w:line="240" w:lineRule="auto"/>
        <w:ind w:left="709"/>
        <w:rPr>
          <w:snapToGrid/>
          <w:szCs w:val="24"/>
          <w:lang w:val="pl-PL"/>
        </w:rPr>
      </w:pPr>
      <w:r w:rsidRPr="00AD0B72">
        <w:rPr>
          <w:snapToGrid/>
          <w:szCs w:val="24"/>
          <w:lang w:val="pl-PL"/>
        </w:rPr>
        <w:t>c) zobowiązań ogółem od pomiotów niefinansowych i jednostek budżetowych (jeżeli wielkość zobowiązań na dzień analizy wynosi co najmniej 90% wartości planowanej uważa się, że założenia zostały zrealizowane i Bank udziela odpowiedzi pozytywnej „TAK”).</w:t>
      </w:r>
    </w:p>
    <w:p w14:paraId="6A9586D9" w14:textId="77777777" w:rsidR="00C72A7F" w:rsidRPr="00AD0B72" w:rsidRDefault="00C72A7F" w:rsidP="00C72A7F">
      <w:pPr>
        <w:pStyle w:val="Tekstkomentarza"/>
        <w:spacing w:before="120" w:line="240" w:lineRule="auto"/>
        <w:rPr>
          <w:snapToGrid/>
          <w:szCs w:val="24"/>
        </w:rPr>
      </w:pPr>
      <w:r w:rsidRPr="00AD0B72">
        <w:rPr>
          <w:snapToGrid/>
          <w:szCs w:val="24"/>
        </w:rPr>
        <w:t>Jeżeli na wszystkie pytania Bank udzielił odpowiedzi pozytywnej „TAK”, uznaje się, że ryzyko strategiczne nie jest ryzykiem istotnym w warunkach funkcjonowania Banku.</w:t>
      </w:r>
    </w:p>
    <w:p w14:paraId="0563137E" w14:textId="77777777" w:rsidR="00C72A7F" w:rsidRPr="00AD0B72" w:rsidRDefault="00C72A7F" w:rsidP="00C72A7F">
      <w:pPr>
        <w:pStyle w:val="Tekstkomentarza"/>
        <w:spacing w:before="120" w:line="240" w:lineRule="auto"/>
        <w:rPr>
          <w:snapToGrid/>
          <w:szCs w:val="24"/>
        </w:rPr>
      </w:pPr>
      <w:r w:rsidRPr="00AD0B72">
        <w:rPr>
          <w:snapToGrid/>
          <w:szCs w:val="24"/>
        </w:rPr>
        <w:t>Bank uznaje, że ryzyko strategiczne jest ryzykiem istotnym i wyznacza wewnętrzny wymóg kapitałowy na pokrycie tego ryzyka, jeżeli na którekolwiek z powyższych pytań Bank udzielił odpowiedzi negatywnej „NIE</w:t>
      </w:r>
      <w:r w:rsidRPr="00AD0B72">
        <w:rPr>
          <w:snapToGrid/>
          <w:szCs w:val="24"/>
          <w:lang w:val="pl-PL"/>
        </w:rPr>
        <w:t>”</w:t>
      </w:r>
      <w:r w:rsidRPr="00AD0B72">
        <w:rPr>
          <w:snapToGrid/>
          <w:szCs w:val="24"/>
        </w:rPr>
        <w:t>.</w:t>
      </w:r>
    </w:p>
    <w:p w14:paraId="44EF8863" w14:textId="77777777" w:rsidR="00C72A7F" w:rsidRPr="00AD0B72" w:rsidRDefault="00C72A7F" w:rsidP="00C72A7F">
      <w:pPr>
        <w:pStyle w:val="Tekstkomentarza"/>
        <w:spacing w:before="120" w:after="0" w:line="240" w:lineRule="auto"/>
        <w:rPr>
          <w:snapToGrid/>
          <w:szCs w:val="24"/>
        </w:rPr>
      </w:pPr>
      <w:r w:rsidRPr="00AD0B72">
        <w:rPr>
          <w:snapToGrid/>
          <w:szCs w:val="24"/>
        </w:rPr>
        <w:t xml:space="preserve">Wewnętrzny wymóg kapitałowy z tytułu ryzyka strategicznego obliczany jest jako różnica (tylko o ile jest dodatnia) pomiędzy równowartością kwoty </w:t>
      </w:r>
      <w:r w:rsidRPr="00AD0B72">
        <w:rPr>
          <w:snapToGrid/>
          <w:szCs w:val="24"/>
          <w:lang w:val="pl-PL"/>
        </w:rPr>
        <w:t xml:space="preserve">19 </w:t>
      </w:r>
      <w:r w:rsidRPr="00AD0B72">
        <w:rPr>
          <w:snapToGrid/>
          <w:szCs w:val="24"/>
        </w:rPr>
        <w:t>000 000 euro  przeliczoną według kursu średniego NBP obowiązującego na datę analizy a kwotą faktycznie posiadanych, na dzień analizy, funduszy własnych.</w:t>
      </w:r>
    </w:p>
    <w:p w14:paraId="34501FF9" w14:textId="77777777" w:rsidR="00D12545" w:rsidRDefault="000C0448" w:rsidP="000C0448">
      <w:pPr>
        <w:spacing w:after="0" w:line="264" w:lineRule="auto"/>
        <w:jc w:val="both"/>
        <w:rPr>
          <w:rFonts w:ascii="Times New Roman" w:eastAsia="Times New Roman" w:hAnsi="Times New Roman" w:cs="Times New Roman"/>
          <w:sz w:val="24"/>
          <w:szCs w:val="24"/>
          <w:lang w:eastAsia="x-none"/>
        </w:rPr>
      </w:pPr>
      <w:r w:rsidRPr="00AD0B72">
        <w:rPr>
          <w:rFonts w:ascii="Times New Roman" w:eastAsia="Times New Roman" w:hAnsi="Times New Roman" w:cs="Times New Roman"/>
          <w:sz w:val="24"/>
          <w:szCs w:val="24"/>
          <w:lang w:eastAsia="x-none"/>
        </w:rPr>
        <w:t xml:space="preserve">Na dzień analizy Bank określił ryzyko strategiczne jako </w:t>
      </w:r>
      <w:r w:rsidR="00C72A7F" w:rsidRPr="00AD0B72">
        <w:rPr>
          <w:rFonts w:ascii="Times New Roman" w:eastAsia="Times New Roman" w:hAnsi="Times New Roman" w:cs="Times New Roman"/>
          <w:sz w:val="24"/>
          <w:szCs w:val="24"/>
          <w:lang w:eastAsia="x-none"/>
        </w:rPr>
        <w:t>nie</w:t>
      </w:r>
      <w:r w:rsidRPr="00AD0B72">
        <w:rPr>
          <w:rFonts w:ascii="Times New Roman" w:eastAsia="Times New Roman" w:hAnsi="Times New Roman" w:cs="Times New Roman"/>
          <w:sz w:val="24"/>
          <w:szCs w:val="24"/>
          <w:lang w:eastAsia="x-none"/>
        </w:rPr>
        <w:t>istotne i nie wyznaczył wymogu kapitałowego z tego tytułu</w:t>
      </w:r>
      <w:r w:rsidR="00C72A7F" w:rsidRPr="00AD0B72">
        <w:rPr>
          <w:rFonts w:ascii="Times New Roman" w:eastAsia="Times New Roman" w:hAnsi="Times New Roman" w:cs="Times New Roman"/>
          <w:sz w:val="24"/>
          <w:szCs w:val="24"/>
          <w:lang w:eastAsia="x-none"/>
        </w:rPr>
        <w:t>. Ponadto</w:t>
      </w:r>
      <w:r w:rsidRPr="00AD0B72">
        <w:rPr>
          <w:rFonts w:ascii="Times New Roman" w:eastAsia="Times New Roman" w:hAnsi="Times New Roman" w:cs="Times New Roman"/>
          <w:sz w:val="24"/>
          <w:szCs w:val="24"/>
          <w:lang w:eastAsia="x-none"/>
        </w:rPr>
        <w:t xml:space="preserve"> fundusze własne </w:t>
      </w:r>
      <w:r w:rsidR="00B95F7B" w:rsidRPr="00AD0B72">
        <w:rPr>
          <w:rFonts w:ascii="Times New Roman" w:eastAsia="Times New Roman" w:hAnsi="Times New Roman" w:cs="Times New Roman"/>
          <w:sz w:val="24"/>
          <w:szCs w:val="24"/>
          <w:lang w:eastAsia="x-none"/>
        </w:rPr>
        <w:t xml:space="preserve">na dzień analizy </w:t>
      </w:r>
      <w:r w:rsidRPr="00AD0B72">
        <w:rPr>
          <w:rFonts w:ascii="Times New Roman" w:eastAsia="Times New Roman" w:hAnsi="Times New Roman" w:cs="Times New Roman"/>
          <w:sz w:val="24"/>
          <w:szCs w:val="24"/>
          <w:lang w:eastAsia="x-none"/>
        </w:rPr>
        <w:t xml:space="preserve">w wysokości </w:t>
      </w:r>
      <w:r w:rsidR="00AD0B72">
        <w:rPr>
          <w:rFonts w:ascii="Times New Roman" w:eastAsia="Times New Roman" w:hAnsi="Times New Roman" w:cs="Times New Roman"/>
          <w:sz w:val="24"/>
          <w:szCs w:val="24"/>
          <w:lang w:eastAsia="x-none"/>
        </w:rPr>
        <w:t>94 424</w:t>
      </w:r>
      <w:r w:rsidRPr="00AD0B72">
        <w:rPr>
          <w:rFonts w:ascii="Times New Roman" w:eastAsia="Times New Roman" w:hAnsi="Times New Roman" w:cs="Times New Roman"/>
          <w:sz w:val="24"/>
          <w:szCs w:val="24"/>
          <w:lang w:eastAsia="x-none"/>
        </w:rPr>
        <w:t xml:space="preserve"> tys. zł znacznie przekraczają kwotę </w:t>
      </w:r>
      <w:r w:rsidR="00C72A7F" w:rsidRPr="00AD0B72">
        <w:rPr>
          <w:rFonts w:ascii="Times New Roman" w:eastAsia="Times New Roman" w:hAnsi="Times New Roman" w:cs="Times New Roman"/>
          <w:sz w:val="24"/>
          <w:szCs w:val="24"/>
          <w:lang w:eastAsia="x-none"/>
        </w:rPr>
        <w:t>19</w:t>
      </w:r>
      <w:r w:rsidRPr="00AD0B72">
        <w:rPr>
          <w:rFonts w:ascii="Times New Roman" w:eastAsia="Times New Roman" w:hAnsi="Times New Roman" w:cs="Times New Roman"/>
          <w:sz w:val="24"/>
          <w:szCs w:val="24"/>
          <w:lang w:eastAsia="x-none"/>
        </w:rPr>
        <w:t xml:space="preserve"> mln</w:t>
      </w:r>
      <w:r w:rsidR="00B95F7B" w:rsidRPr="00AD0B72">
        <w:rPr>
          <w:rFonts w:ascii="Times New Roman" w:eastAsia="Times New Roman" w:hAnsi="Times New Roman" w:cs="Times New Roman"/>
          <w:sz w:val="24"/>
          <w:szCs w:val="24"/>
          <w:lang w:eastAsia="x-none"/>
        </w:rPr>
        <w:t xml:space="preserve"> euro (równowartość </w:t>
      </w:r>
      <w:r w:rsidR="00C72A7F" w:rsidRPr="00AD0B72">
        <w:rPr>
          <w:rFonts w:ascii="Times New Roman" w:eastAsia="Times New Roman" w:hAnsi="Times New Roman" w:cs="Times New Roman"/>
          <w:sz w:val="24"/>
          <w:szCs w:val="24"/>
          <w:lang w:eastAsia="x-none"/>
        </w:rPr>
        <w:t xml:space="preserve">20 </w:t>
      </w:r>
      <w:r w:rsidR="00AD0B72">
        <w:rPr>
          <w:rFonts w:ascii="Times New Roman" w:eastAsia="Times New Roman" w:hAnsi="Times New Roman" w:cs="Times New Roman"/>
          <w:sz w:val="24"/>
          <w:szCs w:val="24"/>
          <w:lang w:eastAsia="x-none"/>
        </w:rPr>
        <w:t>461</w:t>
      </w:r>
      <w:r w:rsidR="00E96054" w:rsidRPr="00AD0B72">
        <w:rPr>
          <w:rFonts w:ascii="Times New Roman" w:eastAsia="Times New Roman" w:hAnsi="Times New Roman" w:cs="Times New Roman"/>
          <w:sz w:val="24"/>
          <w:szCs w:val="24"/>
          <w:lang w:eastAsia="x-none"/>
        </w:rPr>
        <w:t xml:space="preserve"> tys. euro</w:t>
      </w:r>
      <w:r w:rsidR="00B95F7B" w:rsidRPr="00AD0B72">
        <w:rPr>
          <w:rFonts w:ascii="Times New Roman" w:eastAsia="Times New Roman" w:hAnsi="Times New Roman" w:cs="Times New Roman"/>
          <w:sz w:val="24"/>
          <w:szCs w:val="24"/>
          <w:lang w:eastAsia="x-none"/>
        </w:rPr>
        <w:t>)</w:t>
      </w:r>
      <w:r w:rsidRPr="00AD0B72">
        <w:rPr>
          <w:rFonts w:ascii="Times New Roman" w:eastAsia="Times New Roman" w:hAnsi="Times New Roman" w:cs="Times New Roman"/>
          <w:sz w:val="24"/>
          <w:szCs w:val="24"/>
          <w:lang w:eastAsia="x-none"/>
        </w:rPr>
        <w:t>. Wobec powyższego nie zachodzi więc potrzeba wyznaczania wymogu kapitałowego w tyt. ryzyka strategicznego.</w:t>
      </w:r>
    </w:p>
    <w:p w14:paraId="00E75D6A" w14:textId="77777777" w:rsidR="003F7C3D" w:rsidRPr="00AD0B72" w:rsidRDefault="003F7C3D" w:rsidP="000C0448">
      <w:pPr>
        <w:spacing w:after="0" w:line="264" w:lineRule="auto"/>
        <w:jc w:val="both"/>
        <w:rPr>
          <w:rFonts w:ascii="Times New Roman" w:hAnsi="Times New Roman" w:cs="Times New Roman"/>
          <w:b/>
          <w:sz w:val="24"/>
          <w:szCs w:val="24"/>
        </w:rPr>
      </w:pPr>
    </w:p>
    <w:p w14:paraId="46F769B3" w14:textId="77777777" w:rsidR="00D12545" w:rsidRPr="007B314B" w:rsidRDefault="00D12545" w:rsidP="007B36B8">
      <w:pPr>
        <w:pStyle w:val="Nagwek1"/>
        <w:numPr>
          <w:ilvl w:val="2"/>
          <w:numId w:val="28"/>
        </w:numPr>
        <w:ind w:left="709" w:hanging="709"/>
        <w:rPr>
          <w:rFonts w:ascii="Times New Roman" w:hAnsi="Times New Roman" w:cs="Times New Roman"/>
          <w:b/>
          <w:color w:val="auto"/>
          <w:sz w:val="24"/>
          <w:szCs w:val="24"/>
        </w:rPr>
      </w:pPr>
      <w:bookmarkStart w:id="47" w:name="_Toc44930290"/>
      <w:r w:rsidRPr="007B314B">
        <w:rPr>
          <w:rFonts w:ascii="Times New Roman" w:hAnsi="Times New Roman" w:cs="Times New Roman"/>
          <w:b/>
          <w:color w:val="auto"/>
          <w:sz w:val="24"/>
          <w:szCs w:val="24"/>
        </w:rPr>
        <w:lastRenderedPageBreak/>
        <w:t>KAPITAŁ WEWNĘTRZNY NA RYZYKO UTRATY REPUTACJI</w:t>
      </w:r>
      <w:bookmarkEnd w:id="47"/>
      <w:r w:rsidRPr="007B314B">
        <w:rPr>
          <w:rFonts w:ascii="Times New Roman" w:hAnsi="Times New Roman" w:cs="Times New Roman"/>
          <w:b/>
          <w:color w:val="auto"/>
          <w:sz w:val="24"/>
          <w:szCs w:val="24"/>
        </w:rPr>
        <w:t xml:space="preserve">  </w:t>
      </w:r>
    </w:p>
    <w:p w14:paraId="1C9EC8BB" w14:textId="77777777" w:rsidR="00D12545" w:rsidRPr="007B314B" w:rsidRDefault="00D12545" w:rsidP="00174CA0">
      <w:pPr>
        <w:pStyle w:val="Tekstkomentarza"/>
        <w:spacing w:before="0" w:after="0" w:line="264" w:lineRule="auto"/>
        <w:rPr>
          <w:snapToGrid/>
          <w:szCs w:val="24"/>
          <w:lang w:val="pl-PL"/>
        </w:rPr>
      </w:pPr>
    </w:p>
    <w:p w14:paraId="12875E91" w14:textId="77777777" w:rsidR="00D12545" w:rsidRPr="007B314B" w:rsidRDefault="00EC0B06" w:rsidP="00174CA0">
      <w:pPr>
        <w:pStyle w:val="Tekstkomentarza"/>
        <w:tabs>
          <w:tab w:val="num" w:pos="900"/>
        </w:tabs>
        <w:spacing w:before="0" w:after="0" w:line="264" w:lineRule="auto"/>
        <w:rPr>
          <w:bCs/>
          <w:szCs w:val="24"/>
        </w:rPr>
      </w:pPr>
      <w:r w:rsidRPr="007B314B">
        <w:rPr>
          <w:bCs/>
          <w:szCs w:val="24"/>
        </w:rPr>
        <w:tab/>
      </w:r>
      <w:r w:rsidR="00D12545" w:rsidRPr="007B314B">
        <w:rPr>
          <w:bCs/>
          <w:szCs w:val="24"/>
        </w:rPr>
        <w:t>Przy badaniu istotności ryzyka utraty reputacji</w:t>
      </w:r>
      <w:r w:rsidR="00DB334B" w:rsidRPr="007B314B">
        <w:rPr>
          <w:bCs/>
          <w:szCs w:val="24"/>
          <w:lang w:val="pl-PL"/>
        </w:rPr>
        <w:t>,</w:t>
      </w:r>
      <w:r w:rsidR="00D12545" w:rsidRPr="007B314B">
        <w:rPr>
          <w:bCs/>
          <w:szCs w:val="24"/>
        </w:rPr>
        <w:t xml:space="preserve"> na potrzeby rachunku adekwatności kapitałowej</w:t>
      </w:r>
      <w:r w:rsidR="00DB334B" w:rsidRPr="007B314B">
        <w:rPr>
          <w:bCs/>
          <w:szCs w:val="24"/>
          <w:lang w:val="pl-PL"/>
        </w:rPr>
        <w:t>,</w:t>
      </w:r>
      <w:r w:rsidR="00D12545" w:rsidRPr="007B314B">
        <w:rPr>
          <w:bCs/>
          <w:szCs w:val="24"/>
        </w:rPr>
        <w:t xml:space="preserve"> Bank przeprowadza analizę zdarzeń przeszłych z okresu 12 miesięcy poprzedzających datę analizy, związanych z Bankiem oraz sektorem bankowym, poprzez udzielenie odpowiedzi na poniższe pytania:</w:t>
      </w:r>
    </w:p>
    <w:p w14:paraId="6E438FBA" w14:textId="77777777" w:rsidR="00D12545" w:rsidRPr="007B314B" w:rsidRDefault="00DB334B" w:rsidP="00B95F7B">
      <w:pPr>
        <w:pStyle w:val="Tekstkomentarza"/>
        <w:numPr>
          <w:ilvl w:val="0"/>
          <w:numId w:val="14"/>
        </w:numPr>
        <w:tabs>
          <w:tab w:val="clear" w:pos="750"/>
          <w:tab w:val="num" w:pos="1276"/>
        </w:tabs>
        <w:spacing w:before="0" w:after="0" w:line="264" w:lineRule="auto"/>
        <w:ind w:left="993" w:hanging="426"/>
        <w:rPr>
          <w:bCs/>
          <w:szCs w:val="24"/>
        </w:rPr>
      </w:pPr>
      <w:r w:rsidRPr="007B314B">
        <w:rPr>
          <w:bCs/>
          <w:szCs w:val="24"/>
          <w:lang w:val="pl-PL"/>
        </w:rPr>
        <w:t>C</w:t>
      </w:r>
      <w:r w:rsidR="00D12545" w:rsidRPr="007B314B">
        <w:rPr>
          <w:bCs/>
          <w:szCs w:val="24"/>
        </w:rPr>
        <w:t>zy występowały przypadki negatywnej kampanii medialnej (prasa, radio, telewizja, Internet)?</w:t>
      </w:r>
    </w:p>
    <w:p w14:paraId="30EDD579" w14:textId="77777777" w:rsidR="00D12545" w:rsidRPr="007B314B" w:rsidRDefault="00DB334B" w:rsidP="00B95F7B">
      <w:pPr>
        <w:pStyle w:val="Tekstkomentarza"/>
        <w:numPr>
          <w:ilvl w:val="0"/>
          <w:numId w:val="14"/>
        </w:numPr>
        <w:tabs>
          <w:tab w:val="clear" w:pos="750"/>
          <w:tab w:val="num" w:pos="1276"/>
        </w:tabs>
        <w:spacing w:before="0" w:after="0" w:line="264" w:lineRule="auto"/>
        <w:ind w:left="993" w:hanging="426"/>
        <w:rPr>
          <w:bCs/>
          <w:szCs w:val="24"/>
        </w:rPr>
      </w:pPr>
      <w:r w:rsidRPr="007B314B">
        <w:rPr>
          <w:bCs/>
          <w:szCs w:val="24"/>
          <w:lang w:val="pl-PL"/>
        </w:rPr>
        <w:t>C</w:t>
      </w:r>
      <w:r w:rsidR="00D12545" w:rsidRPr="007B314B">
        <w:rPr>
          <w:bCs/>
          <w:szCs w:val="24"/>
        </w:rPr>
        <w:t>zy w Banku występował istotny wzrost skarg i zażaleń klientów na jakość świadczonych usług?</w:t>
      </w:r>
    </w:p>
    <w:p w14:paraId="2F234306" w14:textId="77777777" w:rsidR="00D12545" w:rsidRPr="007B314B" w:rsidRDefault="00DB334B" w:rsidP="00B95F7B">
      <w:pPr>
        <w:pStyle w:val="Tekstkomentarza"/>
        <w:numPr>
          <w:ilvl w:val="0"/>
          <w:numId w:val="14"/>
        </w:numPr>
        <w:tabs>
          <w:tab w:val="clear" w:pos="750"/>
          <w:tab w:val="num" w:pos="1276"/>
        </w:tabs>
        <w:spacing w:before="0" w:after="0" w:line="264" w:lineRule="auto"/>
        <w:ind w:left="993" w:hanging="426"/>
        <w:rPr>
          <w:bCs/>
          <w:szCs w:val="24"/>
        </w:rPr>
      </w:pPr>
      <w:r w:rsidRPr="007B314B">
        <w:rPr>
          <w:bCs/>
          <w:szCs w:val="24"/>
          <w:lang w:val="pl-PL"/>
        </w:rPr>
        <w:t>C</w:t>
      </w:r>
      <w:r w:rsidR="00D12545" w:rsidRPr="007B314B">
        <w:rPr>
          <w:bCs/>
          <w:szCs w:val="24"/>
        </w:rPr>
        <w:t>zy działalność innego banku (szczególnie spółdzielczego) mogła wpłynąć negatywnie na postrzeganie naszego Banku na lokalnym rynku usług bankowych?</w:t>
      </w:r>
    </w:p>
    <w:p w14:paraId="76CEFC44" w14:textId="77777777" w:rsidR="00D12545" w:rsidRPr="007B314B" w:rsidRDefault="00DB334B" w:rsidP="00B95F7B">
      <w:pPr>
        <w:pStyle w:val="Tekstkomentarza"/>
        <w:numPr>
          <w:ilvl w:val="0"/>
          <w:numId w:val="14"/>
        </w:numPr>
        <w:tabs>
          <w:tab w:val="clear" w:pos="750"/>
          <w:tab w:val="num" w:pos="1276"/>
        </w:tabs>
        <w:spacing w:before="0" w:after="0" w:line="264" w:lineRule="auto"/>
        <w:ind w:left="993" w:hanging="426"/>
        <w:rPr>
          <w:bCs/>
          <w:szCs w:val="24"/>
        </w:rPr>
      </w:pPr>
      <w:r w:rsidRPr="007B314B">
        <w:rPr>
          <w:bCs/>
          <w:szCs w:val="24"/>
          <w:lang w:val="pl-PL"/>
        </w:rPr>
        <w:t>C</w:t>
      </w:r>
      <w:r w:rsidRPr="007B314B">
        <w:rPr>
          <w:bCs/>
          <w:szCs w:val="24"/>
        </w:rPr>
        <w:t>zy w Banku wystąpiły zdarzenia</w:t>
      </w:r>
      <w:r w:rsidR="00D12545" w:rsidRPr="007B314B">
        <w:rPr>
          <w:bCs/>
          <w:szCs w:val="24"/>
        </w:rPr>
        <w:t xml:space="preserve"> mogące wpłynąć na negatywne postrzeganie jego wizerunku przez klientów?</w:t>
      </w:r>
    </w:p>
    <w:p w14:paraId="7DB0BAA7" w14:textId="77777777" w:rsidR="00D12545" w:rsidRPr="007B314B" w:rsidRDefault="00DB334B" w:rsidP="00B95F7B">
      <w:pPr>
        <w:pStyle w:val="Tekstkomentarza"/>
        <w:numPr>
          <w:ilvl w:val="0"/>
          <w:numId w:val="14"/>
        </w:numPr>
        <w:tabs>
          <w:tab w:val="clear" w:pos="750"/>
          <w:tab w:val="num" w:pos="1276"/>
        </w:tabs>
        <w:spacing w:before="0" w:after="0" w:line="264" w:lineRule="auto"/>
        <w:ind w:left="993" w:hanging="426"/>
        <w:rPr>
          <w:bCs/>
          <w:szCs w:val="24"/>
        </w:rPr>
      </w:pPr>
      <w:r w:rsidRPr="007B314B">
        <w:rPr>
          <w:bCs/>
          <w:szCs w:val="24"/>
          <w:lang w:val="pl-PL"/>
        </w:rPr>
        <w:t>C</w:t>
      </w:r>
      <w:r w:rsidR="00D12545" w:rsidRPr="007B314B">
        <w:rPr>
          <w:bCs/>
          <w:szCs w:val="24"/>
        </w:rPr>
        <w:t>zy w skali całego systemu bankowego obserwowany jest spadek zaufania do banków</w:t>
      </w:r>
      <w:r w:rsidRPr="007B314B">
        <w:rPr>
          <w:bCs/>
          <w:szCs w:val="24"/>
          <w:lang w:val="pl-PL"/>
        </w:rPr>
        <w:t>,</w:t>
      </w:r>
      <w:r w:rsidR="00D12545" w:rsidRPr="007B314B">
        <w:rPr>
          <w:bCs/>
          <w:szCs w:val="24"/>
        </w:rPr>
        <w:t xml:space="preserve"> wyrażający się głównie w postaci spadku bazy depozytowej?</w:t>
      </w:r>
    </w:p>
    <w:p w14:paraId="7FF5A5E7" w14:textId="77777777" w:rsidR="00D12545" w:rsidRPr="007B314B" w:rsidRDefault="00D12545" w:rsidP="00174CA0">
      <w:pPr>
        <w:pStyle w:val="Tekstkomentarza"/>
        <w:spacing w:before="0" w:after="0" w:line="264" w:lineRule="auto"/>
        <w:rPr>
          <w:bCs/>
          <w:szCs w:val="24"/>
        </w:rPr>
      </w:pPr>
      <w:r w:rsidRPr="007B314B">
        <w:rPr>
          <w:bCs/>
          <w:szCs w:val="24"/>
        </w:rPr>
        <w:t>Jeżeli na którekolwiek z powyższych pytań Bank udzielił odpowiedzi pozytywnej („TAK”), Bank bada skalę odpływu środków depozytowych w analizowanym okresie, w którym, w ocenie Banku, wystąpiły negatywne zjawiska.</w:t>
      </w:r>
    </w:p>
    <w:p w14:paraId="0DEA9E42" w14:textId="77777777" w:rsidR="00D12545" w:rsidRPr="007B314B" w:rsidRDefault="00FC0C9D" w:rsidP="00174CA0">
      <w:pPr>
        <w:pStyle w:val="Tekstkomentarza"/>
        <w:spacing w:before="0" w:after="0" w:line="264" w:lineRule="auto"/>
        <w:rPr>
          <w:bCs/>
          <w:szCs w:val="24"/>
        </w:rPr>
      </w:pPr>
      <w:r w:rsidRPr="007B314B">
        <w:rPr>
          <w:bCs/>
          <w:szCs w:val="24"/>
        </w:rPr>
        <w:t>Jeżeli odpływ depozytów przewyższał 10% bazy depozytowej (</w:t>
      </w:r>
      <w:r w:rsidR="007B314B" w:rsidRPr="007B314B">
        <w:rPr>
          <w:bCs/>
          <w:szCs w:val="24"/>
        </w:rPr>
        <w:t>maksymalny stan depozytów wszystkich klientów z okresu 12 miesięcy</w:t>
      </w:r>
      <w:r w:rsidRPr="007B314B">
        <w:rPr>
          <w:bCs/>
          <w:szCs w:val="24"/>
        </w:rPr>
        <w:t>)</w:t>
      </w:r>
      <w:r w:rsidRPr="007B314B">
        <w:rPr>
          <w:bCs/>
          <w:szCs w:val="24"/>
          <w:lang w:val="pl-PL"/>
        </w:rPr>
        <w:t xml:space="preserve"> </w:t>
      </w:r>
      <w:r w:rsidR="00D12545" w:rsidRPr="007B314B">
        <w:rPr>
          <w:bCs/>
          <w:szCs w:val="24"/>
        </w:rPr>
        <w:t>Bank uznaje, że ryzyko utraty reputacji jest ryzykiem istotnym i wyznacza wewnętrzny wymóg kap</w:t>
      </w:r>
      <w:r w:rsidRPr="007B314B">
        <w:rPr>
          <w:bCs/>
          <w:szCs w:val="24"/>
        </w:rPr>
        <w:t>itałowy na pokrycie tego ryzyka.</w:t>
      </w:r>
    </w:p>
    <w:p w14:paraId="7CC60FE2" w14:textId="77777777" w:rsidR="00EC0B06" w:rsidRPr="007B314B" w:rsidRDefault="00EC0B06" w:rsidP="006B4D7E">
      <w:pPr>
        <w:jc w:val="both"/>
        <w:rPr>
          <w:rFonts w:ascii="Times New Roman" w:hAnsi="Times New Roman" w:cs="Times New Roman"/>
          <w:sz w:val="24"/>
          <w:szCs w:val="24"/>
        </w:rPr>
      </w:pPr>
      <w:r w:rsidRPr="007B314B">
        <w:rPr>
          <w:rFonts w:ascii="Times New Roman" w:hAnsi="Times New Roman" w:cs="Times New Roman"/>
          <w:sz w:val="24"/>
          <w:szCs w:val="24"/>
        </w:rPr>
        <w:t xml:space="preserve">Na dzień </w:t>
      </w:r>
      <w:r w:rsidR="008B7C77" w:rsidRPr="007B314B">
        <w:rPr>
          <w:rFonts w:ascii="Times New Roman" w:hAnsi="Times New Roman" w:cs="Times New Roman"/>
          <w:sz w:val="24"/>
          <w:szCs w:val="24"/>
        </w:rPr>
        <w:t>31.12.20</w:t>
      </w:r>
      <w:r w:rsidR="007B314B" w:rsidRPr="007B314B">
        <w:rPr>
          <w:rFonts w:ascii="Times New Roman" w:hAnsi="Times New Roman" w:cs="Times New Roman"/>
          <w:sz w:val="24"/>
          <w:szCs w:val="24"/>
        </w:rPr>
        <w:t>20</w:t>
      </w:r>
      <w:r w:rsidR="006B4D7E" w:rsidRPr="007B314B">
        <w:rPr>
          <w:rFonts w:ascii="Times New Roman" w:hAnsi="Times New Roman" w:cs="Times New Roman"/>
          <w:sz w:val="24"/>
          <w:szCs w:val="24"/>
        </w:rPr>
        <w:t xml:space="preserve"> </w:t>
      </w:r>
      <w:r w:rsidRPr="007B314B">
        <w:rPr>
          <w:rFonts w:ascii="Times New Roman" w:hAnsi="Times New Roman" w:cs="Times New Roman"/>
          <w:sz w:val="24"/>
          <w:szCs w:val="24"/>
        </w:rPr>
        <w:t xml:space="preserve">r. nastąpił wzrost bazy depozytowej o </w:t>
      </w:r>
      <w:r w:rsidR="007B314B" w:rsidRPr="007B314B">
        <w:rPr>
          <w:rFonts w:ascii="Times New Roman" w:hAnsi="Times New Roman" w:cs="Times New Roman"/>
          <w:sz w:val="24"/>
          <w:szCs w:val="24"/>
        </w:rPr>
        <w:t>8,19</w:t>
      </w:r>
      <w:r w:rsidRPr="007B314B">
        <w:rPr>
          <w:rFonts w:ascii="Times New Roman" w:hAnsi="Times New Roman" w:cs="Times New Roman"/>
          <w:sz w:val="24"/>
          <w:szCs w:val="24"/>
        </w:rPr>
        <w:t xml:space="preserve">% w porównaniu </w:t>
      </w:r>
      <w:r w:rsidR="006B4D7E" w:rsidRPr="007B314B">
        <w:rPr>
          <w:rFonts w:ascii="Times New Roman" w:hAnsi="Times New Roman" w:cs="Times New Roman"/>
          <w:sz w:val="24"/>
          <w:szCs w:val="24"/>
        </w:rPr>
        <w:t xml:space="preserve">do </w:t>
      </w:r>
      <w:r w:rsidR="00C72A7F" w:rsidRPr="007B314B">
        <w:rPr>
          <w:rFonts w:ascii="Times New Roman" w:hAnsi="Times New Roman" w:cs="Times New Roman"/>
          <w:sz w:val="24"/>
          <w:szCs w:val="24"/>
        </w:rPr>
        <w:t>31.12.20</w:t>
      </w:r>
      <w:r w:rsidR="007B314B" w:rsidRPr="007B314B">
        <w:rPr>
          <w:rFonts w:ascii="Times New Roman" w:hAnsi="Times New Roman" w:cs="Times New Roman"/>
          <w:sz w:val="24"/>
          <w:szCs w:val="24"/>
        </w:rPr>
        <w:t>19 r., z</w:t>
      </w:r>
      <w:r w:rsidRPr="007B314B">
        <w:rPr>
          <w:rFonts w:ascii="Times New Roman" w:hAnsi="Times New Roman" w:cs="Times New Roman"/>
          <w:sz w:val="24"/>
          <w:szCs w:val="24"/>
        </w:rPr>
        <w:t>atem ryzyko utraty reputacji uznane zostało za nieistotne.</w:t>
      </w:r>
    </w:p>
    <w:p w14:paraId="555C3CFF" w14:textId="77777777" w:rsidR="00D12545" w:rsidRPr="007B314B" w:rsidRDefault="00B95F7B" w:rsidP="006B4D7E">
      <w:pPr>
        <w:pStyle w:val="Tekstkomentarza"/>
        <w:spacing w:before="0" w:after="0" w:line="264" w:lineRule="auto"/>
        <w:rPr>
          <w:snapToGrid/>
          <w:szCs w:val="24"/>
          <w:lang w:val="pl-PL"/>
        </w:rPr>
      </w:pPr>
      <w:r w:rsidRPr="007B314B">
        <w:rPr>
          <w:bCs/>
          <w:szCs w:val="24"/>
          <w:lang w:val="pl-PL"/>
        </w:rPr>
        <w:t>Na dzień 31.1</w:t>
      </w:r>
      <w:r w:rsidR="007B314B" w:rsidRPr="007B314B">
        <w:rPr>
          <w:bCs/>
          <w:szCs w:val="24"/>
          <w:lang w:val="pl-PL"/>
        </w:rPr>
        <w:t>2.2020</w:t>
      </w:r>
      <w:r w:rsidR="00DB334B" w:rsidRPr="007B314B">
        <w:rPr>
          <w:bCs/>
          <w:szCs w:val="24"/>
          <w:lang w:val="pl-PL"/>
        </w:rPr>
        <w:t xml:space="preserve"> </w:t>
      </w:r>
      <w:r w:rsidR="00D12545" w:rsidRPr="007B314B">
        <w:rPr>
          <w:bCs/>
          <w:szCs w:val="24"/>
          <w:lang w:val="pl-PL"/>
        </w:rPr>
        <w:t xml:space="preserve">r. </w:t>
      </w:r>
      <w:r w:rsidR="00D12545" w:rsidRPr="007B314B">
        <w:rPr>
          <w:snapToGrid/>
          <w:szCs w:val="24"/>
          <w:lang w:val="pl-PL"/>
        </w:rPr>
        <w:t xml:space="preserve">Bank nie wyznacza wewnętrznego kapitału na pokrycie ryzyka </w:t>
      </w:r>
      <w:r w:rsidR="006B4D7E" w:rsidRPr="007B314B">
        <w:rPr>
          <w:snapToGrid/>
          <w:szCs w:val="24"/>
          <w:lang w:val="pl-PL"/>
        </w:rPr>
        <w:t>r</w:t>
      </w:r>
      <w:r w:rsidR="00D12545" w:rsidRPr="007B314B">
        <w:rPr>
          <w:snapToGrid/>
          <w:szCs w:val="24"/>
          <w:lang w:val="pl-PL"/>
        </w:rPr>
        <w:t>eputacji</w:t>
      </w:r>
      <w:r w:rsidR="00DB334B" w:rsidRPr="007B314B">
        <w:rPr>
          <w:snapToGrid/>
          <w:szCs w:val="24"/>
          <w:lang w:val="pl-PL"/>
        </w:rPr>
        <w:t>.</w:t>
      </w:r>
      <w:r w:rsidR="00D12545" w:rsidRPr="007B314B">
        <w:rPr>
          <w:snapToGrid/>
          <w:szCs w:val="24"/>
          <w:lang w:val="pl-PL"/>
        </w:rPr>
        <w:t xml:space="preserve"> </w:t>
      </w:r>
    </w:p>
    <w:p w14:paraId="4E9CF20E" w14:textId="77777777" w:rsidR="00D12545" w:rsidRPr="007B314B" w:rsidRDefault="00D12545" w:rsidP="00174CA0">
      <w:pPr>
        <w:spacing w:after="0" w:line="264" w:lineRule="auto"/>
        <w:rPr>
          <w:rFonts w:ascii="Times New Roman" w:hAnsi="Times New Roman" w:cs="Times New Roman"/>
          <w:b/>
          <w:sz w:val="24"/>
          <w:szCs w:val="24"/>
        </w:rPr>
      </w:pPr>
    </w:p>
    <w:p w14:paraId="75FEE0BE" w14:textId="77777777" w:rsidR="00EC0B06" w:rsidRPr="007B314B" w:rsidRDefault="00D12545" w:rsidP="007B36B8">
      <w:pPr>
        <w:pStyle w:val="Nagwek1"/>
        <w:numPr>
          <w:ilvl w:val="2"/>
          <w:numId w:val="28"/>
        </w:numPr>
        <w:ind w:left="709"/>
        <w:rPr>
          <w:rFonts w:ascii="Times New Roman" w:hAnsi="Times New Roman" w:cs="Times New Roman"/>
          <w:b/>
          <w:color w:val="auto"/>
          <w:sz w:val="24"/>
          <w:szCs w:val="24"/>
        </w:rPr>
      </w:pPr>
      <w:bookmarkStart w:id="48" w:name="_Toc44930291"/>
      <w:r w:rsidRPr="007B314B">
        <w:rPr>
          <w:rFonts w:ascii="Times New Roman" w:hAnsi="Times New Roman" w:cs="Times New Roman"/>
          <w:b/>
          <w:color w:val="auto"/>
          <w:sz w:val="24"/>
          <w:szCs w:val="24"/>
        </w:rPr>
        <w:t>KAPITAŁ WEWNĘTRZNY NA RYZYKO TRANSFEROWE</w:t>
      </w:r>
      <w:bookmarkEnd w:id="48"/>
    </w:p>
    <w:p w14:paraId="4E00DB2C" w14:textId="77777777" w:rsidR="00D12545" w:rsidRPr="007B314B" w:rsidRDefault="00D12545" w:rsidP="00174CA0">
      <w:pPr>
        <w:spacing w:after="0" w:line="264" w:lineRule="auto"/>
        <w:rPr>
          <w:rFonts w:ascii="Times New Roman" w:hAnsi="Times New Roman" w:cs="Times New Roman"/>
          <w:b/>
          <w:sz w:val="24"/>
          <w:szCs w:val="24"/>
        </w:rPr>
      </w:pPr>
      <w:r w:rsidRPr="007B314B">
        <w:rPr>
          <w:rFonts w:ascii="Times New Roman" w:hAnsi="Times New Roman" w:cs="Times New Roman"/>
          <w:b/>
          <w:sz w:val="24"/>
          <w:szCs w:val="24"/>
        </w:rPr>
        <w:t xml:space="preserve"> </w:t>
      </w:r>
    </w:p>
    <w:p w14:paraId="11E51475" w14:textId="77777777" w:rsidR="00D12545" w:rsidRPr="007B314B" w:rsidRDefault="00D12545" w:rsidP="00174CA0">
      <w:pPr>
        <w:pStyle w:val="Tekstkomentarza"/>
        <w:spacing w:before="0" w:after="0" w:line="264" w:lineRule="auto"/>
        <w:rPr>
          <w:bCs/>
          <w:szCs w:val="24"/>
        </w:rPr>
      </w:pPr>
      <w:r w:rsidRPr="007B314B">
        <w:rPr>
          <w:bCs/>
          <w:szCs w:val="24"/>
        </w:rPr>
        <w:t xml:space="preserve">W ramach oceny </w:t>
      </w:r>
      <w:r w:rsidR="00DB334B" w:rsidRPr="007B314B">
        <w:rPr>
          <w:bCs/>
          <w:szCs w:val="24"/>
        </w:rPr>
        <w:t xml:space="preserve">istotności ryzyka transferowego </w:t>
      </w:r>
      <w:r w:rsidRPr="007B314B">
        <w:rPr>
          <w:bCs/>
          <w:szCs w:val="24"/>
        </w:rPr>
        <w:t>Bank przeprowadza analizę skali transferów zagranicznych przeprowadzanych w Banku (transferów własnych i klientowskich). Z analizy tej wyłącza się przelewy zagraniczne zrealizowane (otrzymane i wysłane) z (wobec) państw członkowskich Unii Europejskiej.</w:t>
      </w:r>
    </w:p>
    <w:p w14:paraId="1C4E8E71" w14:textId="77777777" w:rsidR="00D12545" w:rsidRPr="007B314B" w:rsidRDefault="00D12545" w:rsidP="00174CA0">
      <w:pPr>
        <w:pStyle w:val="Tekstkomentarza"/>
        <w:spacing w:before="0" w:after="0" w:line="264" w:lineRule="auto"/>
        <w:rPr>
          <w:bCs/>
          <w:szCs w:val="24"/>
          <w:lang w:val="pl-PL"/>
        </w:rPr>
      </w:pPr>
      <w:r w:rsidRPr="007B314B">
        <w:rPr>
          <w:bCs/>
          <w:szCs w:val="24"/>
        </w:rPr>
        <w:t>Bank uznaje ryzyko transferowe za ryzyko istotne i wyznacza wewnętrzny wymóg kapitałowy na pokrycie tego ryzyka, jeżeli skala działalności dewizowej w zakresie transferów zagranicznych Banku jest znacząca, tj. gdy suma przelewów zagranicznych (otrzymanych</w:t>
      </w:r>
      <w:r w:rsidR="00DB334B" w:rsidRPr="007B314B">
        <w:rPr>
          <w:bCs/>
          <w:szCs w:val="24"/>
          <w:lang w:val="pl-PL"/>
        </w:rPr>
        <w:t xml:space="preserve">                   </w:t>
      </w:r>
      <w:r w:rsidRPr="007B314B">
        <w:rPr>
          <w:bCs/>
          <w:szCs w:val="24"/>
        </w:rPr>
        <w:t>i wysłanych) w miesiącu na datę analizy była wyższa niż 20% sumy wszystkich przelewów dokonanych w Banku w ujęciu wartościowym.</w:t>
      </w:r>
      <w:r w:rsidR="00226DE9" w:rsidRPr="007B314B">
        <w:rPr>
          <w:bCs/>
          <w:szCs w:val="24"/>
          <w:lang w:val="pl-PL"/>
        </w:rPr>
        <w:t xml:space="preserve"> N</w:t>
      </w:r>
      <w:r w:rsidR="00C72A7F" w:rsidRPr="007B314B">
        <w:rPr>
          <w:bCs/>
          <w:szCs w:val="24"/>
          <w:lang w:val="pl-PL"/>
        </w:rPr>
        <w:t>a dzień 31.12.20</w:t>
      </w:r>
      <w:r w:rsidR="007B314B" w:rsidRPr="007B314B">
        <w:rPr>
          <w:bCs/>
          <w:szCs w:val="24"/>
          <w:lang w:val="pl-PL"/>
        </w:rPr>
        <w:t>20</w:t>
      </w:r>
      <w:r w:rsidR="00DB334B" w:rsidRPr="007B314B">
        <w:rPr>
          <w:bCs/>
          <w:szCs w:val="24"/>
          <w:lang w:val="pl-PL"/>
        </w:rPr>
        <w:t xml:space="preserve"> </w:t>
      </w:r>
      <w:r w:rsidR="00C72A7F" w:rsidRPr="007B314B">
        <w:rPr>
          <w:bCs/>
          <w:szCs w:val="24"/>
          <w:lang w:val="pl-PL"/>
        </w:rPr>
        <w:t>r. wskaźnik sumy</w:t>
      </w:r>
      <w:r w:rsidR="00226DE9" w:rsidRPr="007B314B">
        <w:rPr>
          <w:bCs/>
          <w:szCs w:val="24"/>
          <w:lang w:val="pl-PL"/>
        </w:rPr>
        <w:t xml:space="preserve"> przelewów zagranicznych w stosunku do sumy w</w:t>
      </w:r>
      <w:r w:rsidR="00032E85" w:rsidRPr="007B314B">
        <w:rPr>
          <w:bCs/>
          <w:szCs w:val="24"/>
          <w:lang w:val="pl-PL"/>
        </w:rPr>
        <w:t>szystkich przelewów wyniósł 0,</w:t>
      </w:r>
      <w:r w:rsidR="00C72A7F" w:rsidRPr="007B314B">
        <w:rPr>
          <w:bCs/>
          <w:szCs w:val="24"/>
          <w:lang w:val="pl-PL"/>
        </w:rPr>
        <w:t>03</w:t>
      </w:r>
      <w:r w:rsidR="00226DE9" w:rsidRPr="007B314B">
        <w:rPr>
          <w:bCs/>
          <w:szCs w:val="24"/>
          <w:lang w:val="pl-PL"/>
        </w:rPr>
        <w:t>%</w:t>
      </w:r>
      <w:r w:rsidR="00DB334B" w:rsidRPr="007B314B">
        <w:rPr>
          <w:bCs/>
          <w:szCs w:val="24"/>
          <w:lang w:val="pl-PL"/>
        </w:rPr>
        <w:t>.</w:t>
      </w:r>
      <w:r w:rsidR="00226DE9" w:rsidRPr="007B314B">
        <w:rPr>
          <w:bCs/>
          <w:szCs w:val="24"/>
          <w:lang w:val="pl-PL"/>
        </w:rPr>
        <w:t xml:space="preserve"> </w:t>
      </w:r>
    </w:p>
    <w:p w14:paraId="0CBB58E6" w14:textId="77777777" w:rsidR="00D12545" w:rsidRPr="007B314B" w:rsidRDefault="00C72A7F" w:rsidP="00174CA0">
      <w:pPr>
        <w:pStyle w:val="Tekstkomentarza"/>
        <w:spacing w:before="0" w:after="0" w:line="264" w:lineRule="auto"/>
        <w:rPr>
          <w:snapToGrid/>
          <w:szCs w:val="24"/>
          <w:lang w:val="pl-PL"/>
        </w:rPr>
      </w:pPr>
      <w:r w:rsidRPr="007B314B">
        <w:rPr>
          <w:bCs/>
          <w:szCs w:val="24"/>
          <w:lang w:val="pl-PL"/>
        </w:rPr>
        <w:t>Na dzień 31.12.20</w:t>
      </w:r>
      <w:r w:rsidR="007B314B" w:rsidRPr="007B314B">
        <w:rPr>
          <w:bCs/>
          <w:szCs w:val="24"/>
          <w:lang w:val="pl-PL"/>
        </w:rPr>
        <w:t>20</w:t>
      </w:r>
      <w:r w:rsidR="00DB334B" w:rsidRPr="007B314B">
        <w:rPr>
          <w:bCs/>
          <w:szCs w:val="24"/>
          <w:lang w:val="pl-PL"/>
        </w:rPr>
        <w:t xml:space="preserve"> </w:t>
      </w:r>
      <w:r w:rsidR="00D12545" w:rsidRPr="007B314B">
        <w:rPr>
          <w:bCs/>
          <w:szCs w:val="24"/>
          <w:lang w:val="pl-PL"/>
        </w:rPr>
        <w:t xml:space="preserve">r. </w:t>
      </w:r>
      <w:r w:rsidR="00D12545" w:rsidRPr="007B314B">
        <w:rPr>
          <w:snapToGrid/>
          <w:szCs w:val="24"/>
          <w:lang w:val="pl-PL"/>
        </w:rPr>
        <w:t>Bank nie wyznacza wewnętrznego kapitału na pokrycie ryzyka transferowego</w:t>
      </w:r>
      <w:r w:rsidR="00DB334B" w:rsidRPr="007B314B">
        <w:rPr>
          <w:snapToGrid/>
          <w:szCs w:val="24"/>
          <w:lang w:val="pl-PL"/>
        </w:rPr>
        <w:t>.</w:t>
      </w:r>
      <w:r w:rsidR="00D12545" w:rsidRPr="007B314B">
        <w:rPr>
          <w:snapToGrid/>
          <w:szCs w:val="24"/>
          <w:lang w:val="pl-PL"/>
        </w:rPr>
        <w:t xml:space="preserve"> </w:t>
      </w:r>
    </w:p>
    <w:p w14:paraId="0A4E2CDA" w14:textId="77777777" w:rsidR="00D12545" w:rsidRPr="00B95DE3" w:rsidRDefault="00D12545" w:rsidP="00174CA0">
      <w:pPr>
        <w:spacing w:after="0" w:line="264" w:lineRule="auto"/>
        <w:rPr>
          <w:rFonts w:ascii="Times New Roman" w:hAnsi="Times New Roman" w:cs="Times New Roman"/>
          <w:b/>
          <w:sz w:val="24"/>
          <w:szCs w:val="24"/>
        </w:rPr>
      </w:pPr>
    </w:p>
    <w:p w14:paraId="741B4AA2" w14:textId="77777777" w:rsidR="00D12545" w:rsidRPr="00B95DE3" w:rsidRDefault="007B36B8" w:rsidP="007B36B8">
      <w:pPr>
        <w:pStyle w:val="Nagwek1"/>
        <w:numPr>
          <w:ilvl w:val="2"/>
          <w:numId w:val="28"/>
        </w:numPr>
        <w:ind w:left="426" w:hanging="425"/>
        <w:rPr>
          <w:rFonts w:ascii="Times New Roman" w:hAnsi="Times New Roman" w:cs="Times New Roman"/>
          <w:b/>
          <w:color w:val="auto"/>
          <w:sz w:val="24"/>
          <w:szCs w:val="24"/>
        </w:rPr>
      </w:pPr>
      <w:r w:rsidRPr="00B95DE3">
        <w:rPr>
          <w:rFonts w:ascii="Times New Roman" w:hAnsi="Times New Roman" w:cs="Times New Roman"/>
          <w:b/>
          <w:color w:val="auto"/>
          <w:sz w:val="24"/>
          <w:szCs w:val="24"/>
        </w:rPr>
        <w:lastRenderedPageBreak/>
        <w:t xml:space="preserve"> </w:t>
      </w:r>
      <w:bookmarkStart w:id="49" w:name="_Toc44930292"/>
      <w:r w:rsidR="00D12545" w:rsidRPr="00B95DE3">
        <w:rPr>
          <w:rFonts w:ascii="Times New Roman" w:hAnsi="Times New Roman" w:cs="Times New Roman"/>
          <w:b/>
          <w:color w:val="auto"/>
          <w:sz w:val="24"/>
          <w:szCs w:val="24"/>
        </w:rPr>
        <w:t>KAPITAŁ WEWNĘTRZNY NA RYZYKO REZYDUALNE</w:t>
      </w:r>
      <w:bookmarkEnd w:id="49"/>
      <w:r w:rsidR="00D12545" w:rsidRPr="00B95DE3">
        <w:rPr>
          <w:rFonts w:ascii="Times New Roman" w:hAnsi="Times New Roman" w:cs="Times New Roman"/>
          <w:b/>
          <w:color w:val="auto"/>
          <w:sz w:val="24"/>
          <w:szCs w:val="24"/>
        </w:rPr>
        <w:t xml:space="preserve"> </w:t>
      </w:r>
    </w:p>
    <w:p w14:paraId="560B25D5" w14:textId="77777777" w:rsidR="008E6E85" w:rsidRPr="00B95DE3" w:rsidRDefault="008E6E85" w:rsidP="00174CA0">
      <w:pPr>
        <w:pStyle w:val="Tekstkomentarza"/>
        <w:widowControl/>
        <w:adjustRightInd/>
        <w:spacing w:before="0" w:after="0" w:line="264" w:lineRule="auto"/>
        <w:textAlignment w:val="auto"/>
      </w:pPr>
    </w:p>
    <w:p w14:paraId="04B73553" w14:textId="77777777" w:rsidR="008E6E85" w:rsidRPr="00B95DE3" w:rsidRDefault="008E6E85" w:rsidP="00174CA0">
      <w:pPr>
        <w:pStyle w:val="Tekstkomentarza"/>
        <w:widowControl/>
        <w:adjustRightInd/>
        <w:spacing w:before="0" w:after="0" w:line="264" w:lineRule="auto"/>
        <w:textAlignment w:val="auto"/>
      </w:pPr>
      <w:r w:rsidRPr="00B95DE3">
        <w:t>Bank</w:t>
      </w:r>
      <w:r w:rsidR="00DB334B" w:rsidRPr="00B95DE3">
        <w:rPr>
          <w:lang w:val="pl-PL"/>
        </w:rPr>
        <w:t>,</w:t>
      </w:r>
      <w:r w:rsidRPr="00B95DE3">
        <w:t xml:space="preserve"> dokonując analizy istotności ryzyka rezydualnego</w:t>
      </w:r>
      <w:r w:rsidR="00DB334B" w:rsidRPr="00B95DE3">
        <w:rPr>
          <w:lang w:val="pl-PL"/>
        </w:rPr>
        <w:t>,</w:t>
      </w:r>
      <w:r w:rsidRPr="00B95DE3">
        <w:t xml:space="preserve"> ocenia typy przyjętych zabezpieczeń prawnych.</w:t>
      </w:r>
    </w:p>
    <w:p w14:paraId="03855592" w14:textId="77777777" w:rsidR="008E6E85" w:rsidRPr="00B95DE3" w:rsidRDefault="008E6E85" w:rsidP="00174CA0">
      <w:pPr>
        <w:suppressAutoHyphens/>
        <w:autoSpaceDE w:val="0"/>
        <w:spacing w:after="0" w:line="264" w:lineRule="auto"/>
        <w:jc w:val="both"/>
        <w:rPr>
          <w:rFonts w:ascii="Times New Roman" w:hAnsi="Times New Roman" w:cs="Times New Roman"/>
          <w:snapToGrid w:val="0"/>
          <w:sz w:val="24"/>
        </w:rPr>
      </w:pPr>
      <w:r w:rsidRPr="00B95DE3">
        <w:rPr>
          <w:rFonts w:ascii="Times New Roman" w:hAnsi="Times New Roman" w:cs="Times New Roman"/>
          <w:snapToGrid w:val="0"/>
          <w:sz w:val="24"/>
        </w:rPr>
        <w:t>W przypadku stosowania standardowych form zabezpieczenia, określonych w Instrukcji prawnych form zabezpieczenia wierzytelności Banku</w:t>
      </w:r>
      <w:r w:rsidR="00DB334B" w:rsidRPr="00B95DE3">
        <w:rPr>
          <w:rFonts w:ascii="Times New Roman" w:hAnsi="Times New Roman" w:cs="Times New Roman"/>
          <w:snapToGrid w:val="0"/>
          <w:sz w:val="24"/>
        </w:rPr>
        <w:t>,</w:t>
      </w:r>
      <w:r w:rsidRPr="00B95DE3">
        <w:rPr>
          <w:rFonts w:ascii="Times New Roman" w:hAnsi="Times New Roman" w:cs="Times New Roman"/>
          <w:snapToGrid w:val="0"/>
          <w:sz w:val="24"/>
        </w:rPr>
        <w:t xml:space="preserve"> Bank uznaje ryzyko rezydualne</w:t>
      </w:r>
      <w:r w:rsidR="00DB334B" w:rsidRPr="00B95DE3">
        <w:rPr>
          <w:rFonts w:ascii="Times New Roman" w:hAnsi="Times New Roman" w:cs="Times New Roman"/>
          <w:snapToGrid w:val="0"/>
          <w:sz w:val="24"/>
        </w:rPr>
        <w:t xml:space="preserve">                   </w:t>
      </w:r>
      <w:r w:rsidRPr="00B95DE3">
        <w:rPr>
          <w:rFonts w:ascii="Times New Roman" w:hAnsi="Times New Roman" w:cs="Times New Roman"/>
          <w:snapToGrid w:val="0"/>
          <w:sz w:val="24"/>
        </w:rPr>
        <w:t xml:space="preserve"> za nieistotne i nie wyznacza kapitału wewnętrznego. Ryzyko tych form zabezpieczeń jest uwzględnione przy wyznaczaniu kapitału wewnętrznego z tytułu ryzyka koncentracji zabezpieczeń. </w:t>
      </w:r>
    </w:p>
    <w:p w14:paraId="2D308028" w14:textId="77777777" w:rsidR="00A0486F" w:rsidRPr="00B95DE3" w:rsidRDefault="00345354" w:rsidP="00A0486F">
      <w:pPr>
        <w:suppressAutoHyphens/>
        <w:autoSpaceDE w:val="0"/>
        <w:spacing w:after="0" w:line="264" w:lineRule="auto"/>
        <w:ind w:firstLine="708"/>
        <w:jc w:val="both"/>
        <w:rPr>
          <w:rFonts w:ascii="Times New Roman" w:hAnsi="Times New Roman" w:cs="Times New Roman"/>
          <w:snapToGrid w:val="0"/>
          <w:sz w:val="24"/>
          <w:szCs w:val="24"/>
        </w:rPr>
      </w:pPr>
      <w:r w:rsidRPr="00B95DE3">
        <w:rPr>
          <w:rFonts w:ascii="Times New Roman" w:hAnsi="Times New Roman" w:cs="Times New Roman"/>
          <w:sz w:val="24"/>
          <w:szCs w:val="24"/>
        </w:rPr>
        <w:t>Według stanu na 31.12.20</w:t>
      </w:r>
      <w:r w:rsidR="00B95DE3" w:rsidRPr="00B95DE3">
        <w:rPr>
          <w:rFonts w:ascii="Times New Roman" w:hAnsi="Times New Roman" w:cs="Times New Roman"/>
          <w:sz w:val="24"/>
          <w:szCs w:val="24"/>
        </w:rPr>
        <w:t>20</w:t>
      </w:r>
      <w:r w:rsidR="006B4D7E" w:rsidRPr="00B95DE3">
        <w:rPr>
          <w:rFonts w:ascii="Times New Roman" w:hAnsi="Times New Roman" w:cs="Times New Roman"/>
          <w:sz w:val="24"/>
          <w:szCs w:val="24"/>
        </w:rPr>
        <w:t xml:space="preserve"> </w:t>
      </w:r>
      <w:r w:rsidR="00A0486F" w:rsidRPr="00B95DE3">
        <w:rPr>
          <w:rFonts w:ascii="Times New Roman" w:hAnsi="Times New Roman" w:cs="Times New Roman"/>
          <w:sz w:val="24"/>
          <w:szCs w:val="24"/>
        </w:rPr>
        <w:t>r. Bank stosował tylko standardowe (typowe) formy zabezpieczeń (poręczenie według prawa cywilnego lub według prawa wekslowego oraz przystąpienie do długu, zastaw rejestrowy, przewłaszczenie rzeczy ruchomych, blokada środków pieniężnych, kaucja, cesja wierzytelności, hipoteka na nieruchomościach, gw</w:t>
      </w:r>
      <w:r w:rsidR="00DB334B" w:rsidRPr="00B95DE3">
        <w:rPr>
          <w:rFonts w:ascii="Times New Roman" w:hAnsi="Times New Roman" w:cs="Times New Roman"/>
          <w:sz w:val="24"/>
          <w:szCs w:val="24"/>
        </w:rPr>
        <w:t>arancja, ubezpieczenie kredytu).</w:t>
      </w:r>
    </w:p>
    <w:p w14:paraId="38B14843" w14:textId="77777777" w:rsidR="008E6E85" w:rsidRPr="00B95DE3" w:rsidRDefault="00345354" w:rsidP="00174CA0">
      <w:pPr>
        <w:pStyle w:val="Tekstkomentarza"/>
        <w:spacing w:before="0" w:after="0" w:line="264" w:lineRule="auto"/>
        <w:rPr>
          <w:snapToGrid/>
          <w:szCs w:val="24"/>
          <w:lang w:val="pl-PL"/>
        </w:rPr>
      </w:pPr>
      <w:r w:rsidRPr="00B95DE3">
        <w:rPr>
          <w:bCs/>
          <w:szCs w:val="24"/>
          <w:lang w:val="pl-PL"/>
        </w:rPr>
        <w:t>Na dzień 31.12.20</w:t>
      </w:r>
      <w:r w:rsidR="00B95DE3" w:rsidRPr="00B95DE3">
        <w:rPr>
          <w:bCs/>
          <w:szCs w:val="24"/>
          <w:lang w:val="pl-PL"/>
        </w:rPr>
        <w:t>20</w:t>
      </w:r>
      <w:r w:rsidR="006B4D7E" w:rsidRPr="00B95DE3">
        <w:rPr>
          <w:bCs/>
          <w:szCs w:val="24"/>
          <w:lang w:val="pl-PL"/>
        </w:rPr>
        <w:t xml:space="preserve"> </w:t>
      </w:r>
      <w:r w:rsidR="008E6E85" w:rsidRPr="00B95DE3">
        <w:rPr>
          <w:bCs/>
          <w:szCs w:val="24"/>
          <w:lang w:val="pl-PL"/>
        </w:rPr>
        <w:t xml:space="preserve">r. </w:t>
      </w:r>
      <w:r w:rsidR="008E6E85" w:rsidRPr="00B95DE3">
        <w:rPr>
          <w:snapToGrid/>
          <w:szCs w:val="24"/>
          <w:lang w:val="pl-PL"/>
        </w:rPr>
        <w:t>Bank nie wyznacza wewnętrznego kapitału na pokrycie ryzyka rezydualnego</w:t>
      </w:r>
      <w:r w:rsidR="00DB334B" w:rsidRPr="00B95DE3">
        <w:rPr>
          <w:snapToGrid/>
          <w:szCs w:val="24"/>
          <w:lang w:val="pl-PL"/>
        </w:rPr>
        <w:t>.</w:t>
      </w:r>
    </w:p>
    <w:p w14:paraId="042E01FE" w14:textId="77777777" w:rsidR="00D12545" w:rsidRPr="00B95DE3" w:rsidRDefault="00D12545" w:rsidP="00174CA0">
      <w:pPr>
        <w:spacing w:after="0" w:line="264" w:lineRule="auto"/>
        <w:rPr>
          <w:rFonts w:ascii="Times New Roman" w:hAnsi="Times New Roman" w:cs="Times New Roman"/>
          <w:b/>
          <w:sz w:val="24"/>
          <w:szCs w:val="24"/>
        </w:rPr>
      </w:pPr>
    </w:p>
    <w:p w14:paraId="740F23F8" w14:textId="77777777" w:rsidR="00D12545" w:rsidRPr="00B95DE3" w:rsidRDefault="00D12545" w:rsidP="007B36B8">
      <w:pPr>
        <w:pStyle w:val="Nagwek1"/>
        <w:numPr>
          <w:ilvl w:val="2"/>
          <w:numId w:val="28"/>
        </w:numPr>
        <w:ind w:left="709" w:hanging="709"/>
        <w:rPr>
          <w:rFonts w:ascii="Times New Roman" w:hAnsi="Times New Roman" w:cs="Times New Roman"/>
          <w:b/>
          <w:color w:val="auto"/>
          <w:sz w:val="24"/>
          <w:szCs w:val="24"/>
        </w:rPr>
      </w:pPr>
      <w:bookmarkStart w:id="50" w:name="_Toc44930293"/>
      <w:r w:rsidRPr="00B95DE3">
        <w:rPr>
          <w:rFonts w:ascii="Times New Roman" w:hAnsi="Times New Roman" w:cs="Times New Roman"/>
          <w:b/>
          <w:color w:val="auto"/>
          <w:sz w:val="24"/>
          <w:szCs w:val="24"/>
        </w:rPr>
        <w:t>KAPITAŁ WEWNĘTRZNY NA RYZYKO PRAWNE</w:t>
      </w:r>
      <w:bookmarkEnd w:id="50"/>
    </w:p>
    <w:p w14:paraId="03E3D1DD" w14:textId="77777777" w:rsidR="00A0486F" w:rsidRPr="00B95DE3" w:rsidRDefault="00A0486F" w:rsidP="00174CA0">
      <w:pPr>
        <w:pStyle w:val="Tekstkomentarza"/>
        <w:spacing w:before="0" w:after="0" w:line="264" w:lineRule="auto"/>
      </w:pPr>
    </w:p>
    <w:p w14:paraId="55F6CCFF" w14:textId="77777777" w:rsidR="008E6E85" w:rsidRPr="00B95DE3" w:rsidRDefault="008E6E85" w:rsidP="00A0486F">
      <w:pPr>
        <w:pStyle w:val="Tekstkomentarza"/>
        <w:spacing w:before="0" w:after="0" w:line="264" w:lineRule="auto"/>
        <w:ind w:firstLine="708"/>
      </w:pPr>
      <w:r w:rsidRPr="00B95DE3">
        <w:t xml:space="preserve">W celu zbadania istotności ryzyka prawnego Bank oblicza stopień negatywnego wpływu na fundusze własne Banku, potencjalnych kosztów i strat z tytułu niekorzystnych rozstrzygnięć sporów przed sądami powszechnymi lub arbitrażem, zapadłych </w:t>
      </w:r>
      <w:r w:rsidRPr="00B95DE3">
        <w:br/>
        <w:t xml:space="preserve">w postępowaniach, w których Bank został pozwany w sprawach wynikających </w:t>
      </w:r>
      <w:r w:rsidRPr="00B95DE3">
        <w:br/>
        <w:t>z prowadzonej działalności lub zdarzeń zaistniałych przy okazji jej prowadzenia.</w:t>
      </w:r>
    </w:p>
    <w:p w14:paraId="782337F0" w14:textId="77777777" w:rsidR="008E6E85" w:rsidRDefault="00A0486F" w:rsidP="00174CA0">
      <w:pPr>
        <w:pStyle w:val="Tekstkomentarza"/>
        <w:tabs>
          <w:tab w:val="num" w:pos="900"/>
        </w:tabs>
        <w:spacing w:before="0" w:after="0" w:line="264" w:lineRule="auto"/>
      </w:pPr>
      <w:r w:rsidRPr="00B95DE3">
        <w:tab/>
      </w:r>
      <w:r w:rsidR="008E6E85" w:rsidRPr="00B95DE3">
        <w:t>Bank uznaje ryzyko prawne za istotne wówczas, gdy relacja szacowanej wartości potencjalnych strat i kosztów dla Banku (z wyłączeniem kosztów rezerw)</w:t>
      </w:r>
      <w:r w:rsidR="00DB334B" w:rsidRPr="00B95DE3">
        <w:rPr>
          <w:lang w:val="pl-PL"/>
        </w:rPr>
        <w:t>,</w:t>
      </w:r>
      <w:r w:rsidR="008E6E85" w:rsidRPr="00B95DE3">
        <w:t xml:space="preserve"> związanych </w:t>
      </w:r>
      <w:r w:rsidR="00DB334B" w:rsidRPr="00B95DE3">
        <w:rPr>
          <w:lang w:val="pl-PL"/>
        </w:rPr>
        <w:t xml:space="preserve">                       </w:t>
      </w:r>
      <w:r w:rsidR="008E6E85" w:rsidRPr="00B95DE3">
        <w:t>z bieżącymi sporami prawnymi, przy założeniu, że zostaną one rozstrzygnięte na niekorzyść Banku, do fundusz</w:t>
      </w:r>
      <w:r w:rsidR="006A2F22">
        <w:rPr>
          <w:lang w:val="pl-PL"/>
        </w:rPr>
        <w:t>y</w:t>
      </w:r>
      <w:r w:rsidR="008E6E85" w:rsidRPr="00B95DE3">
        <w:t xml:space="preserve"> własnych Banku jest równa lub większa niż </w:t>
      </w:r>
      <w:r w:rsidR="00032E85" w:rsidRPr="00B95DE3">
        <w:rPr>
          <w:lang w:val="pl-PL"/>
        </w:rPr>
        <w:t>5</w:t>
      </w:r>
      <w:r w:rsidR="008E6E85" w:rsidRPr="00B95DE3">
        <w:t xml:space="preserve">%. </w:t>
      </w:r>
    </w:p>
    <w:p w14:paraId="7A25E234" w14:textId="77777777" w:rsidR="008E6E85" w:rsidRPr="00A118E3" w:rsidRDefault="00A118E3" w:rsidP="00A118E3">
      <w:pPr>
        <w:pStyle w:val="Tekstkomentarza"/>
        <w:tabs>
          <w:tab w:val="num" w:pos="900"/>
        </w:tabs>
        <w:spacing w:before="0" w:after="0" w:line="264" w:lineRule="auto"/>
        <w:rPr>
          <w:lang w:val="pl-PL"/>
        </w:rPr>
      </w:pPr>
      <w:r>
        <w:rPr>
          <w:lang w:val="pl-PL"/>
        </w:rPr>
        <w:tab/>
      </w:r>
      <w:r w:rsidR="00E22B02">
        <w:rPr>
          <w:lang w:val="pl-PL"/>
        </w:rPr>
        <w:t>W 2020 roku Bank WMBS nie był po</w:t>
      </w:r>
      <w:r>
        <w:rPr>
          <w:lang w:val="pl-PL"/>
        </w:rPr>
        <w:t>z</w:t>
      </w:r>
      <w:r w:rsidR="00E22B02">
        <w:rPr>
          <w:lang w:val="pl-PL"/>
        </w:rPr>
        <w:t xml:space="preserve">wany w sprawach wynikających z prowadzonej </w:t>
      </w:r>
      <w:r w:rsidR="00E22B02" w:rsidRPr="00A118E3">
        <w:rPr>
          <w:lang w:val="pl-PL"/>
        </w:rPr>
        <w:t xml:space="preserve">działalności lub zdarzeń zaistniałych </w:t>
      </w:r>
      <w:r w:rsidRPr="00A118E3">
        <w:rPr>
          <w:lang w:val="pl-PL"/>
        </w:rPr>
        <w:t xml:space="preserve">w związku z jej prowadzeniem, dlatego też na 31.12.2020 r. </w:t>
      </w:r>
      <w:r w:rsidR="008E6E85" w:rsidRPr="00A118E3">
        <w:rPr>
          <w:snapToGrid/>
          <w:szCs w:val="24"/>
          <w:lang w:val="pl-PL"/>
        </w:rPr>
        <w:t>nie wyznacza wewnętrznego kapitału na pokrycie ryzyka prawnego</w:t>
      </w:r>
      <w:r w:rsidR="00DB334B" w:rsidRPr="00A118E3">
        <w:rPr>
          <w:snapToGrid/>
          <w:szCs w:val="24"/>
          <w:lang w:val="pl-PL"/>
        </w:rPr>
        <w:t>.</w:t>
      </w:r>
    </w:p>
    <w:p w14:paraId="1A63D403" w14:textId="77777777" w:rsidR="00D12545" w:rsidRPr="00B95DE3" w:rsidRDefault="00D12545" w:rsidP="00174CA0">
      <w:pPr>
        <w:spacing w:after="0" w:line="264" w:lineRule="auto"/>
        <w:rPr>
          <w:rFonts w:ascii="Times New Roman" w:hAnsi="Times New Roman" w:cs="Times New Roman"/>
          <w:b/>
          <w:sz w:val="24"/>
          <w:szCs w:val="24"/>
        </w:rPr>
      </w:pPr>
    </w:p>
    <w:p w14:paraId="02C938F5" w14:textId="77777777" w:rsidR="00D12545" w:rsidRPr="00B95DE3" w:rsidRDefault="00D12545" w:rsidP="007B36B8">
      <w:pPr>
        <w:pStyle w:val="Nagwek1"/>
        <w:numPr>
          <w:ilvl w:val="2"/>
          <w:numId w:val="28"/>
        </w:numPr>
        <w:ind w:left="709"/>
        <w:rPr>
          <w:rFonts w:ascii="Times New Roman" w:hAnsi="Times New Roman" w:cs="Times New Roman"/>
          <w:b/>
          <w:color w:val="auto"/>
          <w:sz w:val="24"/>
          <w:szCs w:val="24"/>
        </w:rPr>
      </w:pPr>
      <w:bookmarkStart w:id="51" w:name="_Toc44930294"/>
      <w:r w:rsidRPr="00B95DE3">
        <w:rPr>
          <w:rFonts w:ascii="Times New Roman" w:hAnsi="Times New Roman" w:cs="Times New Roman"/>
          <w:b/>
          <w:color w:val="auto"/>
          <w:sz w:val="24"/>
          <w:szCs w:val="24"/>
        </w:rPr>
        <w:t>KAPITAŁ WEWNĘTRZNY NA RYZYKO MODELI</w:t>
      </w:r>
      <w:bookmarkEnd w:id="51"/>
    </w:p>
    <w:p w14:paraId="7C9AB584" w14:textId="77777777" w:rsidR="00A0486F" w:rsidRPr="00B95DE3" w:rsidRDefault="00A0486F" w:rsidP="00174CA0">
      <w:pPr>
        <w:spacing w:after="0" w:line="264" w:lineRule="auto"/>
        <w:rPr>
          <w:rFonts w:ascii="Times New Roman" w:hAnsi="Times New Roman" w:cs="Times New Roman"/>
          <w:b/>
          <w:sz w:val="24"/>
          <w:szCs w:val="24"/>
        </w:rPr>
      </w:pPr>
    </w:p>
    <w:p w14:paraId="563270BB" w14:textId="77777777" w:rsidR="00D12545" w:rsidRPr="00B95DE3" w:rsidRDefault="00A0486F" w:rsidP="00174CA0">
      <w:pPr>
        <w:pStyle w:val="Tekstkomentarza"/>
        <w:tabs>
          <w:tab w:val="num" w:pos="0"/>
        </w:tabs>
        <w:spacing w:before="0" w:after="0" w:line="264" w:lineRule="auto"/>
        <w:rPr>
          <w:b/>
          <w:szCs w:val="24"/>
        </w:rPr>
      </w:pPr>
      <w:r w:rsidRPr="00B95DE3">
        <w:rPr>
          <w:szCs w:val="24"/>
          <w:lang w:val="pl-PL"/>
        </w:rPr>
        <w:tab/>
      </w:r>
      <w:r w:rsidR="00345354" w:rsidRPr="00B95DE3">
        <w:rPr>
          <w:szCs w:val="24"/>
          <w:lang w:val="pl-PL"/>
        </w:rPr>
        <w:t>Na dzień 31.12.20</w:t>
      </w:r>
      <w:r w:rsidR="00B95DE3" w:rsidRPr="00B95DE3">
        <w:rPr>
          <w:szCs w:val="24"/>
          <w:lang w:val="pl-PL"/>
        </w:rPr>
        <w:t>20</w:t>
      </w:r>
      <w:r w:rsidR="00DB334B" w:rsidRPr="00B95DE3">
        <w:rPr>
          <w:szCs w:val="24"/>
          <w:lang w:val="pl-PL"/>
        </w:rPr>
        <w:t xml:space="preserve"> </w:t>
      </w:r>
      <w:r w:rsidR="008E6E85" w:rsidRPr="00B95DE3">
        <w:rPr>
          <w:szCs w:val="24"/>
          <w:lang w:val="pl-PL"/>
        </w:rPr>
        <w:t>r. Bank nie stosuje modeli</w:t>
      </w:r>
      <w:r w:rsidR="00DB334B" w:rsidRPr="00B95DE3">
        <w:rPr>
          <w:szCs w:val="24"/>
          <w:lang w:val="pl-PL"/>
        </w:rPr>
        <w:t>,</w:t>
      </w:r>
      <w:r w:rsidR="008E6E85" w:rsidRPr="00B95DE3">
        <w:rPr>
          <w:szCs w:val="24"/>
          <w:lang w:val="pl-PL"/>
        </w:rPr>
        <w:t xml:space="preserve"> w związku z </w:t>
      </w:r>
      <w:r w:rsidR="00DB334B" w:rsidRPr="00B95DE3">
        <w:rPr>
          <w:szCs w:val="24"/>
          <w:lang w:val="pl-PL"/>
        </w:rPr>
        <w:t>czym</w:t>
      </w:r>
      <w:r w:rsidR="008E6E85" w:rsidRPr="00B95DE3">
        <w:rPr>
          <w:szCs w:val="24"/>
          <w:lang w:val="pl-PL"/>
        </w:rPr>
        <w:t xml:space="preserve"> nie wyznacza kapitału wewnętr</w:t>
      </w:r>
      <w:r w:rsidR="00DB334B" w:rsidRPr="00B95DE3">
        <w:rPr>
          <w:szCs w:val="24"/>
          <w:lang w:val="pl-PL"/>
        </w:rPr>
        <w:t>znego na pokrycie ryzyka modeli.</w:t>
      </w:r>
    </w:p>
    <w:p w14:paraId="681B965D" w14:textId="77777777" w:rsidR="00D12545" w:rsidRPr="00B95DE3" w:rsidRDefault="00D12545" w:rsidP="00174CA0">
      <w:pPr>
        <w:spacing w:after="0" w:line="264" w:lineRule="auto"/>
        <w:rPr>
          <w:rFonts w:ascii="Times New Roman" w:hAnsi="Times New Roman" w:cs="Times New Roman"/>
          <w:b/>
          <w:sz w:val="24"/>
          <w:szCs w:val="24"/>
        </w:rPr>
      </w:pPr>
    </w:p>
    <w:p w14:paraId="0564653A" w14:textId="77777777" w:rsidR="00D12545" w:rsidRPr="00B95DE3" w:rsidRDefault="00D12545" w:rsidP="007B36B8">
      <w:pPr>
        <w:pStyle w:val="Nagwek1"/>
        <w:numPr>
          <w:ilvl w:val="2"/>
          <w:numId w:val="28"/>
        </w:numPr>
        <w:ind w:left="709"/>
        <w:rPr>
          <w:rFonts w:ascii="Times New Roman" w:hAnsi="Times New Roman" w:cs="Times New Roman"/>
          <w:b/>
          <w:color w:val="auto"/>
          <w:sz w:val="24"/>
          <w:szCs w:val="24"/>
        </w:rPr>
      </w:pPr>
      <w:bookmarkStart w:id="52" w:name="_Toc44930295"/>
      <w:r w:rsidRPr="00B95DE3">
        <w:rPr>
          <w:rFonts w:ascii="Times New Roman" w:hAnsi="Times New Roman" w:cs="Times New Roman"/>
          <w:b/>
          <w:color w:val="auto"/>
          <w:sz w:val="24"/>
          <w:szCs w:val="24"/>
        </w:rPr>
        <w:t>KAPITAŁ WEWNĘTRZNY NA RYZYKO BRAKU ZGODNOŚCI</w:t>
      </w:r>
      <w:bookmarkEnd w:id="52"/>
      <w:r w:rsidRPr="00B95DE3">
        <w:rPr>
          <w:rFonts w:ascii="Times New Roman" w:hAnsi="Times New Roman" w:cs="Times New Roman"/>
          <w:b/>
          <w:color w:val="auto"/>
          <w:sz w:val="24"/>
          <w:szCs w:val="24"/>
        </w:rPr>
        <w:t xml:space="preserve">  </w:t>
      </w:r>
    </w:p>
    <w:p w14:paraId="778C03B6" w14:textId="77777777" w:rsidR="00B356AC" w:rsidRPr="00B95DE3" w:rsidRDefault="00B356AC" w:rsidP="00B356AC">
      <w:pPr>
        <w:pStyle w:val="Akapitzlist"/>
        <w:spacing w:after="0" w:line="264" w:lineRule="auto"/>
        <w:rPr>
          <w:rFonts w:ascii="Times New Roman" w:hAnsi="Times New Roman" w:cs="Times New Roman"/>
          <w:b/>
          <w:sz w:val="24"/>
          <w:szCs w:val="24"/>
        </w:rPr>
      </w:pPr>
    </w:p>
    <w:p w14:paraId="51774C4F" w14:textId="77777777" w:rsidR="008E6E85" w:rsidRPr="00B95DE3" w:rsidRDefault="008E6E85" w:rsidP="00A0486F">
      <w:pPr>
        <w:pStyle w:val="Tekstkomentarza"/>
        <w:spacing w:before="0" w:after="0" w:line="264" w:lineRule="auto"/>
        <w:ind w:firstLine="708"/>
        <w:rPr>
          <w:szCs w:val="24"/>
          <w:lang w:val="pl-PL"/>
        </w:rPr>
      </w:pPr>
      <w:r w:rsidRPr="00B95DE3">
        <w:rPr>
          <w:szCs w:val="24"/>
        </w:rPr>
        <w:t xml:space="preserve">Bank </w:t>
      </w:r>
      <w:r w:rsidRPr="00B95DE3">
        <w:rPr>
          <w:szCs w:val="24"/>
          <w:lang w:val="pl-PL"/>
        </w:rPr>
        <w:t xml:space="preserve">dokonuje analizy  ryzyka braku zgodności oraz wylicza wymóg kapitałowy </w:t>
      </w:r>
      <w:r w:rsidR="00DB334B" w:rsidRPr="00B95DE3">
        <w:rPr>
          <w:szCs w:val="24"/>
          <w:lang w:val="pl-PL"/>
        </w:rPr>
        <w:t xml:space="preserve">                 </w:t>
      </w:r>
      <w:r w:rsidRPr="00B95DE3">
        <w:rPr>
          <w:szCs w:val="24"/>
          <w:lang w:val="pl-PL"/>
        </w:rPr>
        <w:t>w oparciu</w:t>
      </w:r>
      <w:r w:rsidRPr="00B95DE3">
        <w:rPr>
          <w:szCs w:val="24"/>
        </w:rPr>
        <w:t xml:space="preserve"> o dane dotyczące strat finansowych </w:t>
      </w:r>
      <w:r w:rsidRPr="00B95DE3">
        <w:rPr>
          <w:szCs w:val="24"/>
          <w:lang w:val="pl-PL"/>
        </w:rPr>
        <w:t>i</w:t>
      </w:r>
      <w:r w:rsidRPr="00B95DE3">
        <w:rPr>
          <w:szCs w:val="24"/>
        </w:rPr>
        <w:t xml:space="preserve"> niefinansowych z tytułu ryzyka braku </w:t>
      </w:r>
      <w:r w:rsidRPr="00B95DE3">
        <w:rPr>
          <w:szCs w:val="24"/>
        </w:rPr>
        <w:lastRenderedPageBreak/>
        <w:t xml:space="preserve">zgodności oraz innych danych pozyskanych z systemu AZRO mających związek z ryzykiem braku zgodności w okresach </w:t>
      </w:r>
      <w:r w:rsidR="00B95F7B" w:rsidRPr="00B95DE3">
        <w:rPr>
          <w:szCs w:val="24"/>
          <w:lang w:val="pl-PL"/>
        </w:rPr>
        <w:t>kwartalnych</w:t>
      </w:r>
      <w:r w:rsidRPr="00B95DE3">
        <w:rPr>
          <w:szCs w:val="24"/>
          <w:lang w:val="pl-PL"/>
        </w:rPr>
        <w:t xml:space="preserve">,  uwzględniając </w:t>
      </w:r>
      <w:r w:rsidRPr="00B95DE3">
        <w:rPr>
          <w:szCs w:val="24"/>
        </w:rPr>
        <w:t xml:space="preserve">następujące grupy kosztów według stanu na ostatni dzień każdego </w:t>
      </w:r>
      <w:r w:rsidR="00B95F7B" w:rsidRPr="00B95DE3">
        <w:rPr>
          <w:szCs w:val="24"/>
          <w:lang w:val="pl-PL"/>
        </w:rPr>
        <w:t>kwartału</w:t>
      </w:r>
      <w:r w:rsidRPr="00B95DE3">
        <w:rPr>
          <w:szCs w:val="24"/>
        </w:rPr>
        <w:t>:</w:t>
      </w:r>
    </w:p>
    <w:p w14:paraId="68B761D1" w14:textId="77777777" w:rsidR="008E6E85" w:rsidRPr="00B95DE3" w:rsidRDefault="008E6E85" w:rsidP="00993749">
      <w:pPr>
        <w:pStyle w:val="Tekstkomentarza"/>
        <w:numPr>
          <w:ilvl w:val="1"/>
          <w:numId w:val="16"/>
        </w:numPr>
        <w:spacing w:before="0" w:after="0" w:line="264" w:lineRule="auto"/>
        <w:ind w:left="567" w:hanging="283"/>
        <w:rPr>
          <w:szCs w:val="24"/>
        </w:rPr>
      </w:pPr>
      <w:r w:rsidRPr="00B95DE3">
        <w:rPr>
          <w:szCs w:val="24"/>
        </w:rPr>
        <w:t>odsetki karne,</w:t>
      </w:r>
    </w:p>
    <w:p w14:paraId="5E307713" w14:textId="77777777" w:rsidR="008E6E85" w:rsidRPr="00B95DE3" w:rsidRDefault="008E6E85" w:rsidP="00993749">
      <w:pPr>
        <w:pStyle w:val="Tekstkomentarza"/>
        <w:numPr>
          <w:ilvl w:val="1"/>
          <w:numId w:val="16"/>
        </w:numPr>
        <w:spacing w:before="0" w:after="0" w:line="264" w:lineRule="auto"/>
        <w:ind w:left="567" w:hanging="283"/>
        <w:rPr>
          <w:szCs w:val="24"/>
        </w:rPr>
      </w:pPr>
      <w:r w:rsidRPr="00B95DE3">
        <w:rPr>
          <w:szCs w:val="24"/>
        </w:rPr>
        <w:t>zapłacone kary umowne,</w:t>
      </w:r>
    </w:p>
    <w:p w14:paraId="0455002D" w14:textId="77777777" w:rsidR="008E6E85" w:rsidRPr="00B95DE3" w:rsidRDefault="008E6E85" w:rsidP="00993749">
      <w:pPr>
        <w:pStyle w:val="Tekstkomentarza"/>
        <w:numPr>
          <w:ilvl w:val="1"/>
          <w:numId w:val="16"/>
        </w:numPr>
        <w:spacing w:before="0" w:after="0" w:line="264" w:lineRule="auto"/>
        <w:ind w:left="567" w:hanging="283"/>
        <w:rPr>
          <w:szCs w:val="24"/>
        </w:rPr>
      </w:pPr>
      <w:r w:rsidRPr="00B95DE3">
        <w:rPr>
          <w:szCs w:val="24"/>
        </w:rPr>
        <w:t>zapłacone odszkodowania,</w:t>
      </w:r>
    </w:p>
    <w:p w14:paraId="4BF483E1" w14:textId="77777777" w:rsidR="008E6E85" w:rsidRPr="00B95DE3" w:rsidRDefault="008E6E85" w:rsidP="00993749">
      <w:pPr>
        <w:pStyle w:val="Tekstkomentarza"/>
        <w:numPr>
          <w:ilvl w:val="1"/>
          <w:numId w:val="16"/>
        </w:numPr>
        <w:spacing w:before="0" w:after="0" w:line="264" w:lineRule="auto"/>
        <w:ind w:left="567" w:hanging="283"/>
        <w:rPr>
          <w:szCs w:val="24"/>
        </w:rPr>
      </w:pPr>
      <w:r w:rsidRPr="00B95DE3">
        <w:rPr>
          <w:szCs w:val="24"/>
        </w:rPr>
        <w:t>koszty windykacji, spowodowane nieprzestrzeganiem przepisów we</w:t>
      </w:r>
      <w:r w:rsidR="00DB334B" w:rsidRPr="00B95DE3">
        <w:rPr>
          <w:szCs w:val="24"/>
        </w:rPr>
        <w:t>wnętrznych i zewnętrznych Banku,</w:t>
      </w:r>
    </w:p>
    <w:p w14:paraId="7E743E27" w14:textId="77777777" w:rsidR="008E6E85" w:rsidRPr="00B95DE3" w:rsidRDefault="008E6E85" w:rsidP="00B95F7B">
      <w:pPr>
        <w:pStyle w:val="Tekstkomentarza"/>
        <w:numPr>
          <w:ilvl w:val="1"/>
          <w:numId w:val="16"/>
        </w:numPr>
        <w:spacing w:before="0" w:after="0"/>
        <w:ind w:left="567" w:hanging="283"/>
        <w:contextualSpacing/>
        <w:rPr>
          <w:szCs w:val="24"/>
        </w:rPr>
      </w:pPr>
      <w:r w:rsidRPr="00B95DE3">
        <w:rPr>
          <w:szCs w:val="24"/>
        </w:rPr>
        <w:t xml:space="preserve">koszty procesów i pozwów sądowych wynikających z nieprzestrzegania regulacji prawnych i zachowań nieetycznych. </w:t>
      </w:r>
    </w:p>
    <w:p w14:paraId="4C816231" w14:textId="77777777" w:rsidR="00D12545" w:rsidRPr="00B95DE3" w:rsidRDefault="008E6E85" w:rsidP="00B95F7B">
      <w:pPr>
        <w:spacing w:after="0" w:line="276" w:lineRule="auto"/>
        <w:contextualSpacing/>
        <w:jc w:val="both"/>
        <w:rPr>
          <w:rFonts w:ascii="Times New Roman" w:hAnsi="Times New Roman" w:cs="Times New Roman"/>
          <w:b/>
          <w:sz w:val="24"/>
          <w:szCs w:val="24"/>
        </w:rPr>
      </w:pPr>
      <w:r w:rsidRPr="00B95DE3">
        <w:rPr>
          <w:rFonts w:ascii="Times New Roman" w:hAnsi="Times New Roman" w:cs="Times New Roman"/>
          <w:sz w:val="24"/>
          <w:szCs w:val="24"/>
        </w:rPr>
        <w:t xml:space="preserve">Jeżeli w badanym okresie poniesione straty finansowe i niefinansowe Banku z tytułu ryzyka braku zgodności stanowią poniżej 2% kosztów ogółem Banku za ubiegły rok, </w:t>
      </w:r>
      <w:r w:rsidR="00DB334B" w:rsidRPr="00B95DE3">
        <w:rPr>
          <w:rFonts w:ascii="Times New Roman" w:hAnsi="Times New Roman" w:cs="Times New Roman"/>
          <w:sz w:val="24"/>
          <w:szCs w:val="24"/>
        </w:rPr>
        <w:t>wówczas</w:t>
      </w:r>
      <w:r w:rsidRPr="00B95DE3">
        <w:rPr>
          <w:rFonts w:ascii="Times New Roman" w:hAnsi="Times New Roman" w:cs="Times New Roman"/>
          <w:sz w:val="24"/>
          <w:szCs w:val="24"/>
        </w:rPr>
        <w:t xml:space="preserve"> Bank nie wylicza wymogu z tytułu tego ryzyka</w:t>
      </w:r>
      <w:r w:rsidR="006A2F22">
        <w:rPr>
          <w:rFonts w:ascii="Times New Roman" w:hAnsi="Times New Roman" w:cs="Times New Roman"/>
          <w:sz w:val="24"/>
          <w:szCs w:val="24"/>
        </w:rPr>
        <w:t xml:space="preserve"> </w:t>
      </w:r>
      <w:r w:rsidR="006A2F22" w:rsidRPr="006A2F22">
        <w:rPr>
          <w:rFonts w:ascii="Times New Roman" w:hAnsi="Times New Roman" w:cs="Times New Roman"/>
          <w:sz w:val="24"/>
          <w:szCs w:val="24"/>
        </w:rPr>
        <w:t>(za 2020 r. suma kosztów z tytułu ryzyka braku zgodności wyniosła 0,0008% kosztów ogółem Banku poniesionych w 2019 r., co stanowi 0,04% dopuszczalnego limitu kosztów z tytułu ryzyka braku zgodności).</w:t>
      </w:r>
    </w:p>
    <w:p w14:paraId="1AA0CDBE" w14:textId="77777777" w:rsidR="008E6E85" w:rsidRPr="00B95DE3" w:rsidRDefault="00345354" w:rsidP="00174CA0">
      <w:pPr>
        <w:pStyle w:val="Tekstkomentarza"/>
        <w:spacing w:before="0" w:after="0" w:line="264" w:lineRule="auto"/>
        <w:rPr>
          <w:snapToGrid/>
          <w:szCs w:val="24"/>
          <w:lang w:val="pl-PL"/>
        </w:rPr>
      </w:pPr>
      <w:r w:rsidRPr="00B95DE3">
        <w:rPr>
          <w:bCs/>
          <w:szCs w:val="24"/>
          <w:lang w:val="pl-PL"/>
        </w:rPr>
        <w:t>Na dzień 31.12.20</w:t>
      </w:r>
      <w:r w:rsidR="00B95DE3" w:rsidRPr="00B95DE3">
        <w:rPr>
          <w:bCs/>
          <w:szCs w:val="24"/>
          <w:lang w:val="pl-PL"/>
        </w:rPr>
        <w:t>20</w:t>
      </w:r>
      <w:r w:rsidR="00DB334B" w:rsidRPr="00B95DE3">
        <w:rPr>
          <w:bCs/>
          <w:szCs w:val="24"/>
          <w:lang w:val="pl-PL"/>
        </w:rPr>
        <w:t xml:space="preserve"> </w:t>
      </w:r>
      <w:r w:rsidR="008E6E85" w:rsidRPr="00B95DE3">
        <w:rPr>
          <w:bCs/>
          <w:szCs w:val="24"/>
          <w:lang w:val="pl-PL"/>
        </w:rPr>
        <w:t xml:space="preserve">r. </w:t>
      </w:r>
      <w:r w:rsidR="008E6E85" w:rsidRPr="00B95DE3">
        <w:rPr>
          <w:snapToGrid/>
          <w:szCs w:val="24"/>
          <w:lang w:val="pl-PL"/>
        </w:rPr>
        <w:t xml:space="preserve">Bank nie wyznacza wewnętrznego kapitału na </w:t>
      </w:r>
      <w:r w:rsidR="00DB334B" w:rsidRPr="00B95DE3">
        <w:rPr>
          <w:snapToGrid/>
          <w:szCs w:val="24"/>
          <w:lang w:val="pl-PL"/>
        </w:rPr>
        <w:t xml:space="preserve">pokrycie ryzyka braku zgodności. </w:t>
      </w:r>
    </w:p>
    <w:p w14:paraId="2601A0A1" w14:textId="77777777" w:rsidR="00D12545" w:rsidRPr="00B95DE3" w:rsidRDefault="00D12545" w:rsidP="007B36B8">
      <w:pPr>
        <w:pStyle w:val="Nagwek1"/>
        <w:numPr>
          <w:ilvl w:val="2"/>
          <w:numId w:val="28"/>
        </w:numPr>
        <w:ind w:left="709"/>
        <w:rPr>
          <w:rFonts w:ascii="Times New Roman" w:hAnsi="Times New Roman" w:cs="Times New Roman"/>
          <w:b/>
          <w:color w:val="auto"/>
          <w:sz w:val="24"/>
          <w:szCs w:val="24"/>
        </w:rPr>
      </w:pPr>
      <w:bookmarkStart w:id="53" w:name="_Toc44930296"/>
      <w:r w:rsidRPr="00B95DE3">
        <w:rPr>
          <w:rFonts w:ascii="Times New Roman" w:hAnsi="Times New Roman" w:cs="Times New Roman"/>
          <w:b/>
          <w:color w:val="auto"/>
          <w:sz w:val="24"/>
          <w:szCs w:val="24"/>
        </w:rPr>
        <w:t>KAPITAŁ WEWNĘTRZNY NA RYZYKO NADMIERNEJ DŹWIGNI FINANSOWEJ</w:t>
      </w:r>
      <w:bookmarkEnd w:id="53"/>
      <w:r w:rsidRPr="00B95DE3">
        <w:rPr>
          <w:rFonts w:ascii="Times New Roman" w:hAnsi="Times New Roman" w:cs="Times New Roman"/>
          <w:b/>
          <w:color w:val="auto"/>
          <w:sz w:val="24"/>
          <w:szCs w:val="24"/>
        </w:rPr>
        <w:t xml:space="preserve">  </w:t>
      </w:r>
    </w:p>
    <w:p w14:paraId="277C1994" w14:textId="77777777" w:rsidR="00A0486F" w:rsidRPr="00B95DE3" w:rsidRDefault="00A0486F" w:rsidP="00174CA0">
      <w:pPr>
        <w:spacing w:after="0" w:line="264" w:lineRule="auto"/>
        <w:jc w:val="both"/>
        <w:rPr>
          <w:rFonts w:ascii="Times New Roman" w:hAnsi="Times New Roman" w:cs="Times New Roman"/>
          <w:sz w:val="24"/>
          <w:szCs w:val="24"/>
        </w:rPr>
      </w:pPr>
    </w:p>
    <w:p w14:paraId="5EEE1B7B" w14:textId="77777777" w:rsidR="008E6E85" w:rsidRPr="00B95DE3" w:rsidRDefault="008E6E85" w:rsidP="00174CA0">
      <w:pPr>
        <w:spacing w:after="0" w:line="264" w:lineRule="auto"/>
        <w:jc w:val="both"/>
        <w:rPr>
          <w:rFonts w:ascii="Times New Roman" w:hAnsi="Times New Roman" w:cs="Times New Roman"/>
          <w:sz w:val="24"/>
          <w:szCs w:val="24"/>
        </w:rPr>
      </w:pPr>
      <w:r w:rsidRPr="00B95DE3">
        <w:rPr>
          <w:rFonts w:ascii="Times New Roman" w:hAnsi="Times New Roman" w:cs="Times New Roman"/>
          <w:sz w:val="24"/>
          <w:szCs w:val="24"/>
        </w:rPr>
        <w:t>W celu oceny istotności ryzyka nadmiernej dźwigni Bank wylicza wskaźnik dźwigni finansowej według wzoru:</w:t>
      </w:r>
    </w:p>
    <w:tbl>
      <w:tblPr>
        <w:tblW w:w="7483" w:type="dxa"/>
        <w:tblInd w:w="1101" w:type="dxa"/>
        <w:tblLook w:val="01E0" w:firstRow="1" w:lastRow="1" w:firstColumn="1" w:lastColumn="1" w:noHBand="0" w:noVBand="0"/>
      </w:tblPr>
      <w:tblGrid>
        <w:gridCol w:w="6066"/>
        <w:gridCol w:w="1417"/>
      </w:tblGrid>
      <w:tr w:rsidR="000E3272" w:rsidRPr="00B95DE3" w14:paraId="5D752FBC" w14:textId="77777777" w:rsidTr="00D32AEC">
        <w:trPr>
          <w:trHeight w:hRule="exact" w:val="680"/>
        </w:trPr>
        <w:tc>
          <w:tcPr>
            <w:tcW w:w="6066" w:type="dxa"/>
            <w:tcBorders>
              <w:top w:val="nil"/>
              <w:left w:val="nil"/>
              <w:bottom w:val="single" w:sz="4" w:space="0" w:color="auto"/>
              <w:right w:val="nil"/>
            </w:tcBorders>
            <w:shd w:val="clear" w:color="auto" w:fill="auto"/>
            <w:vAlign w:val="center"/>
          </w:tcPr>
          <w:p w14:paraId="6FA119EB" w14:textId="77777777" w:rsidR="008E6E85" w:rsidRPr="00B95DE3" w:rsidRDefault="008E6E85" w:rsidP="00174CA0">
            <w:pPr>
              <w:pStyle w:val="Tekstkomentarza"/>
              <w:tabs>
                <w:tab w:val="num" w:pos="900"/>
              </w:tabs>
              <w:spacing w:before="0" w:after="0" w:line="264" w:lineRule="auto"/>
              <w:jc w:val="center"/>
              <w:rPr>
                <w:szCs w:val="24"/>
                <w:lang w:val="pl-PL" w:eastAsia="pl-PL"/>
              </w:rPr>
            </w:pPr>
            <w:r w:rsidRPr="00B95DE3">
              <w:rPr>
                <w:szCs w:val="24"/>
                <w:lang w:val="pl-PL" w:eastAsia="pl-PL"/>
              </w:rPr>
              <w:t>Kapitał Tier I</w:t>
            </w:r>
          </w:p>
        </w:tc>
        <w:tc>
          <w:tcPr>
            <w:tcW w:w="1417" w:type="dxa"/>
            <w:vMerge w:val="restart"/>
            <w:tcBorders>
              <w:top w:val="nil"/>
              <w:left w:val="nil"/>
              <w:right w:val="nil"/>
            </w:tcBorders>
            <w:vAlign w:val="center"/>
          </w:tcPr>
          <w:p w14:paraId="126C3D37" w14:textId="77777777" w:rsidR="008E6E85" w:rsidRPr="00B95DE3" w:rsidRDefault="008E6E85" w:rsidP="00174CA0">
            <w:pPr>
              <w:pStyle w:val="Tekstkomentarza"/>
              <w:tabs>
                <w:tab w:val="num" w:pos="900"/>
              </w:tabs>
              <w:spacing w:before="0" w:after="0" w:line="264" w:lineRule="auto"/>
              <w:jc w:val="center"/>
              <w:rPr>
                <w:szCs w:val="24"/>
                <w:lang w:val="pl-PL" w:eastAsia="pl-PL"/>
              </w:rPr>
            </w:pPr>
            <w:r w:rsidRPr="00B95DE3">
              <w:rPr>
                <w:szCs w:val="24"/>
                <w:lang w:val="pl-PL" w:eastAsia="pl-PL"/>
              </w:rPr>
              <w:t>x 100</w:t>
            </w:r>
          </w:p>
        </w:tc>
      </w:tr>
      <w:tr w:rsidR="008E6E85" w:rsidRPr="00B95DE3" w14:paraId="193A218C" w14:textId="77777777" w:rsidTr="00D32AEC">
        <w:trPr>
          <w:trHeight w:hRule="exact" w:val="680"/>
        </w:trPr>
        <w:tc>
          <w:tcPr>
            <w:tcW w:w="6066" w:type="dxa"/>
            <w:tcBorders>
              <w:top w:val="single" w:sz="4" w:space="0" w:color="auto"/>
              <w:left w:val="nil"/>
              <w:bottom w:val="nil"/>
              <w:right w:val="nil"/>
            </w:tcBorders>
            <w:shd w:val="clear" w:color="auto" w:fill="auto"/>
            <w:vAlign w:val="center"/>
          </w:tcPr>
          <w:p w14:paraId="73B52772" w14:textId="77777777" w:rsidR="008E6E85" w:rsidRPr="00B95DE3" w:rsidRDefault="008E6E85" w:rsidP="00174CA0">
            <w:pPr>
              <w:pStyle w:val="Tekstkomentarza"/>
              <w:tabs>
                <w:tab w:val="num" w:pos="900"/>
              </w:tabs>
              <w:spacing w:before="0" w:after="0" w:line="264" w:lineRule="auto"/>
              <w:jc w:val="center"/>
              <w:rPr>
                <w:szCs w:val="24"/>
                <w:lang w:val="pl-PL" w:eastAsia="pl-PL"/>
              </w:rPr>
            </w:pPr>
            <w:r w:rsidRPr="00B95DE3">
              <w:rPr>
                <w:szCs w:val="24"/>
                <w:lang w:val="pl-PL" w:eastAsia="pl-PL"/>
              </w:rPr>
              <w:t>Wartość ekspozycji całkowitej</w:t>
            </w:r>
            <w:r w:rsidRPr="00B95DE3">
              <w:rPr>
                <w:lang w:val="pl-PL" w:eastAsia="pl-PL"/>
              </w:rPr>
              <w:t xml:space="preserve"> </w:t>
            </w:r>
            <w:r w:rsidRPr="00B95DE3">
              <w:rPr>
                <w:szCs w:val="24"/>
                <w:lang w:val="pl-PL" w:eastAsia="pl-PL"/>
              </w:rPr>
              <w:t>obliczona zgodnie z art. 429 Rozporządzenia</w:t>
            </w:r>
          </w:p>
        </w:tc>
        <w:tc>
          <w:tcPr>
            <w:tcW w:w="1417" w:type="dxa"/>
            <w:vMerge/>
            <w:tcBorders>
              <w:left w:val="nil"/>
              <w:bottom w:val="nil"/>
              <w:right w:val="nil"/>
            </w:tcBorders>
          </w:tcPr>
          <w:p w14:paraId="07B72CB0" w14:textId="77777777" w:rsidR="008E6E85" w:rsidRPr="00B95DE3" w:rsidRDefault="008E6E85" w:rsidP="00174CA0">
            <w:pPr>
              <w:pStyle w:val="Tekstkomentarza"/>
              <w:tabs>
                <w:tab w:val="num" w:pos="900"/>
              </w:tabs>
              <w:spacing w:before="0" w:after="0" w:line="264" w:lineRule="auto"/>
              <w:jc w:val="center"/>
              <w:rPr>
                <w:szCs w:val="24"/>
                <w:lang w:val="pl-PL" w:eastAsia="pl-PL"/>
              </w:rPr>
            </w:pPr>
          </w:p>
        </w:tc>
      </w:tr>
    </w:tbl>
    <w:p w14:paraId="6625C7E1" w14:textId="77777777" w:rsidR="00A0486F" w:rsidRPr="00B95DE3" w:rsidRDefault="00A0486F" w:rsidP="00174CA0">
      <w:pPr>
        <w:pStyle w:val="Tekstkomentarza"/>
        <w:tabs>
          <w:tab w:val="num" w:pos="900"/>
        </w:tabs>
        <w:spacing w:before="0" w:after="0" w:line="264" w:lineRule="auto"/>
      </w:pPr>
    </w:p>
    <w:p w14:paraId="527202A4" w14:textId="77777777" w:rsidR="008E6E85" w:rsidRPr="00B95DE3" w:rsidRDefault="00A0486F" w:rsidP="00174CA0">
      <w:pPr>
        <w:pStyle w:val="Tekstkomentarza"/>
        <w:tabs>
          <w:tab w:val="num" w:pos="900"/>
        </w:tabs>
        <w:spacing w:before="0" w:after="0" w:line="264" w:lineRule="auto"/>
      </w:pPr>
      <w:r w:rsidRPr="00B95DE3">
        <w:tab/>
      </w:r>
      <w:r w:rsidR="008E6E85" w:rsidRPr="00B95DE3">
        <w:t xml:space="preserve">Ryzyko to zostanie uznane za istotne, jeżeli </w:t>
      </w:r>
      <w:r w:rsidR="00DB334B" w:rsidRPr="00B95DE3">
        <w:rPr>
          <w:lang w:val="pl-PL"/>
        </w:rPr>
        <w:t xml:space="preserve">powyższy </w:t>
      </w:r>
      <w:r w:rsidR="00DB334B" w:rsidRPr="00B95DE3">
        <w:t xml:space="preserve">wskaźnik, </w:t>
      </w:r>
      <w:r w:rsidR="008E6E85" w:rsidRPr="00B95DE3">
        <w:t>li</w:t>
      </w:r>
      <w:r w:rsidR="00DB334B" w:rsidRPr="00B95DE3">
        <w:t xml:space="preserve">czony na koniec danego kwartału, </w:t>
      </w:r>
      <w:r w:rsidR="008E6E85" w:rsidRPr="00B95DE3">
        <w:t xml:space="preserve">przyjmie wartość niższą niż </w:t>
      </w:r>
      <w:r w:rsidR="008E6E85" w:rsidRPr="00B95DE3">
        <w:rPr>
          <w:lang w:val="pl-PL"/>
        </w:rPr>
        <w:t>5</w:t>
      </w:r>
      <w:r w:rsidR="008E6E85" w:rsidRPr="00B95DE3">
        <w:t>,00 %.</w:t>
      </w:r>
    </w:p>
    <w:p w14:paraId="7ADC29BD" w14:textId="77777777" w:rsidR="00A0486F" w:rsidRPr="00B95DE3" w:rsidRDefault="00A0486F" w:rsidP="00174CA0">
      <w:pPr>
        <w:pStyle w:val="Tekstkomentarza"/>
        <w:tabs>
          <w:tab w:val="num" w:pos="900"/>
        </w:tabs>
        <w:spacing w:before="0" w:after="0" w:line="264" w:lineRule="auto"/>
        <w:rPr>
          <w:snapToGrid/>
        </w:rPr>
      </w:pPr>
    </w:p>
    <w:p w14:paraId="6B3A2188" w14:textId="77777777" w:rsidR="008E6E85" w:rsidRPr="00B95DE3" w:rsidRDefault="00A0486F" w:rsidP="00174CA0">
      <w:pPr>
        <w:pStyle w:val="Tekstkomentarza"/>
        <w:tabs>
          <w:tab w:val="num" w:pos="900"/>
        </w:tabs>
        <w:spacing w:before="0" w:after="0" w:line="264" w:lineRule="auto"/>
        <w:rPr>
          <w:lang w:val="pl-PL"/>
        </w:rPr>
      </w:pPr>
      <w:r w:rsidRPr="00B95DE3">
        <w:rPr>
          <w:snapToGrid/>
        </w:rPr>
        <w:tab/>
      </w:r>
      <w:r w:rsidR="008E6E85" w:rsidRPr="00B95DE3">
        <w:rPr>
          <w:snapToGrid/>
        </w:rPr>
        <w:t xml:space="preserve">W przypadku sklasyfikowania ryzyka nadmiernej dźwigni jako istotne, Bank wylicza dodatkowy wymóg kapitałowy </w:t>
      </w:r>
      <w:r w:rsidR="008E6E85" w:rsidRPr="00B95DE3">
        <w:t>w wysokości iloczynu kapitału Tier I i wartości stanowiącej różnicę pomiędzy wyznaczonym ww. limitem wskaźnika dźwigni finansowej (</w:t>
      </w:r>
      <w:r w:rsidR="008E6E85" w:rsidRPr="00B95DE3">
        <w:rPr>
          <w:lang w:val="pl-PL"/>
        </w:rPr>
        <w:t>5</w:t>
      </w:r>
      <w:r w:rsidR="00DB334B" w:rsidRPr="00B95DE3">
        <w:t>%)</w:t>
      </w:r>
      <w:r w:rsidR="008E6E85" w:rsidRPr="00B95DE3">
        <w:t>, a wielkością faktyczną na dzień analizy.</w:t>
      </w:r>
    </w:p>
    <w:p w14:paraId="30255193" w14:textId="77777777" w:rsidR="008E6E85" w:rsidRPr="00B95DE3" w:rsidRDefault="00B95F7B" w:rsidP="00A0486F">
      <w:pPr>
        <w:pStyle w:val="Tekstkomentarza"/>
        <w:spacing w:before="0" w:after="0" w:line="264" w:lineRule="auto"/>
        <w:ind w:firstLine="708"/>
        <w:rPr>
          <w:snapToGrid/>
          <w:szCs w:val="24"/>
          <w:lang w:val="pl-PL"/>
        </w:rPr>
      </w:pPr>
      <w:r w:rsidRPr="00B95DE3">
        <w:rPr>
          <w:bCs/>
          <w:szCs w:val="24"/>
          <w:lang w:val="pl-PL"/>
        </w:rPr>
        <w:t>Na dzień 31.12.20</w:t>
      </w:r>
      <w:r w:rsidR="00B95DE3">
        <w:rPr>
          <w:bCs/>
          <w:szCs w:val="24"/>
          <w:lang w:val="pl-PL"/>
        </w:rPr>
        <w:t>20</w:t>
      </w:r>
      <w:r w:rsidR="00DB334B" w:rsidRPr="00B95DE3">
        <w:rPr>
          <w:bCs/>
          <w:szCs w:val="24"/>
          <w:lang w:val="pl-PL"/>
        </w:rPr>
        <w:t xml:space="preserve"> </w:t>
      </w:r>
      <w:r w:rsidR="008E6E85" w:rsidRPr="00B95DE3">
        <w:rPr>
          <w:bCs/>
          <w:szCs w:val="24"/>
          <w:lang w:val="pl-PL"/>
        </w:rPr>
        <w:t xml:space="preserve">r. </w:t>
      </w:r>
      <w:r w:rsidR="00A0486F" w:rsidRPr="00B95DE3">
        <w:rPr>
          <w:bCs/>
          <w:szCs w:val="24"/>
          <w:lang w:val="pl-PL"/>
        </w:rPr>
        <w:t>wskaźnik dźwigni finansowe</w:t>
      </w:r>
      <w:r w:rsidR="00DB334B" w:rsidRPr="00B95DE3">
        <w:rPr>
          <w:bCs/>
          <w:szCs w:val="24"/>
          <w:lang w:val="pl-PL"/>
        </w:rPr>
        <w:t>j</w:t>
      </w:r>
      <w:r w:rsidR="00A0486F" w:rsidRPr="00B95DE3">
        <w:rPr>
          <w:bCs/>
          <w:szCs w:val="24"/>
          <w:lang w:val="pl-PL"/>
        </w:rPr>
        <w:t xml:space="preserve"> osiągnął poziom  </w:t>
      </w:r>
      <w:r w:rsidR="00345354" w:rsidRPr="00B95DE3">
        <w:rPr>
          <w:bCs/>
          <w:szCs w:val="24"/>
          <w:lang w:val="pl-PL"/>
        </w:rPr>
        <w:t>11,</w:t>
      </w:r>
      <w:r w:rsidR="00B95DE3">
        <w:rPr>
          <w:bCs/>
          <w:szCs w:val="24"/>
          <w:lang w:val="pl-PL"/>
        </w:rPr>
        <w:t>52</w:t>
      </w:r>
      <w:r w:rsidR="00A0486F" w:rsidRPr="00B95DE3">
        <w:rPr>
          <w:bCs/>
          <w:szCs w:val="24"/>
          <w:lang w:val="pl-PL"/>
        </w:rPr>
        <w:t>%</w:t>
      </w:r>
      <w:r w:rsidR="00DB334B" w:rsidRPr="00B95DE3">
        <w:rPr>
          <w:bCs/>
          <w:szCs w:val="24"/>
          <w:lang w:val="pl-PL"/>
        </w:rPr>
        <w:t>.</w:t>
      </w:r>
      <w:r w:rsidR="00A0486F" w:rsidRPr="00B95DE3">
        <w:rPr>
          <w:bCs/>
          <w:szCs w:val="24"/>
          <w:lang w:val="pl-PL"/>
        </w:rPr>
        <w:t xml:space="preserve"> </w:t>
      </w:r>
      <w:r w:rsidR="008E6E85" w:rsidRPr="00B95DE3">
        <w:rPr>
          <w:snapToGrid/>
          <w:szCs w:val="24"/>
          <w:lang w:val="pl-PL"/>
        </w:rPr>
        <w:t xml:space="preserve">Bank nie wyznacza wewnętrznego kapitału na pokrycie ryzyka nadmiernej dźwigni finansowej.  </w:t>
      </w:r>
    </w:p>
    <w:p w14:paraId="22B72EEC" w14:textId="77777777" w:rsidR="006C34F1" w:rsidRPr="00B95DE3" w:rsidRDefault="006C34F1" w:rsidP="00174CA0">
      <w:pPr>
        <w:spacing w:after="0" w:line="264" w:lineRule="auto"/>
        <w:rPr>
          <w:rFonts w:ascii="Times New Roman" w:hAnsi="Times New Roman" w:cs="Times New Roman"/>
          <w:sz w:val="24"/>
          <w:szCs w:val="24"/>
          <w:lang w:val="x-none"/>
        </w:rPr>
      </w:pPr>
    </w:p>
    <w:p w14:paraId="688FE840" w14:textId="77777777" w:rsidR="00345354" w:rsidRPr="00B95DE3" w:rsidRDefault="00345354" w:rsidP="00345354">
      <w:pPr>
        <w:pStyle w:val="Nagwek1"/>
        <w:numPr>
          <w:ilvl w:val="2"/>
          <w:numId w:val="28"/>
        </w:numPr>
        <w:ind w:left="709"/>
        <w:rPr>
          <w:rFonts w:ascii="Times New Roman" w:hAnsi="Times New Roman" w:cs="Times New Roman"/>
          <w:b/>
          <w:color w:val="auto"/>
          <w:sz w:val="24"/>
          <w:szCs w:val="24"/>
        </w:rPr>
      </w:pPr>
      <w:bookmarkStart w:id="54" w:name="_Toc44930297"/>
      <w:r w:rsidRPr="00B95DE3">
        <w:rPr>
          <w:rFonts w:ascii="Times New Roman" w:hAnsi="Times New Roman" w:cs="Times New Roman"/>
          <w:b/>
          <w:color w:val="auto"/>
          <w:sz w:val="24"/>
          <w:szCs w:val="24"/>
        </w:rPr>
        <w:t>KAPITAŁ WEWNĘTRZNY NA RYZYKO INWESTYCJI FINANSOWYCH</w:t>
      </w:r>
      <w:bookmarkEnd w:id="54"/>
      <w:r w:rsidRPr="00B95DE3">
        <w:rPr>
          <w:rFonts w:ascii="Times New Roman" w:hAnsi="Times New Roman" w:cs="Times New Roman"/>
          <w:b/>
          <w:color w:val="auto"/>
          <w:sz w:val="24"/>
          <w:szCs w:val="24"/>
        </w:rPr>
        <w:t xml:space="preserve">  </w:t>
      </w:r>
    </w:p>
    <w:p w14:paraId="73CDDB41" w14:textId="77777777" w:rsidR="00345354" w:rsidRPr="00B95DE3" w:rsidRDefault="00345354" w:rsidP="00345354">
      <w:pPr>
        <w:pStyle w:val="Tekstkomentarza"/>
        <w:tabs>
          <w:tab w:val="num" w:pos="0"/>
        </w:tabs>
        <w:spacing w:before="0" w:after="0" w:line="264" w:lineRule="auto"/>
        <w:rPr>
          <w:b/>
          <w:szCs w:val="24"/>
          <w:lang w:val="pl-PL"/>
        </w:rPr>
      </w:pPr>
    </w:p>
    <w:p w14:paraId="3B613E0E" w14:textId="77777777" w:rsidR="00345354" w:rsidRPr="00B95DE3" w:rsidRDefault="00345354" w:rsidP="00345354">
      <w:pPr>
        <w:pStyle w:val="Tekstkomentarza"/>
        <w:tabs>
          <w:tab w:val="num" w:pos="0"/>
        </w:tabs>
        <w:spacing w:before="0" w:after="0" w:line="264" w:lineRule="auto"/>
        <w:rPr>
          <w:szCs w:val="24"/>
          <w:lang w:val="pl-PL"/>
        </w:rPr>
      </w:pPr>
      <w:r w:rsidRPr="00B95DE3">
        <w:rPr>
          <w:szCs w:val="24"/>
          <w:lang w:val="pl-PL"/>
        </w:rPr>
        <w:t xml:space="preserve">Ryzyko inwestycji finansowych to ryzyko o charakterze kredytowym i płynnościowym, wynikające z inwestowania środków głównie w celu  zabezpieczenia płynności  oraz  </w:t>
      </w:r>
      <w:r w:rsidRPr="00B95DE3">
        <w:rPr>
          <w:szCs w:val="24"/>
          <w:lang w:val="pl-PL"/>
        </w:rPr>
        <w:lastRenderedPageBreak/>
        <w:t>powiększenia ich wartości lub osiągnięcia korzyści ekonomicznych w postaci odsetek i/lub dyskonta. W celu oceny istotności ryzyka inwestycji finansowych Bank raz do roku dokonuje analizy ryzyka inwestycji finansowych oraz wylicza wymóg kapitałowy, zgodnie z testem warunków skrajnych opisanym w załączniku nr 2 do Polityki zarządzania ryzykiem inwestycji finansowych w Warmińsko-Mazurskim Banku Spółdzielczym. Ryzyko to zostanie uznane za istotne, jeżeli poziom rezerw koniecznych do utworzenia w ramach testu przekroczy poziom 30% kapitału Tier I. Na dzień 31.12.20</w:t>
      </w:r>
      <w:r w:rsidR="00B95DE3" w:rsidRPr="00B95DE3">
        <w:rPr>
          <w:szCs w:val="24"/>
          <w:lang w:val="pl-PL"/>
        </w:rPr>
        <w:t>20</w:t>
      </w:r>
      <w:r w:rsidR="0080564D">
        <w:rPr>
          <w:szCs w:val="24"/>
          <w:lang w:val="pl-PL"/>
        </w:rPr>
        <w:t xml:space="preserve"> </w:t>
      </w:r>
      <w:r w:rsidRPr="00B95DE3">
        <w:rPr>
          <w:szCs w:val="24"/>
          <w:lang w:val="pl-PL"/>
        </w:rPr>
        <w:t xml:space="preserve">r. poziom rezerw koniecznych do utworzenia w ramach testu wyniósł </w:t>
      </w:r>
      <w:r w:rsidR="00B95DE3" w:rsidRPr="00B95DE3">
        <w:rPr>
          <w:szCs w:val="24"/>
          <w:lang w:val="pl-PL"/>
        </w:rPr>
        <w:t>20,89</w:t>
      </w:r>
      <w:r w:rsidRPr="00B95DE3">
        <w:rPr>
          <w:szCs w:val="24"/>
          <w:lang w:val="pl-PL"/>
        </w:rPr>
        <w:t xml:space="preserve">%, więc ryzyko uznaje się za nieistotne. Wskaźnik nie przekroczył 30% kapitału Tier I, zatem </w:t>
      </w:r>
      <w:r w:rsidRPr="00B95DE3">
        <w:rPr>
          <w:snapToGrid/>
          <w:szCs w:val="24"/>
          <w:lang w:val="pl-PL"/>
        </w:rPr>
        <w:t>nie wyznacza wewnętrznego kapitału na pokrycie ryzyka inwestycji finansowych.</w:t>
      </w:r>
    </w:p>
    <w:p w14:paraId="1C96793A" w14:textId="77777777" w:rsidR="006B4D7E" w:rsidRPr="000E3272" w:rsidRDefault="006B4D7E" w:rsidP="00174CA0">
      <w:pPr>
        <w:spacing w:after="0" w:line="264" w:lineRule="auto"/>
        <w:jc w:val="both"/>
        <w:rPr>
          <w:rFonts w:ascii="Times New Roman" w:hAnsi="Times New Roman" w:cs="Times New Roman"/>
          <w:b/>
          <w:color w:val="FF0000"/>
          <w:sz w:val="24"/>
          <w:szCs w:val="24"/>
        </w:rPr>
      </w:pPr>
    </w:p>
    <w:p w14:paraId="53B56D40" w14:textId="77777777" w:rsidR="006C34F1" w:rsidRPr="00B95DE3" w:rsidRDefault="006C34F1" w:rsidP="007B36B8">
      <w:pPr>
        <w:pStyle w:val="Nagwek1"/>
        <w:numPr>
          <w:ilvl w:val="1"/>
          <w:numId w:val="28"/>
        </w:numPr>
        <w:ind w:left="709" w:hanging="709"/>
        <w:rPr>
          <w:rFonts w:ascii="Times New Roman" w:hAnsi="Times New Roman" w:cs="Times New Roman"/>
          <w:b/>
          <w:color w:val="auto"/>
          <w:sz w:val="24"/>
          <w:szCs w:val="24"/>
        </w:rPr>
      </w:pPr>
      <w:bookmarkStart w:id="55" w:name="_Toc44930298"/>
      <w:r w:rsidRPr="00B95DE3">
        <w:rPr>
          <w:rFonts w:ascii="Times New Roman" w:hAnsi="Times New Roman" w:cs="Times New Roman"/>
          <w:b/>
          <w:color w:val="auto"/>
          <w:sz w:val="24"/>
          <w:szCs w:val="24"/>
        </w:rPr>
        <w:t xml:space="preserve">ZAGREGOWANY KAPITAŁ WEWNĘTRZNY I WEWNĘTRZNY WSPÓŁCZYNNIK </w:t>
      </w:r>
      <w:r w:rsidR="008E6E85" w:rsidRPr="00B95DE3">
        <w:rPr>
          <w:rFonts w:ascii="Times New Roman" w:hAnsi="Times New Roman" w:cs="Times New Roman"/>
          <w:b/>
          <w:color w:val="auto"/>
          <w:sz w:val="24"/>
          <w:szCs w:val="24"/>
        </w:rPr>
        <w:t>K</w:t>
      </w:r>
      <w:r w:rsidRPr="00B95DE3">
        <w:rPr>
          <w:rFonts w:ascii="Times New Roman" w:hAnsi="Times New Roman" w:cs="Times New Roman"/>
          <w:b/>
          <w:color w:val="auto"/>
          <w:sz w:val="24"/>
          <w:szCs w:val="24"/>
        </w:rPr>
        <w:t>APITAŁOWY</w:t>
      </w:r>
      <w:bookmarkEnd w:id="55"/>
      <w:r w:rsidRPr="00B95DE3">
        <w:rPr>
          <w:rFonts w:ascii="Times New Roman" w:hAnsi="Times New Roman" w:cs="Times New Roman"/>
          <w:b/>
          <w:color w:val="auto"/>
          <w:sz w:val="24"/>
          <w:szCs w:val="24"/>
        </w:rPr>
        <w:t xml:space="preserve"> </w:t>
      </w:r>
    </w:p>
    <w:p w14:paraId="722D1F84" w14:textId="77777777" w:rsidR="00054A41" w:rsidRPr="00B95DE3" w:rsidRDefault="00054A41" w:rsidP="00174CA0">
      <w:pPr>
        <w:spacing w:after="0" w:line="264" w:lineRule="auto"/>
        <w:jc w:val="both"/>
        <w:rPr>
          <w:rFonts w:ascii="Times New Roman" w:hAnsi="Times New Roman" w:cs="Times New Roman"/>
          <w:sz w:val="24"/>
          <w:szCs w:val="24"/>
        </w:rPr>
      </w:pPr>
    </w:p>
    <w:p w14:paraId="481F010A" w14:textId="77777777" w:rsidR="006C34F1" w:rsidRPr="00B95DE3" w:rsidRDefault="006C34F1" w:rsidP="00174CA0">
      <w:pPr>
        <w:spacing w:after="0" w:line="264" w:lineRule="auto"/>
        <w:jc w:val="both"/>
        <w:rPr>
          <w:rFonts w:ascii="Times New Roman" w:hAnsi="Times New Roman" w:cs="Times New Roman"/>
          <w:sz w:val="24"/>
          <w:szCs w:val="24"/>
        </w:rPr>
      </w:pPr>
      <w:r w:rsidRPr="00B95DE3">
        <w:rPr>
          <w:rFonts w:ascii="Times New Roman" w:hAnsi="Times New Roman" w:cs="Times New Roman"/>
          <w:sz w:val="24"/>
          <w:szCs w:val="24"/>
        </w:rPr>
        <w:t>Na podstawie analizy prz</w:t>
      </w:r>
      <w:r w:rsidR="00345354" w:rsidRPr="00B95DE3">
        <w:rPr>
          <w:rFonts w:ascii="Times New Roman" w:hAnsi="Times New Roman" w:cs="Times New Roman"/>
          <w:sz w:val="24"/>
          <w:szCs w:val="24"/>
        </w:rPr>
        <w:t>eprowadzonej na dzień 31.12.20</w:t>
      </w:r>
      <w:r w:rsidR="00B95DE3" w:rsidRPr="00B95DE3">
        <w:rPr>
          <w:rFonts w:ascii="Times New Roman" w:hAnsi="Times New Roman" w:cs="Times New Roman"/>
          <w:sz w:val="24"/>
          <w:szCs w:val="24"/>
        </w:rPr>
        <w:t>20</w:t>
      </w:r>
      <w:r w:rsidRPr="00B95DE3">
        <w:rPr>
          <w:rFonts w:ascii="Times New Roman" w:hAnsi="Times New Roman" w:cs="Times New Roman"/>
          <w:sz w:val="24"/>
          <w:szCs w:val="24"/>
        </w:rPr>
        <w:t xml:space="preserve"> r. oszacowano zagregowany poziom kapitału wewnętrznego, wymagany dla zabezpieczenia wszystkich zidentyfikowanych, istotnych ryzyk występujących w działalności Banku. </w:t>
      </w:r>
    </w:p>
    <w:p w14:paraId="6877C0A9" w14:textId="77777777" w:rsidR="006C34F1" w:rsidRPr="00B95DE3" w:rsidRDefault="006F221F" w:rsidP="00054A41">
      <w:pPr>
        <w:spacing w:after="0" w:line="264" w:lineRule="auto"/>
        <w:jc w:val="both"/>
        <w:rPr>
          <w:rFonts w:ascii="Times New Roman" w:hAnsi="Times New Roman" w:cs="Times New Roman"/>
          <w:sz w:val="24"/>
          <w:szCs w:val="24"/>
        </w:rPr>
      </w:pPr>
      <w:r w:rsidRPr="00B95DE3">
        <w:rPr>
          <w:rFonts w:ascii="Times New Roman" w:hAnsi="Times New Roman" w:cs="Times New Roman"/>
          <w:sz w:val="24"/>
          <w:szCs w:val="24"/>
        </w:rPr>
        <w:t>Na dzień 31.12.20</w:t>
      </w:r>
      <w:r w:rsidR="00B95DE3" w:rsidRPr="00B95DE3">
        <w:rPr>
          <w:rFonts w:ascii="Times New Roman" w:hAnsi="Times New Roman" w:cs="Times New Roman"/>
          <w:sz w:val="24"/>
          <w:szCs w:val="24"/>
        </w:rPr>
        <w:t>20</w:t>
      </w:r>
      <w:r w:rsidR="006C34F1" w:rsidRPr="00B95DE3">
        <w:rPr>
          <w:rFonts w:ascii="Times New Roman" w:hAnsi="Times New Roman" w:cs="Times New Roman"/>
          <w:sz w:val="24"/>
          <w:szCs w:val="24"/>
        </w:rPr>
        <w:t xml:space="preserve"> r. wartość kapitału wewnętrznego oszacowano na poziomie </w:t>
      </w:r>
      <w:r w:rsidR="006A2F22">
        <w:rPr>
          <w:rFonts w:ascii="Times New Roman" w:hAnsi="Times New Roman" w:cs="Times New Roman"/>
          <w:sz w:val="24"/>
          <w:szCs w:val="24"/>
        </w:rPr>
        <w:t>33 976</w:t>
      </w:r>
      <w:r w:rsidR="006B4D7E" w:rsidRPr="00B95DE3">
        <w:rPr>
          <w:rFonts w:ascii="Times New Roman" w:hAnsi="Times New Roman" w:cs="Times New Roman"/>
          <w:sz w:val="24"/>
          <w:szCs w:val="24"/>
        </w:rPr>
        <w:t xml:space="preserve"> tys. zł</w:t>
      </w:r>
      <w:r w:rsidR="006C34F1" w:rsidRPr="00B95DE3">
        <w:rPr>
          <w:rFonts w:ascii="Times New Roman" w:hAnsi="Times New Roman" w:cs="Times New Roman"/>
          <w:sz w:val="24"/>
          <w:szCs w:val="24"/>
        </w:rPr>
        <w:t xml:space="preserve"> i składał się on z: </w:t>
      </w:r>
    </w:p>
    <w:p w14:paraId="5527000A" w14:textId="77777777" w:rsidR="006C34F1" w:rsidRPr="00B95DE3" w:rsidRDefault="006C34F1" w:rsidP="00DB334B">
      <w:pPr>
        <w:spacing w:after="0" w:line="264" w:lineRule="auto"/>
        <w:ind w:firstLine="426"/>
        <w:rPr>
          <w:rFonts w:ascii="Times New Roman" w:hAnsi="Times New Roman" w:cs="Times New Roman"/>
          <w:sz w:val="24"/>
          <w:szCs w:val="24"/>
        </w:rPr>
      </w:pPr>
      <w:r w:rsidRPr="00B95DE3">
        <w:rPr>
          <w:rFonts w:ascii="Times New Roman" w:hAnsi="Times New Roman" w:cs="Times New Roman"/>
          <w:sz w:val="24"/>
          <w:szCs w:val="24"/>
        </w:rPr>
        <w:t xml:space="preserve">1) kapitału regulacyjnego w wysokości </w:t>
      </w:r>
      <w:r w:rsidR="00B95DE3" w:rsidRPr="00B95DE3">
        <w:rPr>
          <w:rFonts w:ascii="Times New Roman" w:hAnsi="Times New Roman" w:cs="Times New Roman"/>
          <w:sz w:val="24"/>
          <w:szCs w:val="24"/>
        </w:rPr>
        <w:t>33 133</w:t>
      </w:r>
      <w:r w:rsidR="006B4D7E" w:rsidRPr="00B95DE3">
        <w:rPr>
          <w:rFonts w:ascii="Times New Roman" w:hAnsi="Times New Roman" w:cs="Times New Roman"/>
          <w:sz w:val="24"/>
          <w:szCs w:val="24"/>
        </w:rPr>
        <w:t xml:space="preserve"> tys. zł</w:t>
      </w:r>
      <w:r w:rsidRPr="00B95DE3">
        <w:rPr>
          <w:rFonts w:ascii="Times New Roman" w:hAnsi="Times New Roman" w:cs="Times New Roman"/>
          <w:sz w:val="24"/>
          <w:szCs w:val="24"/>
        </w:rPr>
        <w:t xml:space="preserve">; </w:t>
      </w:r>
    </w:p>
    <w:p w14:paraId="54396802" w14:textId="77777777" w:rsidR="006C34F1" w:rsidRPr="00B95DE3" w:rsidRDefault="006C34F1" w:rsidP="00DB334B">
      <w:pPr>
        <w:spacing w:after="0" w:line="264" w:lineRule="auto"/>
        <w:ind w:firstLine="426"/>
        <w:rPr>
          <w:rFonts w:ascii="Times New Roman" w:hAnsi="Times New Roman" w:cs="Times New Roman"/>
          <w:sz w:val="24"/>
          <w:szCs w:val="24"/>
        </w:rPr>
      </w:pPr>
      <w:r w:rsidRPr="00B95DE3">
        <w:rPr>
          <w:rFonts w:ascii="Times New Roman" w:hAnsi="Times New Roman" w:cs="Times New Roman"/>
          <w:sz w:val="24"/>
          <w:szCs w:val="24"/>
        </w:rPr>
        <w:t xml:space="preserve">2) wewnętrznych wymogów kapitałowych w kwocie </w:t>
      </w:r>
      <w:r w:rsidR="00B95DE3" w:rsidRPr="00B95DE3">
        <w:rPr>
          <w:rFonts w:ascii="Times New Roman" w:hAnsi="Times New Roman" w:cs="Times New Roman"/>
          <w:sz w:val="24"/>
          <w:szCs w:val="24"/>
        </w:rPr>
        <w:t>843</w:t>
      </w:r>
      <w:r w:rsidR="003F0D7F" w:rsidRPr="00B95DE3">
        <w:rPr>
          <w:rFonts w:ascii="Times New Roman" w:hAnsi="Times New Roman" w:cs="Times New Roman"/>
          <w:sz w:val="24"/>
          <w:szCs w:val="24"/>
        </w:rPr>
        <w:t> tys. zł</w:t>
      </w:r>
      <w:r w:rsidRPr="00B95DE3">
        <w:rPr>
          <w:rFonts w:ascii="Times New Roman" w:hAnsi="Times New Roman" w:cs="Times New Roman"/>
          <w:sz w:val="24"/>
          <w:szCs w:val="24"/>
        </w:rPr>
        <w:t xml:space="preserve">. </w:t>
      </w:r>
    </w:p>
    <w:p w14:paraId="3957EF8A" w14:textId="77777777" w:rsidR="006C34F1" w:rsidRPr="00B95DE3" w:rsidRDefault="00342B20" w:rsidP="00174CA0">
      <w:pPr>
        <w:spacing w:after="0" w:line="264" w:lineRule="auto"/>
        <w:rPr>
          <w:rFonts w:ascii="Times New Roman" w:hAnsi="Times New Roman" w:cs="Times New Roman"/>
          <w:sz w:val="24"/>
          <w:szCs w:val="24"/>
        </w:rPr>
      </w:pPr>
      <w:r w:rsidRPr="003F7C3D">
        <w:rPr>
          <w:rFonts w:ascii="Times New Roman" w:hAnsi="Times New Roman" w:cs="Times New Roman"/>
          <w:sz w:val="24"/>
          <w:szCs w:val="24"/>
        </w:rPr>
        <w:t>Kapitał w</w:t>
      </w:r>
      <w:r w:rsidR="00B12710" w:rsidRPr="003F7C3D">
        <w:rPr>
          <w:rFonts w:ascii="Times New Roman" w:hAnsi="Times New Roman" w:cs="Times New Roman"/>
          <w:sz w:val="24"/>
          <w:szCs w:val="24"/>
        </w:rPr>
        <w:t>ewnętrzny na dzień 31.12.20</w:t>
      </w:r>
      <w:r w:rsidR="00B95DE3" w:rsidRPr="003F7C3D">
        <w:rPr>
          <w:rFonts w:ascii="Times New Roman" w:hAnsi="Times New Roman" w:cs="Times New Roman"/>
          <w:sz w:val="24"/>
          <w:szCs w:val="24"/>
        </w:rPr>
        <w:t xml:space="preserve">20 </w:t>
      </w:r>
      <w:r w:rsidRPr="003F7C3D">
        <w:rPr>
          <w:rFonts w:ascii="Times New Roman" w:hAnsi="Times New Roman" w:cs="Times New Roman"/>
          <w:sz w:val="24"/>
          <w:szCs w:val="24"/>
        </w:rPr>
        <w:t xml:space="preserve"> r. stanowi </w:t>
      </w:r>
      <w:r w:rsidR="00B95DE3" w:rsidRPr="003F7C3D">
        <w:rPr>
          <w:rFonts w:ascii="Times New Roman" w:hAnsi="Times New Roman" w:cs="Times New Roman"/>
          <w:sz w:val="24"/>
          <w:szCs w:val="24"/>
        </w:rPr>
        <w:t>35,98</w:t>
      </w:r>
      <w:r w:rsidR="006C34F1" w:rsidRPr="003F7C3D">
        <w:rPr>
          <w:rFonts w:ascii="Times New Roman" w:hAnsi="Times New Roman" w:cs="Times New Roman"/>
          <w:sz w:val="24"/>
          <w:szCs w:val="24"/>
        </w:rPr>
        <w:t>%</w:t>
      </w:r>
      <w:r w:rsidRPr="003F7C3D">
        <w:rPr>
          <w:rFonts w:ascii="Times New Roman" w:hAnsi="Times New Roman" w:cs="Times New Roman"/>
          <w:sz w:val="24"/>
          <w:szCs w:val="24"/>
        </w:rPr>
        <w:t xml:space="preserve"> funduszy własnych</w:t>
      </w:r>
      <w:r w:rsidR="006C34F1" w:rsidRPr="003F7C3D">
        <w:rPr>
          <w:rFonts w:ascii="Times New Roman" w:hAnsi="Times New Roman" w:cs="Times New Roman"/>
          <w:sz w:val="24"/>
          <w:szCs w:val="24"/>
        </w:rPr>
        <w:t>.</w:t>
      </w:r>
      <w:r w:rsidR="006C34F1" w:rsidRPr="00B95DE3">
        <w:rPr>
          <w:rFonts w:ascii="Times New Roman" w:hAnsi="Times New Roman" w:cs="Times New Roman"/>
          <w:sz w:val="24"/>
          <w:szCs w:val="24"/>
        </w:rPr>
        <w:t xml:space="preserve"> </w:t>
      </w:r>
    </w:p>
    <w:p w14:paraId="7D8D60AA" w14:textId="77777777" w:rsidR="006C34F1" w:rsidRPr="00B95DE3" w:rsidRDefault="006C34F1" w:rsidP="00174CA0">
      <w:pPr>
        <w:spacing w:after="0" w:line="264" w:lineRule="auto"/>
        <w:rPr>
          <w:rFonts w:ascii="Times New Roman" w:hAnsi="Times New Roman" w:cs="Times New Roman"/>
          <w:sz w:val="24"/>
          <w:szCs w:val="24"/>
        </w:rPr>
      </w:pPr>
    </w:p>
    <w:p w14:paraId="33C24A4D" w14:textId="77777777" w:rsidR="006C34F1" w:rsidRPr="00B95DE3" w:rsidRDefault="006C34F1" w:rsidP="007B36B8">
      <w:pPr>
        <w:pStyle w:val="Nagwek1"/>
        <w:numPr>
          <w:ilvl w:val="2"/>
          <w:numId w:val="28"/>
        </w:numPr>
        <w:ind w:left="709"/>
        <w:rPr>
          <w:rFonts w:ascii="Times New Roman" w:hAnsi="Times New Roman" w:cs="Times New Roman"/>
          <w:b/>
          <w:color w:val="auto"/>
          <w:sz w:val="24"/>
          <w:szCs w:val="24"/>
        </w:rPr>
      </w:pPr>
      <w:bookmarkStart w:id="56" w:name="_Toc44930299"/>
      <w:r w:rsidRPr="00B95DE3">
        <w:rPr>
          <w:rFonts w:ascii="Times New Roman" w:hAnsi="Times New Roman" w:cs="Times New Roman"/>
          <w:b/>
          <w:color w:val="auto"/>
          <w:sz w:val="24"/>
          <w:szCs w:val="24"/>
        </w:rPr>
        <w:t>REALIZACJA CELÓW STRATEGICZNYCH</w:t>
      </w:r>
      <w:bookmarkEnd w:id="56"/>
      <w:r w:rsidRPr="00B95DE3">
        <w:rPr>
          <w:rFonts w:ascii="Times New Roman" w:hAnsi="Times New Roman" w:cs="Times New Roman"/>
          <w:b/>
          <w:color w:val="auto"/>
          <w:sz w:val="24"/>
          <w:szCs w:val="24"/>
        </w:rPr>
        <w:t xml:space="preserve"> </w:t>
      </w:r>
    </w:p>
    <w:p w14:paraId="3FA93F38" w14:textId="77777777" w:rsidR="00054A41" w:rsidRPr="00B95DE3" w:rsidRDefault="00054A41" w:rsidP="00174CA0">
      <w:pPr>
        <w:spacing w:after="0" w:line="264" w:lineRule="auto"/>
        <w:jc w:val="both"/>
        <w:rPr>
          <w:rFonts w:ascii="Times New Roman" w:hAnsi="Times New Roman" w:cs="Times New Roman"/>
          <w:sz w:val="24"/>
          <w:szCs w:val="24"/>
        </w:rPr>
      </w:pPr>
    </w:p>
    <w:p w14:paraId="5AEB199D" w14:textId="77777777" w:rsidR="006C34F1" w:rsidRPr="00B95DE3" w:rsidRDefault="006C34F1" w:rsidP="00174CA0">
      <w:pPr>
        <w:spacing w:after="0" w:line="264" w:lineRule="auto"/>
        <w:jc w:val="both"/>
        <w:rPr>
          <w:rFonts w:ascii="Times New Roman" w:hAnsi="Times New Roman" w:cs="Times New Roman"/>
          <w:sz w:val="24"/>
          <w:szCs w:val="24"/>
        </w:rPr>
      </w:pPr>
      <w:r w:rsidRPr="00B95DE3">
        <w:rPr>
          <w:rFonts w:ascii="Times New Roman" w:hAnsi="Times New Roman" w:cs="Times New Roman"/>
          <w:sz w:val="24"/>
          <w:szCs w:val="24"/>
        </w:rPr>
        <w:t xml:space="preserve">Cele strategiczne w zakresie zarządzania ryzykiem kapitałowym Bank określił w </w:t>
      </w:r>
      <w:r w:rsidR="00B12710" w:rsidRPr="00B95DE3">
        <w:rPr>
          <w:rFonts w:ascii="Times New Roman" w:hAnsi="Times New Roman" w:cs="Times New Roman"/>
          <w:sz w:val="24"/>
          <w:szCs w:val="24"/>
        </w:rPr>
        <w:t xml:space="preserve">Strategii zarządzania Bankiem, </w:t>
      </w:r>
      <w:r w:rsidRPr="00B95DE3">
        <w:rPr>
          <w:rFonts w:ascii="Times New Roman" w:hAnsi="Times New Roman" w:cs="Times New Roman"/>
          <w:sz w:val="24"/>
          <w:szCs w:val="24"/>
        </w:rPr>
        <w:t xml:space="preserve">Strategii zarządzania </w:t>
      </w:r>
      <w:r w:rsidR="008E6E85" w:rsidRPr="00B95DE3">
        <w:rPr>
          <w:rFonts w:ascii="Times New Roman" w:hAnsi="Times New Roman" w:cs="Times New Roman"/>
          <w:sz w:val="24"/>
          <w:szCs w:val="24"/>
        </w:rPr>
        <w:t xml:space="preserve">ryzykiem </w:t>
      </w:r>
      <w:r w:rsidRPr="00B95DE3">
        <w:rPr>
          <w:rFonts w:ascii="Times New Roman" w:hAnsi="Times New Roman" w:cs="Times New Roman"/>
          <w:sz w:val="24"/>
          <w:szCs w:val="24"/>
        </w:rPr>
        <w:t>oraz w Polityce kapitałowej i ustalił je jako utrzymanie tolerancji</w:t>
      </w:r>
      <w:r w:rsidR="00B12710" w:rsidRPr="00B95DE3">
        <w:rPr>
          <w:rFonts w:ascii="Times New Roman" w:hAnsi="Times New Roman" w:cs="Times New Roman"/>
          <w:sz w:val="24"/>
          <w:szCs w:val="24"/>
        </w:rPr>
        <w:t xml:space="preserve"> </w:t>
      </w:r>
      <w:r w:rsidRPr="00B95DE3">
        <w:rPr>
          <w:rFonts w:ascii="Times New Roman" w:hAnsi="Times New Roman" w:cs="Times New Roman"/>
          <w:sz w:val="24"/>
          <w:szCs w:val="24"/>
        </w:rPr>
        <w:t xml:space="preserve">na ryzyko zgodnej z założonym apetytem na ryzyko wyrażonym poprzez wskaźniki ekspozycji określone w poniższej tabeli. </w:t>
      </w:r>
    </w:p>
    <w:p w14:paraId="084286D0" w14:textId="77777777" w:rsidR="00DB334B" w:rsidRPr="00B95DE3" w:rsidRDefault="00DB334B" w:rsidP="00174CA0">
      <w:pPr>
        <w:spacing w:after="0" w:line="264" w:lineRule="auto"/>
        <w:jc w:val="both"/>
        <w:rPr>
          <w:rFonts w:ascii="Times New Roman" w:hAnsi="Times New Roman" w:cs="Times New Roman"/>
          <w:i/>
          <w:sz w:val="24"/>
          <w:szCs w:val="24"/>
        </w:rPr>
      </w:pPr>
      <w:r w:rsidRPr="00B95DE3">
        <w:rPr>
          <w:rFonts w:ascii="Times New Roman" w:hAnsi="Times New Roman" w:cs="Times New Roman"/>
          <w:i/>
          <w:sz w:val="24"/>
          <w:szCs w:val="24"/>
        </w:rPr>
        <w:t>Tabela – apetyt na ryzyko kapitałowe</w:t>
      </w:r>
    </w:p>
    <w:tbl>
      <w:tblPr>
        <w:tblStyle w:val="Tabela-Siatka"/>
        <w:tblW w:w="9067" w:type="dxa"/>
        <w:tblLook w:val="04A0" w:firstRow="1" w:lastRow="0" w:firstColumn="1" w:lastColumn="0" w:noHBand="0" w:noVBand="1"/>
      </w:tblPr>
      <w:tblGrid>
        <w:gridCol w:w="565"/>
        <w:gridCol w:w="2549"/>
        <w:gridCol w:w="1417"/>
        <w:gridCol w:w="1843"/>
        <w:gridCol w:w="2693"/>
      </w:tblGrid>
      <w:tr w:rsidR="000E3272" w:rsidRPr="00B95DE3" w14:paraId="631A3DF8" w14:textId="77777777" w:rsidTr="00AD3E34">
        <w:tc>
          <w:tcPr>
            <w:tcW w:w="565" w:type="dxa"/>
          </w:tcPr>
          <w:p w14:paraId="7B3A86D1" w14:textId="77777777" w:rsidR="0053338E" w:rsidRPr="00B95DE3" w:rsidRDefault="0053338E" w:rsidP="00174CA0">
            <w:pPr>
              <w:spacing w:line="264" w:lineRule="auto"/>
              <w:rPr>
                <w:rFonts w:ascii="Times New Roman" w:hAnsi="Times New Roman" w:cs="Times New Roman"/>
                <w:b/>
                <w:sz w:val="20"/>
                <w:szCs w:val="20"/>
              </w:rPr>
            </w:pPr>
            <w:r w:rsidRPr="00B95DE3">
              <w:rPr>
                <w:rFonts w:ascii="Times New Roman" w:hAnsi="Times New Roman" w:cs="Times New Roman"/>
                <w:b/>
                <w:sz w:val="20"/>
                <w:szCs w:val="20"/>
              </w:rPr>
              <w:t>L.p.</w:t>
            </w:r>
          </w:p>
        </w:tc>
        <w:tc>
          <w:tcPr>
            <w:tcW w:w="2549" w:type="dxa"/>
          </w:tcPr>
          <w:p w14:paraId="0F52F50B" w14:textId="77777777" w:rsidR="0053338E" w:rsidRPr="00B95DE3" w:rsidRDefault="0053338E" w:rsidP="00174CA0">
            <w:pPr>
              <w:spacing w:line="264" w:lineRule="auto"/>
              <w:rPr>
                <w:rFonts w:ascii="Times New Roman" w:hAnsi="Times New Roman" w:cs="Times New Roman"/>
                <w:b/>
                <w:sz w:val="20"/>
                <w:szCs w:val="20"/>
              </w:rPr>
            </w:pPr>
            <w:r w:rsidRPr="00B95DE3">
              <w:rPr>
                <w:rFonts w:ascii="Times New Roman" w:hAnsi="Times New Roman" w:cs="Times New Roman"/>
                <w:b/>
                <w:sz w:val="20"/>
                <w:szCs w:val="20"/>
              </w:rPr>
              <w:t>Nazwa wskaźnika</w:t>
            </w:r>
          </w:p>
        </w:tc>
        <w:tc>
          <w:tcPr>
            <w:tcW w:w="1417" w:type="dxa"/>
          </w:tcPr>
          <w:p w14:paraId="7C8F56DF" w14:textId="77777777" w:rsidR="0053338E" w:rsidRPr="00B95DE3" w:rsidRDefault="0053338E" w:rsidP="00174CA0">
            <w:pPr>
              <w:spacing w:line="264" w:lineRule="auto"/>
              <w:rPr>
                <w:rFonts w:ascii="Times New Roman" w:hAnsi="Times New Roman" w:cs="Times New Roman"/>
                <w:b/>
                <w:sz w:val="20"/>
                <w:szCs w:val="20"/>
              </w:rPr>
            </w:pPr>
            <w:r w:rsidRPr="00B95DE3">
              <w:rPr>
                <w:rFonts w:ascii="Times New Roman" w:hAnsi="Times New Roman" w:cs="Times New Roman"/>
                <w:b/>
                <w:sz w:val="20"/>
                <w:szCs w:val="20"/>
              </w:rPr>
              <w:t>Wartość limitu</w:t>
            </w:r>
          </w:p>
        </w:tc>
        <w:tc>
          <w:tcPr>
            <w:tcW w:w="1843" w:type="dxa"/>
          </w:tcPr>
          <w:p w14:paraId="2204ABD7" w14:textId="77777777" w:rsidR="0053338E" w:rsidRPr="00B95DE3" w:rsidRDefault="00B12710" w:rsidP="00B95DE3">
            <w:pPr>
              <w:spacing w:line="264" w:lineRule="auto"/>
              <w:rPr>
                <w:rFonts w:ascii="Times New Roman" w:hAnsi="Times New Roman" w:cs="Times New Roman"/>
                <w:b/>
                <w:sz w:val="20"/>
                <w:szCs w:val="20"/>
              </w:rPr>
            </w:pPr>
            <w:r w:rsidRPr="00B95DE3">
              <w:rPr>
                <w:rFonts w:ascii="Times New Roman" w:hAnsi="Times New Roman" w:cs="Times New Roman"/>
                <w:b/>
                <w:sz w:val="20"/>
                <w:szCs w:val="20"/>
              </w:rPr>
              <w:t>Wartość na 31.12.20</w:t>
            </w:r>
            <w:r w:rsidR="00B95DE3" w:rsidRPr="00B95DE3">
              <w:rPr>
                <w:rFonts w:ascii="Times New Roman" w:hAnsi="Times New Roman" w:cs="Times New Roman"/>
                <w:b/>
                <w:sz w:val="20"/>
                <w:szCs w:val="20"/>
              </w:rPr>
              <w:t>20</w:t>
            </w:r>
          </w:p>
        </w:tc>
        <w:tc>
          <w:tcPr>
            <w:tcW w:w="2693" w:type="dxa"/>
          </w:tcPr>
          <w:p w14:paraId="28411047" w14:textId="77777777" w:rsidR="0053338E" w:rsidRPr="00B95DE3" w:rsidRDefault="0053338E" w:rsidP="00174CA0">
            <w:pPr>
              <w:spacing w:line="264" w:lineRule="auto"/>
              <w:rPr>
                <w:rFonts w:ascii="Times New Roman" w:hAnsi="Times New Roman" w:cs="Times New Roman"/>
                <w:b/>
                <w:sz w:val="20"/>
                <w:szCs w:val="20"/>
              </w:rPr>
            </w:pPr>
            <w:r w:rsidRPr="00B95DE3">
              <w:rPr>
                <w:rFonts w:ascii="Times New Roman" w:hAnsi="Times New Roman" w:cs="Times New Roman"/>
                <w:b/>
                <w:sz w:val="20"/>
                <w:szCs w:val="20"/>
              </w:rPr>
              <w:t xml:space="preserve">Osiągnięcie celu strategicznego </w:t>
            </w:r>
          </w:p>
        </w:tc>
      </w:tr>
      <w:tr w:rsidR="000E3272" w:rsidRPr="00B95DE3" w14:paraId="48E86B11" w14:textId="77777777" w:rsidTr="00B95F7B">
        <w:trPr>
          <w:trHeight w:val="1250"/>
        </w:trPr>
        <w:tc>
          <w:tcPr>
            <w:tcW w:w="565" w:type="dxa"/>
          </w:tcPr>
          <w:p w14:paraId="00C84C8F" w14:textId="77777777" w:rsidR="0053338E" w:rsidRPr="00B95DE3" w:rsidRDefault="00AD3E34"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1</w:t>
            </w:r>
          </w:p>
        </w:tc>
        <w:tc>
          <w:tcPr>
            <w:tcW w:w="2549" w:type="dxa"/>
          </w:tcPr>
          <w:p w14:paraId="1F2DA7EC" w14:textId="77777777" w:rsidR="0053338E" w:rsidRPr="00B95DE3" w:rsidRDefault="00AD3E34"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łączny współczynnik kapitałowy na koniec miesięcznych okresów sprawozdawczych</w:t>
            </w:r>
          </w:p>
        </w:tc>
        <w:tc>
          <w:tcPr>
            <w:tcW w:w="1417" w:type="dxa"/>
          </w:tcPr>
          <w:p w14:paraId="358FD563" w14:textId="77777777" w:rsidR="0053338E" w:rsidRPr="00B95DE3" w:rsidRDefault="00AD3E34"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16,5 %</w:t>
            </w:r>
          </w:p>
        </w:tc>
        <w:tc>
          <w:tcPr>
            <w:tcW w:w="1843" w:type="dxa"/>
          </w:tcPr>
          <w:p w14:paraId="69FA1556" w14:textId="77777777" w:rsidR="0053338E" w:rsidRPr="00B95DE3" w:rsidRDefault="00B95F7B" w:rsidP="00B95DE3">
            <w:pPr>
              <w:spacing w:line="264" w:lineRule="auto"/>
              <w:rPr>
                <w:rFonts w:ascii="Times New Roman" w:hAnsi="Times New Roman" w:cs="Times New Roman"/>
                <w:sz w:val="20"/>
                <w:szCs w:val="20"/>
              </w:rPr>
            </w:pPr>
            <w:r w:rsidRPr="00B95DE3">
              <w:rPr>
                <w:rFonts w:ascii="Times New Roman" w:hAnsi="Times New Roman" w:cs="Times New Roman"/>
                <w:sz w:val="20"/>
                <w:szCs w:val="20"/>
              </w:rPr>
              <w:t>22,</w:t>
            </w:r>
            <w:r w:rsidR="00B95DE3" w:rsidRPr="00B95DE3">
              <w:rPr>
                <w:rFonts w:ascii="Times New Roman" w:hAnsi="Times New Roman" w:cs="Times New Roman"/>
                <w:sz w:val="20"/>
                <w:szCs w:val="20"/>
              </w:rPr>
              <w:t>80</w:t>
            </w:r>
            <w:r w:rsidR="00054A41" w:rsidRPr="00B95DE3">
              <w:rPr>
                <w:rFonts w:ascii="Times New Roman" w:hAnsi="Times New Roman" w:cs="Times New Roman"/>
                <w:sz w:val="20"/>
                <w:szCs w:val="20"/>
              </w:rPr>
              <w:t>%</w:t>
            </w:r>
          </w:p>
        </w:tc>
        <w:tc>
          <w:tcPr>
            <w:tcW w:w="2693" w:type="dxa"/>
          </w:tcPr>
          <w:p w14:paraId="3A1168A6" w14:textId="77777777" w:rsidR="0053338E" w:rsidRPr="00B95DE3" w:rsidRDefault="00AD3E34"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 xml:space="preserve">Cel osiągnięty </w:t>
            </w:r>
          </w:p>
        </w:tc>
      </w:tr>
      <w:tr w:rsidR="0053338E" w:rsidRPr="00B95DE3" w14:paraId="388A7E28" w14:textId="77777777" w:rsidTr="00AD3E34">
        <w:tc>
          <w:tcPr>
            <w:tcW w:w="565" w:type="dxa"/>
          </w:tcPr>
          <w:p w14:paraId="17603EF3" w14:textId="77777777" w:rsidR="0053338E" w:rsidRPr="00B95DE3" w:rsidRDefault="00AD3E34"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2</w:t>
            </w:r>
          </w:p>
        </w:tc>
        <w:tc>
          <w:tcPr>
            <w:tcW w:w="2549" w:type="dxa"/>
          </w:tcPr>
          <w:p w14:paraId="625BA699" w14:textId="77777777" w:rsidR="0053338E" w:rsidRPr="00B95DE3" w:rsidRDefault="00AD3E34"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współczynnik kapitału Tier I na koniec miesięcznych okresów sprawozdawczych</w:t>
            </w:r>
          </w:p>
        </w:tc>
        <w:tc>
          <w:tcPr>
            <w:tcW w:w="1417" w:type="dxa"/>
          </w:tcPr>
          <w:p w14:paraId="71132FDE" w14:textId="77777777" w:rsidR="0053338E" w:rsidRPr="00B95DE3" w:rsidRDefault="00AD3E34"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15,5 %</w:t>
            </w:r>
          </w:p>
        </w:tc>
        <w:tc>
          <w:tcPr>
            <w:tcW w:w="1843" w:type="dxa"/>
          </w:tcPr>
          <w:p w14:paraId="08205442" w14:textId="77777777" w:rsidR="0053338E" w:rsidRPr="00B95DE3" w:rsidRDefault="00B95DE3"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21,67</w:t>
            </w:r>
            <w:r w:rsidR="00054A41" w:rsidRPr="00B95DE3">
              <w:rPr>
                <w:rFonts w:ascii="Times New Roman" w:hAnsi="Times New Roman" w:cs="Times New Roman"/>
                <w:sz w:val="20"/>
                <w:szCs w:val="20"/>
              </w:rPr>
              <w:t>%</w:t>
            </w:r>
          </w:p>
        </w:tc>
        <w:tc>
          <w:tcPr>
            <w:tcW w:w="2693" w:type="dxa"/>
          </w:tcPr>
          <w:p w14:paraId="5B4D1E26" w14:textId="77777777" w:rsidR="0053338E" w:rsidRPr="00B95DE3" w:rsidRDefault="00AD3E34" w:rsidP="00174CA0">
            <w:pPr>
              <w:spacing w:line="264" w:lineRule="auto"/>
              <w:rPr>
                <w:rFonts w:ascii="Times New Roman" w:hAnsi="Times New Roman" w:cs="Times New Roman"/>
                <w:sz w:val="20"/>
                <w:szCs w:val="20"/>
              </w:rPr>
            </w:pPr>
            <w:r w:rsidRPr="00B95DE3">
              <w:rPr>
                <w:rFonts w:ascii="Times New Roman" w:hAnsi="Times New Roman" w:cs="Times New Roman"/>
                <w:sz w:val="20"/>
                <w:szCs w:val="20"/>
              </w:rPr>
              <w:t>Cel osiągnięty</w:t>
            </w:r>
          </w:p>
        </w:tc>
      </w:tr>
    </w:tbl>
    <w:p w14:paraId="3416A304" w14:textId="77777777" w:rsidR="00AD3E34" w:rsidRPr="00B95DE3" w:rsidRDefault="00AD3E34" w:rsidP="00174CA0">
      <w:pPr>
        <w:spacing w:after="0" w:line="264" w:lineRule="auto"/>
        <w:jc w:val="both"/>
        <w:rPr>
          <w:rFonts w:ascii="Times New Roman" w:hAnsi="Times New Roman" w:cs="Times New Roman"/>
          <w:sz w:val="24"/>
          <w:szCs w:val="24"/>
        </w:rPr>
      </w:pPr>
    </w:p>
    <w:p w14:paraId="6378AC2A" w14:textId="77777777" w:rsidR="006C34F1" w:rsidRPr="00B95DE3" w:rsidRDefault="003F0D7F" w:rsidP="00174CA0">
      <w:pPr>
        <w:spacing w:after="0" w:line="264" w:lineRule="auto"/>
        <w:jc w:val="both"/>
        <w:rPr>
          <w:rFonts w:ascii="Times New Roman" w:hAnsi="Times New Roman" w:cs="Times New Roman"/>
          <w:sz w:val="24"/>
          <w:szCs w:val="24"/>
        </w:rPr>
      </w:pPr>
      <w:r w:rsidRPr="00B95DE3">
        <w:rPr>
          <w:rFonts w:ascii="Times New Roman" w:hAnsi="Times New Roman" w:cs="Times New Roman"/>
          <w:sz w:val="24"/>
          <w:szCs w:val="24"/>
        </w:rPr>
        <w:t>Cel</w:t>
      </w:r>
      <w:r w:rsidR="00AD3E34" w:rsidRPr="00B95DE3">
        <w:rPr>
          <w:rFonts w:ascii="Times New Roman" w:hAnsi="Times New Roman" w:cs="Times New Roman"/>
          <w:sz w:val="24"/>
          <w:szCs w:val="24"/>
        </w:rPr>
        <w:t xml:space="preserve"> strategiczny w zakresie zarządzania kapitałowego został osiągnięty. </w:t>
      </w:r>
    </w:p>
    <w:p w14:paraId="2771ADB0" w14:textId="77777777" w:rsidR="0053338E" w:rsidRPr="00B95DE3" w:rsidRDefault="0053338E" w:rsidP="00174CA0">
      <w:pPr>
        <w:spacing w:after="0" w:line="264" w:lineRule="auto"/>
        <w:rPr>
          <w:rFonts w:ascii="Times New Roman" w:hAnsi="Times New Roman" w:cs="Times New Roman"/>
          <w:sz w:val="24"/>
          <w:szCs w:val="24"/>
        </w:rPr>
      </w:pPr>
      <w:r w:rsidRPr="00B95DE3">
        <w:rPr>
          <w:rFonts w:ascii="Times New Roman" w:hAnsi="Times New Roman" w:cs="Times New Roman"/>
          <w:sz w:val="24"/>
          <w:szCs w:val="24"/>
        </w:rPr>
        <w:t xml:space="preserve">Pozostałe cele strategiczne w zakresie </w:t>
      </w:r>
      <w:r w:rsidR="004C7012" w:rsidRPr="00B95DE3">
        <w:rPr>
          <w:rFonts w:ascii="Times New Roman" w:hAnsi="Times New Roman" w:cs="Times New Roman"/>
          <w:sz w:val="24"/>
          <w:szCs w:val="24"/>
        </w:rPr>
        <w:t>zarządzania ryzykiem kapitałowy:</w:t>
      </w:r>
    </w:p>
    <w:p w14:paraId="4F20F807" w14:textId="77777777" w:rsidR="0053338E" w:rsidRPr="00B95DE3" w:rsidRDefault="0053338E" w:rsidP="00993749">
      <w:pPr>
        <w:numPr>
          <w:ilvl w:val="0"/>
          <w:numId w:val="15"/>
        </w:numPr>
        <w:spacing w:after="0" w:line="264" w:lineRule="auto"/>
        <w:jc w:val="both"/>
        <w:rPr>
          <w:rFonts w:ascii="Times New Roman" w:hAnsi="Times New Roman" w:cs="Times New Roman"/>
          <w:sz w:val="24"/>
          <w:szCs w:val="24"/>
        </w:rPr>
      </w:pPr>
      <w:r w:rsidRPr="00B95DE3">
        <w:rPr>
          <w:rFonts w:ascii="Times New Roman" w:hAnsi="Times New Roman" w:cs="Times New Roman"/>
          <w:sz w:val="24"/>
          <w:szCs w:val="24"/>
        </w:rPr>
        <w:lastRenderedPageBreak/>
        <w:t>utrzymywanie funduszy własnych na poziomie zgodnym z wymaganiami określonymi</w:t>
      </w:r>
      <w:r w:rsidR="004C7012" w:rsidRPr="00B95DE3">
        <w:rPr>
          <w:rFonts w:ascii="Times New Roman" w:hAnsi="Times New Roman" w:cs="Times New Roman"/>
          <w:sz w:val="24"/>
          <w:szCs w:val="24"/>
        </w:rPr>
        <w:t xml:space="preserve">          </w:t>
      </w:r>
      <w:r w:rsidRPr="00B95DE3">
        <w:rPr>
          <w:rFonts w:ascii="Times New Roman" w:hAnsi="Times New Roman" w:cs="Times New Roman"/>
          <w:sz w:val="24"/>
          <w:szCs w:val="24"/>
        </w:rPr>
        <w:t xml:space="preserve"> w Rozporządzeniu</w:t>
      </w:r>
      <w:r w:rsidR="003F0D7F" w:rsidRPr="00B95DE3">
        <w:rPr>
          <w:rFonts w:ascii="Times New Roman" w:hAnsi="Times New Roman" w:cs="Times New Roman"/>
          <w:sz w:val="24"/>
          <w:szCs w:val="24"/>
        </w:rPr>
        <w:t xml:space="preserve"> CRR</w:t>
      </w:r>
      <w:r w:rsidRPr="00B95DE3">
        <w:rPr>
          <w:rFonts w:ascii="Times New Roman" w:hAnsi="Times New Roman" w:cs="Times New Roman"/>
          <w:sz w:val="24"/>
          <w:szCs w:val="24"/>
        </w:rPr>
        <w:t xml:space="preserve"> i Dyrektywie</w:t>
      </w:r>
      <w:r w:rsidR="00CC7334" w:rsidRPr="00B95DE3">
        <w:rPr>
          <w:rFonts w:ascii="Times New Roman" w:hAnsi="Times New Roman" w:cs="Times New Roman"/>
          <w:sz w:val="24"/>
          <w:szCs w:val="24"/>
        </w:rPr>
        <w:t xml:space="preserve"> CRD IV</w:t>
      </w:r>
      <w:r w:rsidRPr="00B95DE3">
        <w:rPr>
          <w:rFonts w:ascii="Times New Roman" w:hAnsi="Times New Roman" w:cs="Times New Roman"/>
          <w:sz w:val="24"/>
          <w:szCs w:val="24"/>
        </w:rPr>
        <w:t>.</w:t>
      </w:r>
    </w:p>
    <w:p w14:paraId="3ED7FC22" w14:textId="77777777" w:rsidR="0053338E" w:rsidRPr="00B95DE3" w:rsidRDefault="004C7012" w:rsidP="00993749">
      <w:pPr>
        <w:pStyle w:val="Akapitzlist"/>
        <w:numPr>
          <w:ilvl w:val="0"/>
          <w:numId w:val="15"/>
        </w:numPr>
        <w:spacing w:after="0" w:line="264" w:lineRule="auto"/>
        <w:jc w:val="both"/>
        <w:rPr>
          <w:rFonts w:ascii="Times New Roman" w:hAnsi="Times New Roman" w:cs="Times New Roman"/>
          <w:sz w:val="24"/>
          <w:szCs w:val="24"/>
        </w:rPr>
      </w:pPr>
      <w:r w:rsidRPr="00B95DE3">
        <w:rPr>
          <w:rFonts w:ascii="Times New Roman" w:hAnsi="Times New Roman" w:cs="Times New Roman"/>
          <w:sz w:val="24"/>
          <w:szCs w:val="24"/>
        </w:rPr>
        <w:t>utrzymywanie</w:t>
      </w:r>
      <w:r w:rsidR="0053338E" w:rsidRPr="00B95DE3">
        <w:rPr>
          <w:rFonts w:ascii="Times New Roman" w:hAnsi="Times New Roman" w:cs="Times New Roman"/>
          <w:sz w:val="24"/>
          <w:szCs w:val="24"/>
        </w:rPr>
        <w:t xml:space="preserve"> takiego poziomu kapitału, który pozwala na zapewnienie bezpieczeństwa oraz obsługi członków Banku poprzez uzyskanie silnej pozycji na terenie działania Banku.</w:t>
      </w:r>
    </w:p>
    <w:p w14:paraId="7EF08B26" w14:textId="77777777" w:rsidR="00565C6A" w:rsidRPr="00B95DE3" w:rsidRDefault="0053338E" w:rsidP="00174CA0">
      <w:pPr>
        <w:spacing w:after="0" w:line="264" w:lineRule="auto"/>
        <w:jc w:val="both"/>
        <w:rPr>
          <w:rFonts w:ascii="Times New Roman" w:hAnsi="Times New Roman" w:cs="Times New Roman"/>
          <w:sz w:val="24"/>
          <w:szCs w:val="24"/>
        </w:rPr>
      </w:pPr>
      <w:r w:rsidRPr="00B95DE3">
        <w:rPr>
          <w:rFonts w:ascii="Times New Roman" w:hAnsi="Times New Roman" w:cs="Times New Roman"/>
          <w:sz w:val="24"/>
          <w:szCs w:val="24"/>
        </w:rPr>
        <w:t xml:space="preserve">Aby zapewnić realizację </w:t>
      </w:r>
      <w:r w:rsidR="00AD3E34" w:rsidRPr="00B95DE3">
        <w:rPr>
          <w:rFonts w:ascii="Times New Roman" w:hAnsi="Times New Roman" w:cs="Times New Roman"/>
          <w:sz w:val="24"/>
          <w:szCs w:val="24"/>
        </w:rPr>
        <w:t xml:space="preserve">powyższych </w:t>
      </w:r>
      <w:r w:rsidRPr="00B95DE3">
        <w:rPr>
          <w:rFonts w:ascii="Times New Roman" w:hAnsi="Times New Roman" w:cs="Times New Roman"/>
          <w:sz w:val="24"/>
          <w:szCs w:val="24"/>
        </w:rPr>
        <w:t>priorytetów</w:t>
      </w:r>
      <w:r w:rsidR="004C7012" w:rsidRPr="00B95DE3">
        <w:rPr>
          <w:rFonts w:ascii="Times New Roman" w:hAnsi="Times New Roman" w:cs="Times New Roman"/>
          <w:sz w:val="24"/>
          <w:szCs w:val="24"/>
        </w:rPr>
        <w:t>,</w:t>
      </w:r>
      <w:r w:rsidRPr="00B95DE3">
        <w:rPr>
          <w:rFonts w:ascii="Times New Roman" w:hAnsi="Times New Roman" w:cs="Times New Roman"/>
          <w:sz w:val="24"/>
          <w:szCs w:val="24"/>
        </w:rPr>
        <w:t xml:space="preserve"> zasadniczym celem kapitałowym jest sukcesywne zwiększanie funduszy własnych, zapewniając utrzymywanie ich na poziomie zgodnym z wymogami przepisów prawa, a także zabezpieczającym zidentyfikowane ryzyka istotne, wy</w:t>
      </w:r>
      <w:r w:rsidR="00AD3E34" w:rsidRPr="00B95DE3">
        <w:rPr>
          <w:rFonts w:ascii="Times New Roman" w:hAnsi="Times New Roman" w:cs="Times New Roman"/>
          <w:sz w:val="24"/>
          <w:szCs w:val="24"/>
        </w:rPr>
        <w:t>stępujące w działalności Banku.</w:t>
      </w:r>
    </w:p>
    <w:sectPr w:rsidR="00565C6A" w:rsidRPr="00B95DE3" w:rsidSect="006E22EC">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F38ED" w14:textId="77777777" w:rsidR="00C22D8B" w:rsidRDefault="00C22D8B" w:rsidP="006206D9">
      <w:pPr>
        <w:spacing w:after="0" w:line="240" w:lineRule="auto"/>
      </w:pPr>
      <w:r>
        <w:separator/>
      </w:r>
    </w:p>
  </w:endnote>
  <w:endnote w:type="continuationSeparator" w:id="0">
    <w:p w14:paraId="31E73F41" w14:textId="77777777" w:rsidR="00C22D8B" w:rsidRDefault="00C22D8B" w:rsidP="0062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eiryo UI">
    <w:charset w:val="80"/>
    <w:family w:val="swiss"/>
    <w:pitch w:val="variable"/>
    <w:sig w:usb0="E00002FF" w:usb1="6AC7FFFF" w:usb2="08000012" w:usb3="00000000" w:csb0="0002009F" w:csb1="00000000"/>
  </w:font>
  <w:font w:name="TimesNewRomanPSMT">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303949"/>
      <w:docPartObj>
        <w:docPartGallery w:val="Page Numbers (Bottom of Page)"/>
        <w:docPartUnique/>
      </w:docPartObj>
    </w:sdtPr>
    <w:sdtEndPr/>
    <w:sdtContent>
      <w:p w14:paraId="671DC7FA" w14:textId="77777777" w:rsidR="00E22B02" w:rsidRDefault="00E22B02">
        <w:pPr>
          <w:pStyle w:val="Stopka"/>
          <w:jc w:val="right"/>
        </w:pPr>
        <w:r>
          <w:fldChar w:fldCharType="begin"/>
        </w:r>
        <w:r>
          <w:instrText>PAGE   \* MERGEFORMAT</w:instrText>
        </w:r>
        <w:r>
          <w:fldChar w:fldCharType="separate"/>
        </w:r>
        <w:r w:rsidR="0080437F">
          <w:rPr>
            <w:noProof/>
          </w:rPr>
          <w:t>2</w:t>
        </w:r>
        <w:r>
          <w:fldChar w:fldCharType="end"/>
        </w:r>
      </w:p>
    </w:sdtContent>
  </w:sdt>
  <w:p w14:paraId="7C8DA339" w14:textId="77777777" w:rsidR="00E22B02" w:rsidRDefault="00E22B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EB8B" w14:textId="77777777" w:rsidR="00C22D8B" w:rsidRDefault="00C22D8B" w:rsidP="006206D9">
      <w:pPr>
        <w:spacing w:after="0" w:line="240" w:lineRule="auto"/>
      </w:pPr>
      <w:r>
        <w:separator/>
      </w:r>
    </w:p>
  </w:footnote>
  <w:footnote w:type="continuationSeparator" w:id="0">
    <w:p w14:paraId="21F3449B" w14:textId="77777777" w:rsidR="00C22D8B" w:rsidRDefault="00C22D8B" w:rsidP="006206D9">
      <w:pPr>
        <w:spacing w:after="0" w:line="240" w:lineRule="auto"/>
      </w:pPr>
      <w:r>
        <w:continuationSeparator/>
      </w:r>
    </w:p>
  </w:footnote>
  <w:footnote w:id="1">
    <w:p w14:paraId="6BF6D240" w14:textId="77777777" w:rsidR="00E22B02" w:rsidRPr="00EF3E3B" w:rsidRDefault="00E22B02" w:rsidP="00EF3E3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1A613" w14:textId="77777777" w:rsidR="00E22B02" w:rsidRPr="008D144F" w:rsidRDefault="00E22B02" w:rsidP="006206D9">
    <w:pPr>
      <w:jc w:val="both"/>
      <w:rPr>
        <w:rFonts w:ascii="Times New Roman" w:hAnsi="Times New Roman" w:cs="Times New Roman"/>
        <w:sz w:val="20"/>
        <w:szCs w:val="20"/>
      </w:rPr>
    </w:pPr>
    <w:r w:rsidRPr="008D144F">
      <w:rPr>
        <w:rFonts w:ascii="Times New Roman" w:hAnsi="Times New Roman" w:cs="Times New Roman"/>
        <w:sz w:val="20"/>
        <w:szCs w:val="20"/>
      </w:rPr>
      <w:t xml:space="preserve">Załącznik Nr 2 do Ujawnienia informacji o charakterze jakościowym i ilościowym dotyczących profilu ryzyka Banku, funduszy własnych, wymogów kapitałowych, polityki w zakresie wynagrodzeń oraz innych informacji podlegających obowiązkowym ujawnieniom </w:t>
    </w:r>
  </w:p>
  <w:p w14:paraId="0A4D0876" w14:textId="77777777" w:rsidR="00E22B02" w:rsidRDefault="00E22B02">
    <w:pPr>
      <w:pStyle w:val="Nagwek"/>
    </w:pPr>
  </w:p>
  <w:p w14:paraId="484A5D86" w14:textId="77777777" w:rsidR="00E22B02" w:rsidRDefault="00E22B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3"/>
    <w:multiLevelType w:val="singleLevel"/>
    <w:tmpl w:val="00000033"/>
    <w:name w:val="WW8Num51"/>
    <w:lvl w:ilvl="0">
      <w:start w:val="1"/>
      <w:numFmt w:val="decimal"/>
      <w:lvlText w:val="%1)"/>
      <w:lvlJc w:val="left"/>
      <w:pPr>
        <w:tabs>
          <w:tab w:val="num" w:pos="750"/>
        </w:tabs>
        <w:ind w:left="750" w:hanging="390"/>
      </w:pPr>
    </w:lvl>
  </w:abstractNum>
  <w:abstractNum w:abstractNumId="1" w15:restartNumberingAfterBreak="0">
    <w:nsid w:val="00000087"/>
    <w:multiLevelType w:val="singleLevel"/>
    <w:tmpl w:val="00000087"/>
    <w:name w:val="WW8Num137"/>
    <w:lvl w:ilvl="0">
      <w:start w:val="1"/>
      <w:numFmt w:val="decimal"/>
      <w:lvlText w:val="%1)"/>
      <w:lvlJc w:val="left"/>
      <w:pPr>
        <w:tabs>
          <w:tab w:val="num" w:pos="750"/>
        </w:tabs>
        <w:ind w:left="750" w:hanging="390"/>
      </w:pPr>
    </w:lvl>
  </w:abstractNum>
  <w:abstractNum w:abstractNumId="2" w15:restartNumberingAfterBreak="0">
    <w:nsid w:val="00630D83"/>
    <w:multiLevelType w:val="multilevel"/>
    <w:tmpl w:val="D570ACEE"/>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hAnsi="Times New Roman" w:hint="default"/>
        <w:strike w:val="0"/>
        <w:color w:val="auto"/>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3575C24"/>
    <w:multiLevelType w:val="hybridMultilevel"/>
    <w:tmpl w:val="37A87832"/>
    <w:lvl w:ilvl="0" w:tplc="9382642A">
      <w:start w:val="1"/>
      <w:numFmt w:val="decimal"/>
      <w:lvlText w:val="%1."/>
      <w:lvlJc w:val="left"/>
      <w:pPr>
        <w:ind w:left="720" w:hanging="360"/>
      </w:pPr>
    </w:lvl>
    <w:lvl w:ilvl="1" w:tplc="FFFFFFFF">
      <w:start w:val="1"/>
      <w:numFmt w:val="decimal"/>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 w15:restartNumberingAfterBreak="0">
    <w:nsid w:val="08880A96"/>
    <w:multiLevelType w:val="hybridMultilevel"/>
    <w:tmpl w:val="78C6B9AC"/>
    <w:lvl w:ilvl="0" w:tplc="9E90A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05254A"/>
    <w:multiLevelType w:val="hybridMultilevel"/>
    <w:tmpl w:val="729EA706"/>
    <w:lvl w:ilvl="0" w:tplc="04150011">
      <w:start w:val="1"/>
      <w:numFmt w:val="decimal"/>
      <w:lvlText w:val="%1)"/>
      <w:lvlJc w:val="left"/>
      <w:pPr>
        <w:ind w:left="1260" w:hanging="360"/>
      </w:pPr>
    </w:lvl>
    <w:lvl w:ilvl="1" w:tplc="9382642A"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15:restartNumberingAfterBreak="0">
    <w:nsid w:val="12F45454"/>
    <w:multiLevelType w:val="hybridMultilevel"/>
    <w:tmpl w:val="AD169662"/>
    <w:lvl w:ilvl="0" w:tplc="00E0DCEE">
      <w:start w:val="2"/>
      <w:numFmt w:val="upperRoman"/>
      <w:lvlText w:val="%1."/>
      <w:lvlJc w:val="left"/>
      <w:pPr>
        <w:tabs>
          <w:tab w:val="num" w:pos="720"/>
        </w:tabs>
        <w:ind w:left="360" w:hanging="360"/>
      </w:pPr>
      <w:rPr>
        <w:rFonts w:hint="default"/>
      </w:rPr>
    </w:lvl>
    <w:lvl w:ilvl="1" w:tplc="04150011">
      <w:start w:val="1"/>
      <w:numFmt w:val="decimal"/>
      <w:lvlText w:val="%2)"/>
      <w:lvlJc w:val="left"/>
      <w:pPr>
        <w:tabs>
          <w:tab w:val="num" w:pos="720"/>
        </w:tabs>
        <w:ind w:left="720" w:hanging="360"/>
      </w:pPr>
      <w:rPr>
        <w:rFonts w:hint="default"/>
        <w:b w:val="0"/>
        <w:i w:val="0"/>
      </w:rPr>
    </w:lvl>
    <w:lvl w:ilvl="2" w:tplc="851E6166">
      <w:start w:val="1"/>
      <w:numFmt w:val="lowerLetter"/>
      <w:lvlText w:val="%3)"/>
      <w:lvlJc w:val="left"/>
      <w:pPr>
        <w:tabs>
          <w:tab w:val="num" w:pos="1620"/>
        </w:tabs>
        <w:ind w:left="1620" w:hanging="360"/>
      </w:pPr>
      <w:rPr>
        <w:rFonts w:hint="default"/>
      </w:rPr>
    </w:lvl>
    <w:lvl w:ilvl="3" w:tplc="23A86FB2">
      <w:start w:val="1"/>
      <w:numFmt w:val="decimal"/>
      <w:lvlText w:val="%4."/>
      <w:lvlJc w:val="left"/>
      <w:pPr>
        <w:tabs>
          <w:tab w:val="num" w:pos="2160"/>
        </w:tabs>
        <w:ind w:left="2160" w:hanging="360"/>
      </w:pPr>
      <w:rPr>
        <w:rFonts w:hint="default"/>
        <w:b w:val="0"/>
        <w:i w:val="0"/>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7" w15:restartNumberingAfterBreak="0">
    <w:nsid w:val="16474CB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1D16D3"/>
    <w:multiLevelType w:val="hybridMultilevel"/>
    <w:tmpl w:val="E73EF168"/>
    <w:lvl w:ilvl="0" w:tplc="04150017">
      <w:start w:val="1"/>
      <w:numFmt w:val="decimal"/>
      <w:lvlText w:val="%1)"/>
      <w:lvlJc w:val="left"/>
      <w:pPr>
        <w:ind w:left="1068" w:hanging="360"/>
      </w:pPr>
      <w:rPr>
        <w:rFonts w:hint="default"/>
      </w:rPr>
    </w:lvl>
    <w:lvl w:ilvl="1" w:tplc="55D2D370">
      <w:start w:val="1"/>
      <w:numFmt w:val="bullet"/>
      <w:lvlText w:val="o"/>
      <w:lvlJc w:val="left"/>
      <w:pPr>
        <w:ind w:left="1788" w:hanging="360"/>
      </w:pPr>
      <w:rPr>
        <w:rFonts w:ascii="Courier New" w:hAnsi="Courier New" w:cs="Courier New" w:hint="default"/>
      </w:rPr>
    </w:lvl>
    <w:lvl w:ilvl="2" w:tplc="0415001B">
      <w:start w:val="1"/>
      <w:numFmt w:val="bullet"/>
      <w:lvlText w:val=""/>
      <w:lvlJc w:val="left"/>
      <w:pPr>
        <w:ind w:left="2508" w:hanging="360"/>
      </w:pPr>
      <w:rPr>
        <w:rFonts w:ascii="Wingdings" w:hAnsi="Wingdings" w:hint="default"/>
      </w:rPr>
    </w:lvl>
    <w:lvl w:ilvl="3" w:tplc="0415000F">
      <w:start w:val="1"/>
      <w:numFmt w:val="bullet"/>
      <w:lvlText w:val=""/>
      <w:lvlJc w:val="left"/>
      <w:pPr>
        <w:ind w:left="3228" w:hanging="360"/>
      </w:pPr>
      <w:rPr>
        <w:rFonts w:ascii="Symbol" w:hAnsi="Symbol" w:hint="default"/>
      </w:rPr>
    </w:lvl>
    <w:lvl w:ilvl="4" w:tplc="04150019">
      <w:start w:val="1"/>
      <w:numFmt w:val="bullet"/>
      <w:lvlText w:val="o"/>
      <w:lvlJc w:val="left"/>
      <w:pPr>
        <w:ind w:left="3948" w:hanging="360"/>
      </w:pPr>
      <w:rPr>
        <w:rFonts w:ascii="Courier New" w:hAnsi="Courier New" w:cs="Courier New" w:hint="default"/>
      </w:rPr>
    </w:lvl>
    <w:lvl w:ilvl="5" w:tplc="0415001B" w:tentative="1">
      <w:start w:val="1"/>
      <w:numFmt w:val="bullet"/>
      <w:lvlText w:val=""/>
      <w:lvlJc w:val="left"/>
      <w:pPr>
        <w:ind w:left="4668" w:hanging="360"/>
      </w:pPr>
      <w:rPr>
        <w:rFonts w:ascii="Wingdings" w:hAnsi="Wingdings" w:hint="default"/>
      </w:rPr>
    </w:lvl>
    <w:lvl w:ilvl="6" w:tplc="0415000F" w:tentative="1">
      <w:start w:val="1"/>
      <w:numFmt w:val="bullet"/>
      <w:lvlText w:val=""/>
      <w:lvlJc w:val="left"/>
      <w:pPr>
        <w:ind w:left="5388" w:hanging="360"/>
      </w:pPr>
      <w:rPr>
        <w:rFonts w:ascii="Symbol" w:hAnsi="Symbol" w:hint="default"/>
      </w:rPr>
    </w:lvl>
    <w:lvl w:ilvl="7" w:tplc="04150019" w:tentative="1">
      <w:start w:val="1"/>
      <w:numFmt w:val="bullet"/>
      <w:lvlText w:val="o"/>
      <w:lvlJc w:val="left"/>
      <w:pPr>
        <w:ind w:left="6108" w:hanging="360"/>
      </w:pPr>
      <w:rPr>
        <w:rFonts w:ascii="Courier New" w:hAnsi="Courier New" w:cs="Courier New" w:hint="default"/>
      </w:rPr>
    </w:lvl>
    <w:lvl w:ilvl="8" w:tplc="0415001B" w:tentative="1">
      <w:start w:val="1"/>
      <w:numFmt w:val="bullet"/>
      <w:lvlText w:val=""/>
      <w:lvlJc w:val="left"/>
      <w:pPr>
        <w:ind w:left="6828" w:hanging="360"/>
      </w:pPr>
      <w:rPr>
        <w:rFonts w:ascii="Wingdings" w:hAnsi="Wingdings" w:hint="default"/>
      </w:rPr>
    </w:lvl>
  </w:abstractNum>
  <w:abstractNum w:abstractNumId="9" w15:restartNumberingAfterBreak="0">
    <w:nsid w:val="1B2A4BE9"/>
    <w:multiLevelType w:val="hybridMultilevel"/>
    <w:tmpl w:val="CFEC0D34"/>
    <w:lvl w:ilvl="0" w:tplc="9E90A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380F5C"/>
    <w:multiLevelType w:val="multilevel"/>
    <w:tmpl w:val="D96458C8"/>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C1AE0"/>
    <w:multiLevelType w:val="hybridMultilevel"/>
    <w:tmpl w:val="27BE1566"/>
    <w:lvl w:ilvl="0" w:tplc="9E90AB84">
      <w:start w:val="1"/>
      <w:numFmt w:val="bullet"/>
      <w:lvlText w:val=""/>
      <w:lvlJc w:val="left"/>
      <w:pPr>
        <w:ind w:left="720" w:hanging="360"/>
      </w:pPr>
      <w:rPr>
        <w:rFonts w:ascii="Symbol" w:hAnsi="Symbol" w:hint="default"/>
      </w:rPr>
    </w:lvl>
    <w:lvl w:ilvl="1" w:tplc="3AB0FF74">
      <w:numFmt w:val="bullet"/>
      <w:lvlText w:val="•"/>
      <w:lvlJc w:val="left"/>
      <w:pPr>
        <w:ind w:left="1785" w:hanging="705"/>
      </w:pPr>
      <w:rPr>
        <w:rFonts w:ascii="Calibri" w:eastAsia="Times New Roman"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682FBD"/>
    <w:multiLevelType w:val="hybridMultilevel"/>
    <w:tmpl w:val="2968097A"/>
    <w:lvl w:ilvl="0" w:tplc="9E90A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0637B3"/>
    <w:multiLevelType w:val="multilevel"/>
    <w:tmpl w:val="6D084A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7503574"/>
    <w:multiLevelType w:val="hybridMultilevel"/>
    <w:tmpl w:val="6D14F0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BC11CB5"/>
    <w:multiLevelType w:val="hybridMultilevel"/>
    <w:tmpl w:val="65A03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8C4808"/>
    <w:multiLevelType w:val="hybridMultilevel"/>
    <w:tmpl w:val="47528C16"/>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04150011"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86F202E"/>
    <w:multiLevelType w:val="hybridMultilevel"/>
    <w:tmpl w:val="810646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4A556F80"/>
    <w:multiLevelType w:val="multilevel"/>
    <w:tmpl w:val="AEEE872E"/>
    <w:lvl w:ilvl="0">
      <w:start w:val="10"/>
      <w:numFmt w:val="decimal"/>
      <w:lvlText w:val="%1."/>
      <w:lvlJc w:val="left"/>
      <w:pPr>
        <w:tabs>
          <w:tab w:val="num" w:pos="360"/>
        </w:tabs>
        <w:ind w:left="360" w:hanging="360"/>
      </w:pPr>
      <w:rPr>
        <w:rFonts w:hint="default"/>
        <w:b/>
        <w:i w:val="0"/>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C103FF6"/>
    <w:multiLevelType w:val="hybridMultilevel"/>
    <w:tmpl w:val="13701BC6"/>
    <w:lvl w:ilvl="0" w:tplc="92125A6A">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7504C8"/>
    <w:multiLevelType w:val="hybridMultilevel"/>
    <w:tmpl w:val="29CAA6F2"/>
    <w:lvl w:ilvl="0" w:tplc="04150011">
      <w:start w:val="1"/>
      <w:numFmt w:val="decimal"/>
      <w:lvlText w:val="%1)"/>
      <w:lvlJc w:val="left"/>
      <w:pPr>
        <w:ind w:left="-459" w:hanging="360"/>
      </w:pPr>
      <w:rPr>
        <w:rFonts w:hint="default"/>
      </w:rPr>
    </w:lvl>
    <w:lvl w:ilvl="1" w:tplc="04150003" w:tentative="1">
      <w:start w:val="1"/>
      <w:numFmt w:val="bullet"/>
      <w:lvlText w:val="o"/>
      <w:lvlJc w:val="left"/>
      <w:pPr>
        <w:ind w:left="261" w:hanging="360"/>
      </w:pPr>
      <w:rPr>
        <w:rFonts w:ascii="Courier New" w:hAnsi="Courier New" w:cs="Courier New" w:hint="default"/>
      </w:rPr>
    </w:lvl>
    <w:lvl w:ilvl="2" w:tplc="04150005" w:tentative="1">
      <w:start w:val="1"/>
      <w:numFmt w:val="bullet"/>
      <w:lvlText w:val=""/>
      <w:lvlJc w:val="left"/>
      <w:pPr>
        <w:ind w:left="981" w:hanging="360"/>
      </w:pPr>
      <w:rPr>
        <w:rFonts w:ascii="Wingdings" w:hAnsi="Wingdings" w:hint="default"/>
      </w:rPr>
    </w:lvl>
    <w:lvl w:ilvl="3" w:tplc="04150001" w:tentative="1">
      <w:start w:val="1"/>
      <w:numFmt w:val="bullet"/>
      <w:lvlText w:val=""/>
      <w:lvlJc w:val="left"/>
      <w:pPr>
        <w:ind w:left="1701" w:hanging="360"/>
      </w:pPr>
      <w:rPr>
        <w:rFonts w:ascii="Symbol" w:hAnsi="Symbol" w:hint="default"/>
      </w:rPr>
    </w:lvl>
    <w:lvl w:ilvl="4" w:tplc="04150003" w:tentative="1">
      <w:start w:val="1"/>
      <w:numFmt w:val="bullet"/>
      <w:lvlText w:val="o"/>
      <w:lvlJc w:val="left"/>
      <w:pPr>
        <w:ind w:left="2421" w:hanging="360"/>
      </w:pPr>
      <w:rPr>
        <w:rFonts w:ascii="Courier New" w:hAnsi="Courier New" w:cs="Courier New" w:hint="default"/>
      </w:rPr>
    </w:lvl>
    <w:lvl w:ilvl="5" w:tplc="04150005" w:tentative="1">
      <w:start w:val="1"/>
      <w:numFmt w:val="bullet"/>
      <w:lvlText w:val=""/>
      <w:lvlJc w:val="left"/>
      <w:pPr>
        <w:ind w:left="3141" w:hanging="360"/>
      </w:pPr>
      <w:rPr>
        <w:rFonts w:ascii="Wingdings" w:hAnsi="Wingdings" w:hint="default"/>
      </w:rPr>
    </w:lvl>
    <w:lvl w:ilvl="6" w:tplc="04150001" w:tentative="1">
      <w:start w:val="1"/>
      <w:numFmt w:val="bullet"/>
      <w:lvlText w:val=""/>
      <w:lvlJc w:val="left"/>
      <w:pPr>
        <w:ind w:left="3861" w:hanging="360"/>
      </w:pPr>
      <w:rPr>
        <w:rFonts w:ascii="Symbol" w:hAnsi="Symbol" w:hint="default"/>
      </w:rPr>
    </w:lvl>
    <w:lvl w:ilvl="7" w:tplc="04150003" w:tentative="1">
      <w:start w:val="1"/>
      <w:numFmt w:val="bullet"/>
      <w:lvlText w:val="o"/>
      <w:lvlJc w:val="left"/>
      <w:pPr>
        <w:ind w:left="4581" w:hanging="360"/>
      </w:pPr>
      <w:rPr>
        <w:rFonts w:ascii="Courier New" w:hAnsi="Courier New" w:cs="Courier New" w:hint="default"/>
      </w:rPr>
    </w:lvl>
    <w:lvl w:ilvl="8" w:tplc="04150005" w:tentative="1">
      <w:start w:val="1"/>
      <w:numFmt w:val="bullet"/>
      <w:lvlText w:val=""/>
      <w:lvlJc w:val="left"/>
      <w:pPr>
        <w:ind w:left="5301" w:hanging="360"/>
      </w:pPr>
      <w:rPr>
        <w:rFonts w:ascii="Wingdings" w:hAnsi="Wingdings" w:hint="default"/>
      </w:rPr>
    </w:lvl>
  </w:abstractNum>
  <w:abstractNum w:abstractNumId="21" w15:restartNumberingAfterBreak="0">
    <w:nsid w:val="51CA7337"/>
    <w:multiLevelType w:val="multilevel"/>
    <w:tmpl w:val="41FE16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6554090"/>
    <w:multiLevelType w:val="multilevel"/>
    <w:tmpl w:val="6BC26164"/>
    <w:lvl w:ilvl="0">
      <w:start w:val="6"/>
      <w:numFmt w:val="decimal"/>
      <w:lvlText w:val="%1."/>
      <w:lvlJc w:val="left"/>
      <w:pPr>
        <w:tabs>
          <w:tab w:val="num" w:pos="360"/>
        </w:tabs>
        <w:ind w:left="360" w:hanging="360"/>
      </w:pPr>
      <w:rPr>
        <w:rFonts w:hint="default"/>
        <w:b/>
        <w:i w:val="0"/>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7B1707E"/>
    <w:multiLevelType w:val="hybridMultilevel"/>
    <w:tmpl w:val="E726298C"/>
    <w:lvl w:ilvl="0" w:tplc="C06C6EF2">
      <w:start w:val="1"/>
      <w:numFmt w:val="decimal"/>
      <w:lvlText w:val="%1."/>
      <w:lvlJc w:val="left"/>
      <w:pPr>
        <w:tabs>
          <w:tab w:val="num" w:pos="360"/>
        </w:tabs>
        <w:ind w:left="360" w:hanging="360"/>
      </w:pPr>
      <w:rPr>
        <w:rFonts w:hint="default"/>
        <w:b w:val="0"/>
        <w:i w:val="0"/>
        <w:color w:val="auto"/>
      </w:rPr>
    </w:lvl>
    <w:lvl w:ilvl="1" w:tplc="52FCE198">
      <w:start w:val="1"/>
      <w:numFmt w:val="lowerLetter"/>
      <w:lvlText w:val="%2)"/>
      <w:lvlJc w:val="left"/>
      <w:pPr>
        <w:tabs>
          <w:tab w:val="num" w:pos="1440"/>
        </w:tabs>
        <w:ind w:left="1440" w:hanging="360"/>
      </w:pPr>
      <w:rPr>
        <w:rFonts w:hint="default"/>
        <w:b w:val="0"/>
        <w:i w:val="0"/>
        <w:color w:val="auto"/>
      </w:rPr>
    </w:lvl>
    <w:lvl w:ilvl="2" w:tplc="3B3AAF1C">
      <w:start w:val="4"/>
      <w:numFmt w:val="upperRoman"/>
      <w:lvlText w:val="%3."/>
      <w:lvlJc w:val="left"/>
      <w:pPr>
        <w:ind w:left="2700" w:hanging="720"/>
      </w:pPr>
      <w:rPr>
        <w:rFonts w:hint="default"/>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2F06BAF"/>
    <w:multiLevelType w:val="multilevel"/>
    <w:tmpl w:val="DF7C391C"/>
    <w:lvl w:ilvl="0">
      <w:start w:val="10"/>
      <w:numFmt w:val="decimal"/>
      <w:lvlText w:val="%1."/>
      <w:lvlJc w:val="left"/>
      <w:pPr>
        <w:tabs>
          <w:tab w:val="num" w:pos="360"/>
        </w:tabs>
        <w:ind w:left="360" w:hanging="360"/>
      </w:pPr>
      <w:rPr>
        <w:rFonts w:hint="default"/>
        <w:b/>
        <w:i w:val="0"/>
        <w:color w:val="auto"/>
      </w:rPr>
    </w:lvl>
    <w:lvl w:ilvl="1">
      <w:start w:val="2"/>
      <w:numFmt w:val="decimal"/>
      <w:isLgl/>
      <w:lvlText w:val="%1.%2."/>
      <w:lvlJc w:val="left"/>
      <w:pPr>
        <w:ind w:left="360" w:hanging="360"/>
      </w:pPr>
      <w:rPr>
        <w:rFonts w:hint="default"/>
        <w:color w:val="auto"/>
      </w:rPr>
    </w:lvl>
    <w:lvl w:ilvl="2">
      <w:start w:val="3"/>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3A4455A"/>
    <w:multiLevelType w:val="multilevel"/>
    <w:tmpl w:val="AE0A2AE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hAnsi="Times New Roman" w:hint="default"/>
        <w:strike w:val="0"/>
        <w:color w:val="auto"/>
        <w:sz w:val="24"/>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606536D"/>
    <w:multiLevelType w:val="multilevel"/>
    <w:tmpl w:val="A15E0C08"/>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777358A5"/>
    <w:multiLevelType w:val="multilevel"/>
    <w:tmpl w:val="6D084A7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23"/>
  </w:num>
  <w:num w:numId="3">
    <w:abstractNumId w:val="6"/>
  </w:num>
  <w:num w:numId="4">
    <w:abstractNumId w:val="7"/>
  </w:num>
  <w:num w:numId="5">
    <w:abstractNumId w:val="20"/>
  </w:num>
  <w:num w:numId="6">
    <w:abstractNumId w:val="15"/>
  </w:num>
  <w:num w:numId="7">
    <w:abstractNumId w:val="2"/>
  </w:num>
  <w:num w:numId="8">
    <w:abstractNumId w:val="27"/>
  </w:num>
  <w:num w:numId="9">
    <w:abstractNumId w:val="13"/>
  </w:num>
  <w:num w:numId="10">
    <w:abstractNumId w:val="16"/>
  </w:num>
  <w:num w:numId="11">
    <w:abstractNumId w:val="17"/>
  </w:num>
  <w:num w:numId="12">
    <w:abstractNumId w:val="8"/>
  </w:num>
  <w:num w:numId="13">
    <w:abstractNumId w:val="1"/>
  </w:num>
  <w:num w:numId="14">
    <w:abstractNumId w:val="0"/>
  </w:num>
  <w:num w:numId="15">
    <w:abstractNumId w:val="25"/>
  </w:num>
  <w:num w:numId="16">
    <w:abstractNumId w:val="3"/>
  </w:num>
  <w:num w:numId="17">
    <w:abstractNumId w:val="4"/>
  </w:num>
  <w:num w:numId="18">
    <w:abstractNumId w:val="11"/>
  </w:num>
  <w:num w:numId="19">
    <w:abstractNumId w:val="9"/>
  </w:num>
  <w:num w:numId="20">
    <w:abstractNumId w:val="12"/>
  </w:num>
  <w:num w:numId="21">
    <w:abstractNumId w:val="21"/>
  </w:num>
  <w:num w:numId="22">
    <w:abstractNumId w:val="22"/>
  </w:num>
  <w:num w:numId="23">
    <w:abstractNumId w:val="18"/>
  </w:num>
  <w:num w:numId="24">
    <w:abstractNumId w:val="24"/>
  </w:num>
  <w:num w:numId="25">
    <w:abstractNumId w:val="10"/>
  </w:num>
  <w:num w:numId="26">
    <w:abstractNumId w:val="5"/>
  </w:num>
  <w:num w:numId="27">
    <w:abstractNumId w:val="19"/>
  </w:num>
  <w:num w:numId="28">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Pv8NocXf9DNkXLj915P+ztpm+rmbUjh5p1BmA+Kw4u8WqyoTTNuz5dtw9vCE0YwACBAT7F9a1pLv4Y/Sds49Q==" w:salt="Ek09aMXiPfsR1c3jY8kR4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F1"/>
    <w:rsid w:val="0000735A"/>
    <w:rsid w:val="00014E17"/>
    <w:rsid w:val="000227CD"/>
    <w:rsid w:val="00023240"/>
    <w:rsid w:val="0002351A"/>
    <w:rsid w:val="000258AD"/>
    <w:rsid w:val="00032E85"/>
    <w:rsid w:val="00054A41"/>
    <w:rsid w:val="000552A0"/>
    <w:rsid w:val="00062B09"/>
    <w:rsid w:val="00074B19"/>
    <w:rsid w:val="00080689"/>
    <w:rsid w:val="00084DF4"/>
    <w:rsid w:val="000A0498"/>
    <w:rsid w:val="000A13ED"/>
    <w:rsid w:val="000B1419"/>
    <w:rsid w:val="000B5898"/>
    <w:rsid w:val="000B7529"/>
    <w:rsid w:val="000C0448"/>
    <w:rsid w:val="000D40D6"/>
    <w:rsid w:val="000E3272"/>
    <w:rsid w:val="000F4D5F"/>
    <w:rsid w:val="00112E80"/>
    <w:rsid w:val="00121075"/>
    <w:rsid w:val="00152ABD"/>
    <w:rsid w:val="00157304"/>
    <w:rsid w:val="00160889"/>
    <w:rsid w:val="00171615"/>
    <w:rsid w:val="00174CA0"/>
    <w:rsid w:val="00184334"/>
    <w:rsid w:val="00197208"/>
    <w:rsid w:val="001A1F61"/>
    <w:rsid w:val="001B1509"/>
    <w:rsid w:val="001B2929"/>
    <w:rsid w:val="001C3B07"/>
    <w:rsid w:val="001E05CC"/>
    <w:rsid w:val="001E125A"/>
    <w:rsid w:val="001E32AF"/>
    <w:rsid w:val="001E631E"/>
    <w:rsid w:val="002056C0"/>
    <w:rsid w:val="00210E68"/>
    <w:rsid w:val="002144A5"/>
    <w:rsid w:val="00214561"/>
    <w:rsid w:val="0021580C"/>
    <w:rsid w:val="00226DE9"/>
    <w:rsid w:val="00246125"/>
    <w:rsid w:val="002464B2"/>
    <w:rsid w:val="002634ED"/>
    <w:rsid w:val="00265B06"/>
    <w:rsid w:val="002731BF"/>
    <w:rsid w:val="00297B9A"/>
    <w:rsid w:val="002B3C20"/>
    <w:rsid w:val="002D4963"/>
    <w:rsid w:val="00301D86"/>
    <w:rsid w:val="0030557E"/>
    <w:rsid w:val="00340B05"/>
    <w:rsid w:val="00342B20"/>
    <w:rsid w:val="00345354"/>
    <w:rsid w:val="00345ED6"/>
    <w:rsid w:val="003601F0"/>
    <w:rsid w:val="0036385B"/>
    <w:rsid w:val="00365202"/>
    <w:rsid w:val="003748E2"/>
    <w:rsid w:val="00377F3D"/>
    <w:rsid w:val="00384805"/>
    <w:rsid w:val="00392307"/>
    <w:rsid w:val="003A3E80"/>
    <w:rsid w:val="003B5706"/>
    <w:rsid w:val="003C42C9"/>
    <w:rsid w:val="003C47AF"/>
    <w:rsid w:val="003D4D32"/>
    <w:rsid w:val="003E07C6"/>
    <w:rsid w:val="003F0D7F"/>
    <w:rsid w:val="003F7C3D"/>
    <w:rsid w:val="00402048"/>
    <w:rsid w:val="0040222A"/>
    <w:rsid w:val="00402443"/>
    <w:rsid w:val="00426951"/>
    <w:rsid w:val="00430D06"/>
    <w:rsid w:val="0045345C"/>
    <w:rsid w:val="004645CF"/>
    <w:rsid w:val="00471675"/>
    <w:rsid w:val="004738C2"/>
    <w:rsid w:val="004878EA"/>
    <w:rsid w:val="004A4DCC"/>
    <w:rsid w:val="004B6E96"/>
    <w:rsid w:val="004C088F"/>
    <w:rsid w:val="004C2C2C"/>
    <w:rsid w:val="004C7012"/>
    <w:rsid w:val="004D7087"/>
    <w:rsid w:val="004F0D8E"/>
    <w:rsid w:val="005100A6"/>
    <w:rsid w:val="00510DB2"/>
    <w:rsid w:val="0051402E"/>
    <w:rsid w:val="00514DC8"/>
    <w:rsid w:val="00515375"/>
    <w:rsid w:val="00517DFB"/>
    <w:rsid w:val="00530E0F"/>
    <w:rsid w:val="0053317F"/>
    <w:rsid w:val="0053338E"/>
    <w:rsid w:val="0055365F"/>
    <w:rsid w:val="005558B7"/>
    <w:rsid w:val="00557FA6"/>
    <w:rsid w:val="00563377"/>
    <w:rsid w:val="00564214"/>
    <w:rsid w:val="00565C6A"/>
    <w:rsid w:val="005728C8"/>
    <w:rsid w:val="00573D65"/>
    <w:rsid w:val="005772E1"/>
    <w:rsid w:val="00582167"/>
    <w:rsid w:val="005905E2"/>
    <w:rsid w:val="005C2765"/>
    <w:rsid w:val="005D038C"/>
    <w:rsid w:val="005E1298"/>
    <w:rsid w:val="005E3560"/>
    <w:rsid w:val="005F1809"/>
    <w:rsid w:val="005F4C51"/>
    <w:rsid w:val="00603DB6"/>
    <w:rsid w:val="006206D9"/>
    <w:rsid w:val="00624ECD"/>
    <w:rsid w:val="00637723"/>
    <w:rsid w:val="00641C71"/>
    <w:rsid w:val="0064594D"/>
    <w:rsid w:val="00650149"/>
    <w:rsid w:val="00654C3C"/>
    <w:rsid w:val="00654E27"/>
    <w:rsid w:val="0066039B"/>
    <w:rsid w:val="006722B3"/>
    <w:rsid w:val="00674A05"/>
    <w:rsid w:val="006843E0"/>
    <w:rsid w:val="0068743A"/>
    <w:rsid w:val="00687E72"/>
    <w:rsid w:val="006A2F22"/>
    <w:rsid w:val="006B4D7E"/>
    <w:rsid w:val="006C34F1"/>
    <w:rsid w:val="006E22EC"/>
    <w:rsid w:val="006E51B8"/>
    <w:rsid w:val="006E7B14"/>
    <w:rsid w:val="006F221F"/>
    <w:rsid w:val="0072277B"/>
    <w:rsid w:val="00725CED"/>
    <w:rsid w:val="00737F6C"/>
    <w:rsid w:val="00752168"/>
    <w:rsid w:val="007569FF"/>
    <w:rsid w:val="00780ADC"/>
    <w:rsid w:val="007815B4"/>
    <w:rsid w:val="007A0F52"/>
    <w:rsid w:val="007A4085"/>
    <w:rsid w:val="007A6C79"/>
    <w:rsid w:val="007B314B"/>
    <w:rsid w:val="007B36B8"/>
    <w:rsid w:val="007B3BD9"/>
    <w:rsid w:val="007B60B7"/>
    <w:rsid w:val="007B6480"/>
    <w:rsid w:val="007B7AC5"/>
    <w:rsid w:val="007D7536"/>
    <w:rsid w:val="007D7A3E"/>
    <w:rsid w:val="007E246D"/>
    <w:rsid w:val="007E3F0A"/>
    <w:rsid w:val="007E4EAC"/>
    <w:rsid w:val="007E6CCD"/>
    <w:rsid w:val="007F4239"/>
    <w:rsid w:val="0080437F"/>
    <w:rsid w:val="0080564D"/>
    <w:rsid w:val="00806C0F"/>
    <w:rsid w:val="00813CF5"/>
    <w:rsid w:val="008516D2"/>
    <w:rsid w:val="00867720"/>
    <w:rsid w:val="00871AB6"/>
    <w:rsid w:val="0088715C"/>
    <w:rsid w:val="008903DA"/>
    <w:rsid w:val="008B71D3"/>
    <w:rsid w:val="008B7C77"/>
    <w:rsid w:val="008C41B0"/>
    <w:rsid w:val="008D144F"/>
    <w:rsid w:val="008E1171"/>
    <w:rsid w:val="008E6E85"/>
    <w:rsid w:val="008F322A"/>
    <w:rsid w:val="00912B18"/>
    <w:rsid w:val="00924C32"/>
    <w:rsid w:val="009444C7"/>
    <w:rsid w:val="00970475"/>
    <w:rsid w:val="009711D1"/>
    <w:rsid w:val="00987CEF"/>
    <w:rsid w:val="00993749"/>
    <w:rsid w:val="009C3BAB"/>
    <w:rsid w:val="009C3E2E"/>
    <w:rsid w:val="009E1951"/>
    <w:rsid w:val="009F1FB1"/>
    <w:rsid w:val="009F31FF"/>
    <w:rsid w:val="00A0486F"/>
    <w:rsid w:val="00A118E3"/>
    <w:rsid w:val="00A2151F"/>
    <w:rsid w:val="00A254E8"/>
    <w:rsid w:val="00A564D2"/>
    <w:rsid w:val="00A578DC"/>
    <w:rsid w:val="00A57CD0"/>
    <w:rsid w:val="00A609AF"/>
    <w:rsid w:val="00A62551"/>
    <w:rsid w:val="00A7010D"/>
    <w:rsid w:val="00A83CDD"/>
    <w:rsid w:val="00A921D3"/>
    <w:rsid w:val="00A938DC"/>
    <w:rsid w:val="00A94A86"/>
    <w:rsid w:val="00AB4788"/>
    <w:rsid w:val="00AC197E"/>
    <w:rsid w:val="00AC48A2"/>
    <w:rsid w:val="00AC619E"/>
    <w:rsid w:val="00AC727E"/>
    <w:rsid w:val="00AD0919"/>
    <w:rsid w:val="00AD0B72"/>
    <w:rsid w:val="00AD3E34"/>
    <w:rsid w:val="00AE0436"/>
    <w:rsid w:val="00AF1972"/>
    <w:rsid w:val="00B00ED2"/>
    <w:rsid w:val="00B010D9"/>
    <w:rsid w:val="00B12710"/>
    <w:rsid w:val="00B16DE3"/>
    <w:rsid w:val="00B17E10"/>
    <w:rsid w:val="00B221BA"/>
    <w:rsid w:val="00B356AC"/>
    <w:rsid w:val="00B37A16"/>
    <w:rsid w:val="00B528D2"/>
    <w:rsid w:val="00B75B83"/>
    <w:rsid w:val="00B75C83"/>
    <w:rsid w:val="00B851E4"/>
    <w:rsid w:val="00B95DE3"/>
    <w:rsid w:val="00B95F7B"/>
    <w:rsid w:val="00BB103E"/>
    <w:rsid w:val="00BD7E6F"/>
    <w:rsid w:val="00BF1D64"/>
    <w:rsid w:val="00C119AA"/>
    <w:rsid w:val="00C12445"/>
    <w:rsid w:val="00C12495"/>
    <w:rsid w:val="00C20B12"/>
    <w:rsid w:val="00C21E51"/>
    <w:rsid w:val="00C22D8B"/>
    <w:rsid w:val="00C2468E"/>
    <w:rsid w:val="00C32729"/>
    <w:rsid w:val="00C4068D"/>
    <w:rsid w:val="00C41611"/>
    <w:rsid w:val="00C43206"/>
    <w:rsid w:val="00C52328"/>
    <w:rsid w:val="00C72A7F"/>
    <w:rsid w:val="00C84804"/>
    <w:rsid w:val="00C91EE2"/>
    <w:rsid w:val="00CC7334"/>
    <w:rsid w:val="00D0578D"/>
    <w:rsid w:val="00D11E1F"/>
    <w:rsid w:val="00D12545"/>
    <w:rsid w:val="00D21F96"/>
    <w:rsid w:val="00D32AEC"/>
    <w:rsid w:val="00D35521"/>
    <w:rsid w:val="00D35A22"/>
    <w:rsid w:val="00D453A7"/>
    <w:rsid w:val="00D5644F"/>
    <w:rsid w:val="00D81BC9"/>
    <w:rsid w:val="00D96FF1"/>
    <w:rsid w:val="00DA6067"/>
    <w:rsid w:val="00DB334B"/>
    <w:rsid w:val="00DE05E9"/>
    <w:rsid w:val="00DE139B"/>
    <w:rsid w:val="00DE3DC8"/>
    <w:rsid w:val="00DE6FA7"/>
    <w:rsid w:val="00E04FEA"/>
    <w:rsid w:val="00E05BC9"/>
    <w:rsid w:val="00E222D3"/>
    <w:rsid w:val="00E22B02"/>
    <w:rsid w:val="00E44C86"/>
    <w:rsid w:val="00E573A3"/>
    <w:rsid w:val="00E7776D"/>
    <w:rsid w:val="00E8535A"/>
    <w:rsid w:val="00E879D1"/>
    <w:rsid w:val="00E94A28"/>
    <w:rsid w:val="00E96054"/>
    <w:rsid w:val="00E97296"/>
    <w:rsid w:val="00EC0B06"/>
    <w:rsid w:val="00ED0F10"/>
    <w:rsid w:val="00EE022C"/>
    <w:rsid w:val="00EE1CA3"/>
    <w:rsid w:val="00EE2F86"/>
    <w:rsid w:val="00EF3E3B"/>
    <w:rsid w:val="00F064DC"/>
    <w:rsid w:val="00F13BF0"/>
    <w:rsid w:val="00F216D4"/>
    <w:rsid w:val="00F33440"/>
    <w:rsid w:val="00F34CAF"/>
    <w:rsid w:val="00F35186"/>
    <w:rsid w:val="00F440CB"/>
    <w:rsid w:val="00F44B5F"/>
    <w:rsid w:val="00F44BAB"/>
    <w:rsid w:val="00F53D52"/>
    <w:rsid w:val="00F83757"/>
    <w:rsid w:val="00F8485F"/>
    <w:rsid w:val="00F9182B"/>
    <w:rsid w:val="00F96B3F"/>
    <w:rsid w:val="00F96B8D"/>
    <w:rsid w:val="00FA0197"/>
    <w:rsid w:val="00FA782F"/>
    <w:rsid w:val="00FB45A8"/>
    <w:rsid w:val="00FC0C9D"/>
    <w:rsid w:val="00FC0D83"/>
    <w:rsid w:val="00FC41F9"/>
    <w:rsid w:val="00FD4209"/>
    <w:rsid w:val="00FD5A26"/>
    <w:rsid w:val="00FF3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112AB"/>
  <w15:chartTrackingRefBased/>
  <w15:docId w15:val="{AD44F4BC-90D5-4553-A31C-8CF73BE7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A1F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5728C8"/>
    <w:pPr>
      <w:keepNext/>
      <w:tabs>
        <w:tab w:val="left" w:pos="0"/>
      </w:tabs>
      <w:spacing w:after="0" w:line="240" w:lineRule="auto"/>
      <w:jc w:val="center"/>
      <w:outlineLvl w:val="1"/>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206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06D9"/>
  </w:style>
  <w:style w:type="paragraph" w:styleId="Stopka">
    <w:name w:val="footer"/>
    <w:basedOn w:val="Normalny"/>
    <w:link w:val="StopkaZnak"/>
    <w:uiPriority w:val="99"/>
    <w:unhideWhenUsed/>
    <w:rsid w:val="006206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6D9"/>
  </w:style>
  <w:style w:type="paragraph" w:styleId="Tekstprzypisukocowego">
    <w:name w:val="endnote text"/>
    <w:basedOn w:val="Normalny"/>
    <w:link w:val="TekstprzypisukocowegoZnak"/>
    <w:uiPriority w:val="99"/>
    <w:semiHidden/>
    <w:unhideWhenUsed/>
    <w:rsid w:val="006206D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06D9"/>
    <w:rPr>
      <w:sz w:val="20"/>
      <w:szCs w:val="20"/>
    </w:rPr>
  </w:style>
  <w:style w:type="character" w:styleId="Odwoanieprzypisukocowego">
    <w:name w:val="endnote reference"/>
    <w:basedOn w:val="Domylnaczcionkaakapitu"/>
    <w:uiPriority w:val="99"/>
    <w:semiHidden/>
    <w:unhideWhenUsed/>
    <w:rsid w:val="006206D9"/>
    <w:rPr>
      <w:vertAlign w:val="superscript"/>
    </w:rPr>
  </w:style>
  <w:style w:type="table" w:styleId="Tabela-Siatka">
    <w:name w:val="Table Grid"/>
    <w:basedOn w:val="Standardowy"/>
    <w:uiPriority w:val="39"/>
    <w:rsid w:val="005E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unhideWhenUsed/>
    <w:rsid w:val="00E94A28"/>
    <w:pPr>
      <w:spacing w:after="0" w:line="240" w:lineRule="auto"/>
      <w:ind w:left="360"/>
      <w:jc w:val="center"/>
    </w:pPr>
    <w:rPr>
      <w:rFonts w:ascii="Times New Roman" w:eastAsia="Times New Roman" w:hAnsi="Times New Roman" w:cs="Times New Roman"/>
      <w:b/>
      <w:sz w:val="24"/>
      <w:szCs w:val="24"/>
      <w:lang w:eastAsia="pl-PL"/>
    </w:rPr>
  </w:style>
  <w:style w:type="character" w:customStyle="1" w:styleId="TekstpodstawowywcityZnak">
    <w:name w:val="Tekst podstawowy wcięty Znak"/>
    <w:basedOn w:val="Domylnaczcionkaakapitu"/>
    <w:link w:val="Tekstpodstawowywcity"/>
    <w:semiHidden/>
    <w:rsid w:val="00E94A28"/>
    <w:rPr>
      <w:rFonts w:ascii="Times New Roman" w:eastAsia="Times New Roman" w:hAnsi="Times New Roman" w:cs="Times New Roman"/>
      <w:b/>
      <w:sz w:val="24"/>
      <w:szCs w:val="24"/>
      <w:lang w:eastAsia="pl-PL"/>
    </w:rPr>
  </w:style>
  <w:style w:type="paragraph" w:customStyle="1" w:styleId="ZnakZnakCharCharZnakZnak">
    <w:name w:val="Znak Znak Char Char Znak Znak"/>
    <w:basedOn w:val="Normalny"/>
    <w:rsid w:val="009C3BAB"/>
    <w:pPr>
      <w:spacing w:line="240" w:lineRule="exact"/>
    </w:pPr>
    <w:rPr>
      <w:rFonts w:ascii="Tahoma" w:eastAsia="MS Mincho" w:hAnsi="Tahoma" w:cs="Tahoma"/>
      <w:sz w:val="20"/>
      <w:szCs w:val="20"/>
      <w:lang w:val="en-US"/>
    </w:rPr>
  </w:style>
  <w:style w:type="paragraph" w:styleId="Akapitzlist">
    <w:name w:val="List Paragraph"/>
    <w:basedOn w:val="Normalny"/>
    <w:uiPriority w:val="99"/>
    <w:qFormat/>
    <w:rsid w:val="00A57CD0"/>
    <w:pPr>
      <w:ind w:left="720"/>
      <w:contextualSpacing/>
    </w:pPr>
  </w:style>
  <w:style w:type="character" w:customStyle="1" w:styleId="Nagwek2Znak">
    <w:name w:val="Nagłówek 2 Znak"/>
    <w:basedOn w:val="Domylnaczcionkaakapitu"/>
    <w:link w:val="Nagwek2"/>
    <w:rsid w:val="005728C8"/>
    <w:rPr>
      <w:rFonts w:ascii="Times New Roman" w:eastAsia="Times New Roman" w:hAnsi="Times New Roman" w:cs="Times New Roman"/>
      <w:b/>
      <w:sz w:val="24"/>
      <w:szCs w:val="20"/>
      <w:lang w:eastAsia="pl-PL"/>
    </w:rPr>
  </w:style>
  <w:style w:type="paragraph" w:styleId="Tekstprzypisudolnego">
    <w:name w:val="footnote text"/>
    <w:basedOn w:val="Normalny"/>
    <w:link w:val="TekstprzypisudolnegoZnak"/>
    <w:semiHidden/>
    <w:rsid w:val="005728C8"/>
    <w:pPr>
      <w:spacing w:after="0" w:line="240"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semiHidden/>
    <w:rsid w:val="005728C8"/>
    <w:rPr>
      <w:rFonts w:ascii="Arial" w:eastAsia="Times New Roman" w:hAnsi="Arial" w:cs="Times New Roman"/>
      <w:sz w:val="20"/>
      <w:szCs w:val="20"/>
      <w:lang w:eastAsia="pl-PL"/>
    </w:rPr>
  </w:style>
  <w:style w:type="character" w:styleId="Odwoanieprzypisudolnego">
    <w:name w:val="footnote reference"/>
    <w:semiHidden/>
    <w:rsid w:val="005728C8"/>
    <w:rPr>
      <w:vertAlign w:val="superscript"/>
    </w:rPr>
  </w:style>
  <w:style w:type="paragraph" w:styleId="Tekstpodstawowywcity2">
    <w:name w:val="Body Text Indent 2"/>
    <w:basedOn w:val="Normalny"/>
    <w:link w:val="Tekstpodstawowywcity2Znak"/>
    <w:uiPriority w:val="99"/>
    <w:unhideWhenUsed/>
    <w:rsid w:val="00EF3E3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F3E3B"/>
  </w:style>
  <w:style w:type="paragraph" w:styleId="Tekstkomentarza">
    <w:name w:val="annotation text"/>
    <w:basedOn w:val="Normalny"/>
    <w:link w:val="TekstkomentarzaZnak"/>
    <w:rsid w:val="0088715C"/>
    <w:pPr>
      <w:widowControl w:val="0"/>
      <w:adjustRightInd w:val="0"/>
      <w:spacing w:before="60" w:after="120" w:line="276" w:lineRule="auto"/>
      <w:jc w:val="both"/>
      <w:textAlignment w:val="baseline"/>
    </w:pPr>
    <w:rPr>
      <w:rFonts w:ascii="Times New Roman" w:eastAsia="Times New Roman" w:hAnsi="Times New Roman" w:cs="Times New Roman"/>
      <w:snapToGrid w:val="0"/>
      <w:sz w:val="24"/>
      <w:szCs w:val="20"/>
      <w:lang w:val="x-none" w:eastAsia="x-none"/>
    </w:rPr>
  </w:style>
  <w:style w:type="character" w:customStyle="1" w:styleId="TekstkomentarzaZnak">
    <w:name w:val="Tekst komentarza Znak"/>
    <w:basedOn w:val="Domylnaczcionkaakapitu"/>
    <w:link w:val="Tekstkomentarza"/>
    <w:rsid w:val="0088715C"/>
    <w:rPr>
      <w:rFonts w:ascii="Times New Roman" w:eastAsia="Times New Roman" w:hAnsi="Times New Roman" w:cs="Times New Roman"/>
      <w:snapToGrid w:val="0"/>
      <w:sz w:val="24"/>
      <w:szCs w:val="20"/>
      <w:lang w:val="x-none" w:eastAsia="x-none"/>
    </w:rPr>
  </w:style>
  <w:style w:type="paragraph" w:styleId="Tekstpodstawowy">
    <w:name w:val="Body Text"/>
    <w:basedOn w:val="Normalny"/>
    <w:link w:val="TekstpodstawowyZnak"/>
    <w:uiPriority w:val="99"/>
    <w:semiHidden/>
    <w:unhideWhenUsed/>
    <w:rsid w:val="00C52328"/>
    <w:pPr>
      <w:spacing w:after="120"/>
    </w:pPr>
  </w:style>
  <w:style w:type="character" w:customStyle="1" w:styleId="TekstpodstawowyZnak">
    <w:name w:val="Tekst podstawowy Znak"/>
    <w:basedOn w:val="Domylnaczcionkaakapitu"/>
    <w:link w:val="Tekstpodstawowy"/>
    <w:uiPriority w:val="99"/>
    <w:semiHidden/>
    <w:rsid w:val="00C52328"/>
  </w:style>
  <w:style w:type="paragraph" w:styleId="Tekstdymka">
    <w:name w:val="Balloon Text"/>
    <w:basedOn w:val="Normalny"/>
    <w:link w:val="TekstdymkaZnak"/>
    <w:uiPriority w:val="99"/>
    <w:semiHidden/>
    <w:unhideWhenUsed/>
    <w:rsid w:val="001C3B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3B07"/>
    <w:rPr>
      <w:rFonts w:ascii="Segoe UI" w:hAnsi="Segoe UI" w:cs="Segoe UI"/>
      <w:sz w:val="18"/>
      <w:szCs w:val="18"/>
    </w:rPr>
  </w:style>
  <w:style w:type="character" w:customStyle="1" w:styleId="Nagwek1Znak">
    <w:name w:val="Nagłówek 1 Znak"/>
    <w:basedOn w:val="Domylnaczcionkaakapitu"/>
    <w:link w:val="Nagwek1"/>
    <w:uiPriority w:val="9"/>
    <w:rsid w:val="001A1F61"/>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1A1F61"/>
    <w:pPr>
      <w:outlineLvl w:val="9"/>
    </w:pPr>
    <w:rPr>
      <w:lang w:eastAsia="pl-PL"/>
    </w:rPr>
  </w:style>
  <w:style w:type="paragraph" w:styleId="Spistreci1">
    <w:name w:val="toc 1"/>
    <w:basedOn w:val="Normalny"/>
    <w:next w:val="Normalny"/>
    <w:autoRedefine/>
    <w:uiPriority w:val="39"/>
    <w:unhideWhenUsed/>
    <w:rsid w:val="00993749"/>
    <w:pPr>
      <w:tabs>
        <w:tab w:val="right" w:leader="dot" w:pos="9061"/>
      </w:tabs>
      <w:spacing w:after="100"/>
      <w:ind w:left="851" w:hanging="709"/>
    </w:pPr>
  </w:style>
  <w:style w:type="paragraph" w:styleId="Spistreci2">
    <w:name w:val="toc 2"/>
    <w:basedOn w:val="Normalny"/>
    <w:next w:val="Normalny"/>
    <w:autoRedefine/>
    <w:uiPriority w:val="39"/>
    <w:unhideWhenUsed/>
    <w:rsid w:val="001A1F61"/>
    <w:pPr>
      <w:spacing w:after="100"/>
      <w:ind w:left="220"/>
    </w:pPr>
  </w:style>
  <w:style w:type="character" w:styleId="Hipercze">
    <w:name w:val="Hyperlink"/>
    <w:basedOn w:val="Domylnaczcionkaakapitu"/>
    <w:uiPriority w:val="99"/>
    <w:unhideWhenUsed/>
    <w:rsid w:val="001A1F61"/>
    <w:rPr>
      <w:color w:val="0563C1" w:themeColor="hyperlink"/>
      <w:u w:val="single"/>
    </w:rPr>
  </w:style>
  <w:style w:type="paragraph" w:styleId="NormalnyWeb">
    <w:name w:val="Normal (Web)"/>
    <w:basedOn w:val="Normalny"/>
    <w:uiPriority w:val="99"/>
    <w:unhideWhenUsed/>
    <w:rsid w:val="000A04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ssecostandardowy">
    <w:name w:val="p_assecostandardowy"/>
    <w:basedOn w:val="Normalny"/>
    <w:rsid w:val="000A04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assecostandardowy">
    <w:name w:val="f_assecostandardowy"/>
    <w:basedOn w:val="Domylnaczcionkaakapitu"/>
    <w:rsid w:val="000A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3720">
      <w:bodyDiv w:val="1"/>
      <w:marLeft w:val="0"/>
      <w:marRight w:val="0"/>
      <w:marTop w:val="0"/>
      <w:marBottom w:val="0"/>
      <w:divBdr>
        <w:top w:val="none" w:sz="0" w:space="0" w:color="auto"/>
        <w:left w:val="none" w:sz="0" w:space="0" w:color="auto"/>
        <w:bottom w:val="none" w:sz="0" w:space="0" w:color="auto"/>
        <w:right w:val="none" w:sz="0" w:space="0" w:color="auto"/>
      </w:divBdr>
    </w:div>
    <w:div w:id="580794187">
      <w:bodyDiv w:val="1"/>
      <w:marLeft w:val="0"/>
      <w:marRight w:val="0"/>
      <w:marTop w:val="0"/>
      <w:marBottom w:val="0"/>
      <w:divBdr>
        <w:top w:val="none" w:sz="0" w:space="0" w:color="auto"/>
        <w:left w:val="none" w:sz="0" w:space="0" w:color="auto"/>
        <w:bottom w:val="none" w:sz="0" w:space="0" w:color="auto"/>
        <w:right w:val="none" w:sz="0" w:space="0" w:color="auto"/>
      </w:divBdr>
    </w:div>
    <w:div w:id="630284836">
      <w:bodyDiv w:val="1"/>
      <w:marLeft w:val="0"/>
      <w:marRight w:val="0"/>
      <w:marTop w:val="0"/>
      <w:marBottom w:val="0"/>
      <w:divBdr>
        <w:top w:val="none" w:sz="0" w:space="0" w:color="auto"/>
        <w:left w:val="none" w:sz="0" w:space="0" w:color="auto"/>
        <w:bottom w:val="none" w:sz="0" w:space="0" w:color="auto"/>
        <w:right w:val="none" w:sz="0" w:space="0" w:color="auto"/>
      </w:divBdr>
      <w:divsChild>
        <w:div w:id="1220438051">
          <w:marLeft w:val="0"/>
          <w:marRight w:val="0"/>
          <w:marTop w:val="150"/>
          <w:marBottom w:val="0"/>
          <w:divBdr>
            <w:top w:val="none" w:sz="0" w:space="0" w:color="auto"/>
            <w:left w:val="none" w:sz="0" w:space="0" w:color="auto"/>
            <w:bottom w:val="none" w:sz="0" w:space="0" w:color="auto"/>
            <w:right w:val="none" w:sz="0" w:space="0" w:color="auto"/>
          </w:divBdr>
          <w:divsChild>
            <w:div w:id="6293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4710">
      <w:bodyDiv w:val="1"/>
      <w:marLeft w:val="0"/>
      <w:marRight w:val="0"/>
      <w:marTop w:val="0"/>
      <w:marBottom w:val="0"/>
      <w:divBdr>
        <w:top w:val="none" w:sz="0" w:space="0" w:color="auto"/>
        <w:left w:val="none" w:sz="0" w:space="0" w:color="auto"/>
        <w:bottom w:val="none" w:sz="0" w:space="0" w:color="auto"/>
        <w:right w:val="none" w:sz="0" w:space="0" w:color="auto"/>
      </w:divBdr>
    </w:div>
    <w:div w:id="1074936556">
      <w:bodyDiv w:val="1"/>
      <w:marLeft w:val="0"/>
      <w:marRight w:val="0"/>
      <w:marTop w:val="0"/>
      <w:marBottom w:val="0"/>
      <w:divBdr>
        <w:top w:val="none" w:sz="0" w:space="0" w:color="auto"/>
        <w:left w:val="none" w:sz="0" w:space="0" w:color="auto"/>
        <w:bottom w:val="none" w:sz="0" w:space="0" w:color="auto"/>
        <w:right w:val="none" w:sz="0" w:space="0" w:color="auto"/>
      </w:divBdr>
    </w:div>
    <w:div w:id="1580335204">
      <w:bodyDiv w:val="1"/>
      <w:marLeft w:val="0"/>
      <w:marRight w:val="0"/>
      <w:marTop w:val="0"/>
      <w:marBottom w:val="0"/>
      <w:divBdr>
        <w:top w:val="none" w:sz="0" w:space="0" w:color="auto"/>
        <w:left w:val="none" w:sz="0" w:space="0" w:color="auto"/>
        <w:bottom w:val="none" w:sz="0" w:space="0" w:color="auto"/>
        <w:right w:val="none" w:sz="0" w:space="0" w:color="auto"/>
      </w:divBdr>
    </w:div>
    <w:div w:id="2006470957">
      <w:bodyDiv w:val="1"/>
      <w:marLeft w:val="0"/>
      <w:marRight w:val="0"/>
      <w:marTop w:val="0"/>
      <w:marBottom w:val="0"/>
      <w:divBdr>
        <w:top w:val="none" w:sz="0" w:space="0" w:color="auto"/>
        <w:left w:val="none" w:sz="0" w:space="0" w:color="auto"/>
        <w:bottom w:val="none" w:sz="0" w:space="0" w:color="auto"/>
        <w:right w:val="none" w:sz="0" w:space="0" w:color="auto"/>
      </w:divBdr>
    </w:div>
    <w:div w:id="2021545685">
      <w:bodyDiv w:val="1"/>
      <w:marLeft w:val="0"/>
      <w:marRight w:val="0"/>
      <w:marTop w:val="0"/>
      <w:marBottom w:val="0"/>
      <w:divBdr>
        <w:top w:val="none" w:sz="0" w:space="0" w:color="auto"/>
        <w:left w:val="none" w:sz="0" w:space="0" w:color="auto"/>
        <w:bottom w:val="none" w:sz="0" w:space="0" w:color="auto"/>
        <w:right w:val="none" w:sz="0" w:space="0" w:color="auto"/>
      </w:divBdr>
    </w:div>
    <w:div w:id="2063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C14A-4102-4123-A5B2-4E69D741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10387</Words>
  <Characters>62328</Characters>
  <Application>Microsoft Office Word</Application>
  <DocSecurity>8</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Andrzej Turski</dc:creator>
  <cp:keywords/>
  <dc:description/>
  <cp:lastModifiedBy>Monika Michalczyk</cp:lastModifiedBy>
  <cp:revision>60</cp:revision>
  <cp:lastPrinted>2020-07-13T13:00:00Z</cp:lastPrinted>
  <dcterms:created xsi:type="dcterms:W3CDTF">2020-07-06T09:18:00Z</dcterms:created>
  <dcterms:modified xsi:type="dcterms:W3CDTF">2021-07-02T13:35:00Z</dcterms:modified>
</cp:coreProperties>
</file>