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8A299" w14:textId="0783DA23" w:rsidR="000C5CDC" w:rsidRPr="00065790" w:rsidRDefault="000C5CDC" w:rsidP="000C5CDC">
      <w:pPr>
        <w:spacing w:after="1972" w:line="259" w:lineRule="auto"/>
        <w:ind w:left="-2" w:right="0" w:firstLine="0"/>
        <w:jc w:val="right"/>
        <w:rPr>
          <w:rFonts w:ascii="Times New Roman" w:hAnsi="Times New Roman" w:cs="Times New Roman"/>
          <w:color w:val="auto"/>
        </w:rPr>
      </w:pPr>
      <w:bookmarkStart w:id="0" w:name="_GoBack"/>
      <w:bookmarkEnd w:id="0"/>
      <w:r w:rsidRPr="00065790">
        <w:rPr>
          <w:rFonts w:ascii="Times New Roman" w:hAnsi="Times New Roman" w:cs="Times New Roman"/>
          <w:color w:val="auto"/>
        </w:rPr>
        <w:t xml:space="preserve">Zarząd Warmińsko-Mazurskiego Banku Spółdzielczego </w:t>
      </w:r>
      <w:r w:rsidR="001A76F0" w:rsidRPr="00065790">
        <w:rPr>
          <w:rFonts w:ascii="Times New Roman" w:hAnsi="Times New Roman" w:cs="Times New Roman"/>
          <w:color w:val="auto"/>
        </w:rPr>
        <w:t xml:space="preserve">                                                   </w:t>
      </w:r>
      <w:r w:rsidRPr="00065790">
        <w:rPr>
          <w:rFonts w:ascii="Times New Roman" w:hAnsi="Times New Roman" w:cs="Times New Roman"/>
          <w:color w:val="auto"/>
        </w:rPr>
        <w:t>zatwierdził niniejszy dokument</w:t>
      </w:r>
      <w:r w:rsidR="001A76F0" w:rsidRPr="00065790">
        <w:rPr>
          <w:rFonts w:ascii="Times New Roman" w:hAnsi="Times New Roman" w:cs="Times New Roman"/>
          <w:color w:val="auto"/>
        </w:rPr>
        <w:t xml:space="preserve">                                                                                                      </w:t>
      </w:r>
      <w:r w:rsidRPr="00065790">
        <w:rPr>
          <w:rFonts w:ascii="Times New Roman" w:hAnsi="Times New Roman" w:cs="Times New Roman"/>
          <w:color w:val="auto"/>
        </w:rPr>
        <w:t xml:space="preserve"> Uchwałą nr</w:t>
      </w:r>
      <w:r w:rsidR="001A76F0" w:rsidRPr="00065790">
        <w:rPr>
          <w:rFonts w:ascii="Times New Roman" w:hAnsi="Times New Roman" w:cs="Times New Roman"/>
          <w:color w:val="auto"/>
        </w:rPr>
        <w:t xml:space="preserve"> </w:t>
      </w:r>
      <w:r w:rsidR="001E0AC3">
        <w:rPr>
          <w:rFonts w:ascii="Times New Roman" w:hAnsi="Times New Roman" w:cs="Times New Roman"/>
          <w:color w:val="auto"/>
        </w:rPr>
        <w:t>1/12/2021</w:t>
      </w:r>
      <w:r w:rsidRPr="00065790">
        <w:rPr>
          <w:rFonts w:ascii="Times New Roman" w:hAnsi="Times New Roman" w:cs="Times New Roman"/>
          <w:color w:val="auto"/>
        </w:rPr>
        <w:t xml:space="preserve"> z dnia </w:t>
      </w:r>
      <w:r w:rsidR="001E0AC3">
        <w:rPr>
          <w:rFonts w:ascii="Times New Roman" w:hAnsi="Times New Roman" w:cs="Times New Roman"/>
          <w:color w:val="auto"/>
        </w:rPr>
        <w:t>24.06.</w:t>
      </w:r>
      <w:r w:rsidR="002679C1" w:rsidRPr="00065790">
        <w:rPr>
          <w:rFonts w:ascii="Times New Roman" w:hAnsi="Times New Roman" w:cs="Times New Roman"/>
          <w:color w:val="auto"/>
        </w:rPr>
        <w:t>20</w:t>
      </w:r>
      <w:r w:rsidR="00065790" w:rsidRPr="00065790">
        <w:rPr>
          <w:rFonts w:ascii="Times New Roman" w:hAnsi="Times New Roman" w:cs="Times New Roman"/>
          <w:color w:val="auto"/>
        </w:rPr>
        <w:t>21</w:t>
      </w:r>
      <w:r w:rsidRPr="00065790">
        <w:rPr>
          <w:rFonts w:ascii="Times New Roman" w:hAnsi="Times New Roman" w:cs="Times New Roman"/>
          <w:color w:val="auto"/>
        </w:rPr>
        <w:t xml:space="preserve"> r.</w:t>
      </w:r>
    </w:p>
    <w:p w14:paraId="6132B041" w14:textId="77777777" w:rsidR="002C50F6" w:rsidRPr="00065790" w:rsidRDefault="002C50F6">
      <w:pPr>
        <w:spacing w:after="1972" w:line="259" w:lineRule="auto"/>
        <w:ind w:left="-2" w:right="0" w:firstLine="0"/>
        <w:jc w:val="left"/>
        <w:rPr>
          <w:rFonts w:ascii="Times New Roman" w:hAnsi="Times New Roman" w:cs="Times New Roman"/>
          <w:color w:val="auto"/>
        </w:rPr>
      </w:pPr>
    </w:p>
    <w:p w14:paraId="70A0A45F" w14:textId="77777777" w:rsidR="002C50F6" w:rsidRPr="00065790" w:rsidRDefault="00E81BF6">
      <w:pPr>
        <w:spacing w:after="179" w:line="259" w:lineRule="auto"/>
        <w:ind w:left="0" w:right="5" w:firstLine="0"/>
        <w:jc w:val="center"/>
        <w:rPr>
          <w:rFonts w:ascii="Times New Roman" w:hAnsi="Times New Roman" w:cs="Times New Roman"/>
          <w:color w:val="auto"/>
        </w:rPr>
      </w:pPr>
      <w:r w:rsidRPr="00065790">
        <w:rPr>
          <w:rFonts w:ascii="Times New Roman" w:hAnsi="Times New Roman" w:cs="Times New Roman"/>
          <w:b/>
          <w:color w:val="auto"/>
          <w:sz w:val="36"/>
        </w:rPr>
        <w:t>UJAWNIENIE INFORMACJI</w:t>
      </w:r>
    </w:p>
    <w:p w14:paraId="5DCECCE4" w14:textId="77777777" w:rsidR="000C5CDC" w:rsidRPr="00065790" w:rsidRDefault="00E81BF6" w:rsidP="00CE3B0F">
      <w:pPr>
        <w:spacing w:after="25" w:line="259" w:lineRule="auto"/>
        <w:ind w:left="218" w:right="0" w:firstLine="0"/>
        <w:jc w:val="center"/>
        <w:rPr>
          <w:rFonts w:ascii="Times New Roman" w:hAnsi="Times New Roman" w:cs="Times New Roman"/>
          <w:b/>
          <w:i/>
          <w:color w:val="auto"/>
          <w:sz w:val="28"/>
        </w:rPr>
      </w:pPr>
      <w:r w:rsidRPr="00065790">
        <w:rPr>
          <w:rFonts w:ascii="Times New Roman" w:hAnsi="Times New Roman" w:cs="Times New Roman"/>
          <w:b/>
          <w:i/>
          <w:color w:val="auto"/>
          <w:sz w:val="28"/>
        </w:rPr>
        <w:t xml:space="preserve">o charakterze jakościowym i ilościowym dotyczących profilu ryzyka </w:t>
      </w:r>
      <w:r w:rsidR="00CE3B0F" w:rsidRPr="00065790">
        <w:rPr>
          <w:rFonts w:ascii="Times New Roman" w:hAnsi="Times New Roman" w:cs="Times New Roman"/>
          <w:b/>
          <w:i/>
          <w:color w:val="auto"/>
          <w:sz w:val="28"/>
        </w:rPr>
        <w:t>Warmińsko-Mazurskiego Banku Spółdzielczego</w:t>
      </w:r>
      <w:r w:rsidRPr="00065790">
        <w:rPr>
          <w:rFonts w:ascii="Times New Roman" w:hAnsi="Times New Roman" w:cs="Times New Roman"/>
          <w:b/>
          <w:i/>
          <w:color w:val="auto"/>
          <w:sz w:val="28"/>
        </w:rPr>
        <w:t>,</w:t>
      </w:r>
      <w:r w:rsidR="00CE3B0F" w:rsidRPr="00065790">
        <w:rPr>
          <w:rFonts w:ascii="Times New Roman" w:hAnsi="Times New Roman" w:cs="Times New Roman"/>
          <w:b/>
          <w:i/>
          <w:color w:val="auto"/>
          <w:sz w:val="28"/>
        </w:rPr>
        <w:t xml:space="preserve"> </w:t>
      </w:r>
      <w:r w:rsidRPr="00065790">
        <w:rPr>
          <w:rFonts w:ascii="Times New Roman" w:hAnsi="Times New Roman" w:cs="Times New Roman"/>
          <w:b/>
          <w:i/>
          <w:color w:val="auto"/>
          <w:sz w:val="28"/>
        </w:rPr>
        <w:t xml:space="preserve">funduszy własnych, wymogów </w:t>
      </w:r>
      <w:r w:rsidR="00CE3B0F" w:rsidRPr="00065790">
        <w:rPr>
          <w:rFonts w:ascii="Times New Roman" w:hAnsi="Times New Roman" w:cs="Times New Roman"/>
          <w:b/>
          <w:i/>
          <w:color w:val="auto"/>
          <w:sz w:val="28"/>
        </w:rPr>
        <w:t>k</w:t>
      </w:r>
      <w:r w:rsidRPr="00065790">
        <w:rPr>
          <w:rFonts w:ascii="Times New Roman" w:hAnsi="Times New Roman" w:cs="Times New Roman"/>
          <w:b/>
          <w:i/>
          <w:color w:val="auto"/>
          <w:sz w:val="28"/>
        </w:rPr>
        <w:t>apitałowych, polityki w zakresie wynagrodzeń oraz innych informacji podlegających obowiązkowym ujawnieniom</w:t>
      </w:r>
      <w:r w:rsidR="000C5CDC" w:rsidRPr="00065790">
        <w:rPr>
          <w:rFonts w:ascii="Times New Roman" w:hAnsi="Times New Roman" w:cs="Times New Roman"/>
          <w:b/>
          <w:i/>
          <w:color w:val="auto"/>
          <w:sz w:val="28"/>
        </w:rPr>
        <w:t xml:space="preserve"> </w:t>
      </w:r>
    </w:p>
    <w:p w14:paraId="619734BF" w14:textId="77777777" w:rsidR="002C50F6" w:rsidRPr="00065790" w:rsidRDefault="000C5CDC" w:rsidP="00CE3B0F">
      <w:pPr>
        <w:spacing w:after="25" w:line="259" w:lineRule="auto"/>
        <w:ind w:left="218" w:right="0" w:firstLine="0"/>
        <w:jc w:val="center"/>
        <w:rPr>
          <w:rFonts w:ascii="Times New Roman" w:hAnsi="Times New Roman" w:cs="Times New Roman"/>
          <w:b/>
          <w:i/>
          <w:color w:val="auto"/>
          <w:sz w:val="28"/>
        </w:rPr>
      </w:pPr>
      <w:r w:rsidRPr="00065790">
        <w:rPr>
          <w:rFonts w:ascii="Times New Roman" w:hAnsi="Times New Roman" w:cs="Times New Roman"/>
          <w:b/>
          <w:i/>
          <w:color w:val="auto"/>
          <w:sz w:val="28"/>
        </w:rPr>
        <w:t>zgodnie z Rozporządzeniem Parlamentu Europejskiego i Rady (UE) nr 575/2013 z dnia 26 czerwca 2013 r. w sprawie wymogów ostrożnościowych dla instytucji kredytowych i firm inwestycyjnych, część ósma, a także art. 111a ustawy Prawo bankowe</w:t>
      </w:r>
    </w:p>
    <w:p w14:paraId="00CF6F23" w14:textId="77777777" w:rsidR="004A3E50" w:rsidRPr="00065790" w:rsidRDefault="00912C4A" w:rsidP="00912C4A">
      <w:pPr>
        <w:tabs>
          <w:tab w:val="left" w:pos="6120"/>
        </w:tabs>
        <w:spacing w:after="254" w:line="268" w:lineRule="auto"/>
        <w:jc w:val="left"/>
        <w:rPr>
          <w:rFonts w:ascii="Times New Roman" w:hAnsi="Times New Roman" w:cs="Times New Roman"/>
          <w:color w:val="auto"/>
        </w:rPr>
      </w:pPr>
      <w:r w:rsidRPr="00065790">
        <w:rPr>
          <w:rFonts w:ascii="Times New Roman" w:hAnsi="Times New Roman" w:cs="Times New Roman"/>
          <w:color w:val="auto"/>
        </w:rPr>
        <w:tab/>
      </w:r>
      <w:r w:rsidRPr="00065790">
        <w:rPr>
          <w:rFonts w:ascii="Times New Roman" w:hAnsi="Times New Roman" w:cs="Times New Roman"/>
          <w:color w:val="auto"/>
        </w:rPr>
        <w:tab/>
      </w:r>
    </w:p>
    <w:p w14:paraId="30E74CD6" w14:textId="77777777" w:rsidR="004A3E50" w:rsidRPr="00065790" w:rsidRDefault="004A3E50">
      <w:pPr>
        <w:spacing w:after="254" w:line="268" w:lineRule="auto"/>
        <w:jc w:val="center"/>
        <w:rPr>
          <w:rFonts w:ascii="Times New Roman" w:hAnsi="Times New Roman" w:cs="Times New Roman"/>
          <w:color w:val="auto"/>
        </w:rPr>
      </w:pPr>
    </w:p>
    <w:p w14:paraId="347B6D49" w14:textId="77777777" w:rsidR="004A3E50" w:rsidRPr="00065790" w:rsidRDefault="004A3E50">
      <w:pPr>
        <w:spacing w:after="254" w:line="268" w:lineRule="auto"/>
        <w:jc w:val="center"/>
        <w:rPr>
          <w:rFonts w:ascii="Times New Roman" w:hAnsi="Times New Roman" w:cs="Times New Roman"/>
          <w:color w:val="auto"/>
        </w:rPr>
      </w:pPr>
    </w:p>
    <w:p w14:paraId="7E1C49B1" w14:textId="77777777" w:rsidR="00CE3B0F" w:rsidRPr="00065790" w:rsidRDefault="00CE3B0F">
      <w:pPr>
        <w:spacing w:after="254" w:line="268" w:lineRule="auto"/>
        <w:jc w:val="center"/>
        <w:rPr>
          <w:rFonts w:ascii="Times New Roman" w:hAnsi="Times New Roman" w:cs="Times New Roman"/>
          <w:color w:val="auto"/>
        </w:rPr>
      </w:pPr>
    </w:p>
    <w:p w14:paraId="1E440E64" w14:textId="77777777" w:rsidR="00CE3B0F" w:rsidRPr="00065790" w:rsidRDefault="00CE3B0F">
      <w:pPr>
        <w:spacing w:after="254" w:line="268" w:lineRule="auto"/>
        <w:jc w:val="center"/>
        <w:rPr>
          <w:rFonts w:ascii="Times New Roman" w:hAnsi="Times New Roman" w:cs="Times New Roman"/>
          <w:color w:val="auto"/>
        </w:rPr>
      </w:pPr>
    </w:p>
    <w:p w14:paraId="33E8D098" w14:textId="77777777" w:rsidR="00CE3B0F" w:rsidRPr="00065790" w:rsidRDefault="00CE3B0F">
      <w:pPr>
        <w:spacing w:after="254" w:line="268" w:lineRule="auto"/>
        <w:jc w:val="center"/>
        <w:rPr>
          <w:rFonts w:ascii="Times New Roman" w:hAnsi="Times New Roman" w:cs="Times New Roman"/>
          <w:color w:val="auto"/>
        </w:rPr>
      </w:pPr>
    </w:p>
    <w:p w14:paraId="05972EE4" w14:textId="77777777" w:rsidR="00CE3B0F" w:rsidRPr="00065790" w:rsidRDefault="00CE3B0F">
      <w:pPr>
        <w:spacing w:after="254" w:line="268" w:lineRule="auto"/>
        <w:jc w:val="center"/>
        <w:rPr>
          <w:rFonts w:ascii="Times New Roman" w:hAnsi="Times New Roman" w:cs="Times New Roman"/>
          <w:color w:val="auto"/>
        </w:rPr>
      </w:pPr>
    </w:p>
    <w:p w14:paraId="13EE81E0" w14:textId="78982657" w:rsidR="002C50F6" w:rsidRPr="00065790" w:rsidRDefault="00E81BF6">
      <w:pPr>
        <w:spacing w:after="254" w:line="268" w:lineRule="auto"/>
        <w:jc w:val="center"/>
        <w:rPr>
          <w:rFonts w:ascii="Times New Roman" w:hAnsi="Times New Roman" w:cs="Times New Roman"/>
          <w:color w:val="auto"/>
        </w:rPr>
      </w:pPr>
      <w:r w:rsidRPr="00065790">
        <w:rPr>
          <w:rFonts w:ascii="Times New Roman" w:hAnsi="Times New Roman" w:cs="Times New Roman"/>
          <w:color w:val="auto"/>
        </w:rPr>
        <w:t>W</w:t>
      </w:r>
      <w:r w:rsidR="00F03594" w:rsidRPr="00065790">
        <w:rPr>
          <w:rFonts w:ascii="Times New Roman" w:hAnsi="Times New Roman" w:cs="Times New Roman"/>
          <w:color w:val="auto"/>
        </w:rPr>
        <w:t xml:space="preserve">G STANU NA DZIEŃ 31 GRUDNIA </w:t>
      </w:r>
      <w:r w:rsidR="00065790" w:rsidRPr="00065790">
        <w:rPr>
          <w:rFonts w:ascii="Times New Roman" w:hAnsi="Times New Roman" w:cs="Times New Roman"/>
          <w:color w:val="auto"/>
        </w:rPr>
        <w:t xml:space="preserve">2020 </w:t>
      </w:r>
      <w:r w:rsidRPr="00065790">
        <w:rPr>
          <w:rFonts w:ascii="Times New Roman" w:hAnsi="Times New Roman" w:cs="Times New Roman"/>
          <w:color w:val="auto"/>
        </w:rPr>
        <w:t>ROKU</w:t>
      </w:r>
    </w:p>
    <w:p w14:paraId="28D69AC6" w14:textId="77777777" w:rsidR="00196F23" w:rsidRDefault="00196F23">
      <w:pPr>
        <w:spacing w:after="0" w:line="259" w:lineRule="auto"/>
        <w:ind w:left="0" w:right="0" w:firstLine="0"/>
        <w:jc w:val="left"/>
        <w:rPr>
          <w:rFonts w:ascii="Times New Roman" w:hAnsi="Times New Roman" w:cs="Times New Roman"/>
          <w:b/>
          <w:color w:val="FF0000"/>
          <w:sz w:val="32"/>
        </w:rPr>
      </w:pPr>
    </w:p>
    <w:p w14:paraId="3FF925D3" w14:textId="77777777" w:rsidR="002C50F6" w:rsidRPr="001E0AC3" w:rsidRDefault="00E81BF6">
      <w:pPr>
        <w:spacing w:after="0" w:line="259" w:lineRule="auto"/>
        <w:ind w:left="0" w:right="0" w:firstLine="0"/>
        <w:jc w:val="left"/>
        <w:rPr>
          <w:rFonts w:ascii="Times New Roman" w:hAnsi="Times New Roman" w:cs="Times New Roman"/>
          <w:color w:val="auto"/>
        </w:rPr>
      </w:pPr>
      <w:r w:rsidRPr="001E0AC3">
        <w:rPr>
          <w:rFonts w:ascii="Times New Roman" w:hAnsi="Times New Roman" w:cs="Times New Roman"/>
          <w:b/>
          <w:color w:val="auto"/>
          <w:sz w:val="32"/>
        </w:rPr>
        <w:lastRenderedPageBreak/>
        <w:t>SPIS TREŚCI</w:t>
      </w:r>
    </w:p>
    <w:sdt>
      <w:sdtPr>
        <w:rPr>
          <w:rFonts w:ascii="Times New Roman" w:hAnsi="Times New Roman" w:cs="Times New Roman"/>
          <w:color w:val="FF0000"/>
        </w:rPr>
        <w:id w:val="1419676012"/>
        <w:docPartObj>
          <w:docPartGallery w:val="Table of Contents"/>
        </w:docPartObj>
      </w:sdtPr>
      <w:sdtEndPr/>
      <w:sdtContent>
        <w:p w14:paraId="7F4D7D03" w14:textId="77777777" w:rsidR="005326E6" w:rsidRPr="001E0AC3" w:rsidRDefault="00E81BF6">
          <w:pPr>
            <w:pStyle w:val="Spistreci1"/>
            <w:tabs>
              <w:tab w:val="right" w:leader="dot" w:pos="9347"/>
            </w:tabs>
            <w:rPr>
              <w:rFonts w:ascii="Times New Roman" w:eastAsiaTheme="minorEastAsia" w:hAnsi="Times New Roman" w:cs="Times New Roman"/>
              <w:noProof/>
              <w:color w:val="auto"/>
              <w:szCs w:val="24"/>
            </w:rPr>
          </w:pPr>
          <w:r w:rsidRPr="00065790">
            <w:rPr>
              <w:rFonts w:ascii="Times New Roman" w:hAnsi="Times New Roman" w:cs="Times New Roman"/>
              <w:color w:val="FF0000"/>
            </w:rPr>
            <w:fldChar w:fldCharType="begin"/>
          </w:r>
          <w:r w:rsidRPr="00065790">
            <w:rPr>
              <w:rFonts w:ascii="Times New Roman" w:hAnsi="Times New Roman" w:cs="Times New Roman"/>
              <w:color w:val="FF0000"/>
            </w:rPr>
            <w:instrText xml:space="preserve"> TOC \o "1-3" \h \z \u </w:instrText>
          </w:r>
          <w:r w:rsidRPr="00065790">
            <w:rPr>
              <w:rFonts w:ascii="Times New Roman" w:hAnsi="Times New Roman" w:cs="Times New Roman"/>
              <w:color w:val="FF0000"/>
            </w:rPr>
            <w:fldChar w:fldCharType="separate"/>
          </w:r>
          <w:hyperlink w:anchor="_Toc75336244" w:history="1">
            <w:r w:rsidR="005326E6" w:rsidRPr="001E0AC3">
              <w:rPr>
                <w:rStyle w:val="Hipercze"/>
                <w:rFonts w:ascii="Times New Roman" w:hAnsi="Times New Roman" w:cs="Times New Roman"/>
                <w:noProof/>
                <w:szCs w:val="24"/>
              </w:rPr>
              <w:t>Wprowadzenie</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_Toc75336244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5</w:t>
            </w:r>
            <w:r w:rsidR="005326E6" w:rsidRPr="001E0AC3">
              <w:rPr>
                <w:rFonts w:ascii="Times New Roman" w:hAnsi="Times New Roman" w:cs="Times New Roman"/>
                <w:noProof/>
                <w:webHidden/>
                <w:szCs w:val="24"/>
              </w:rPr>
              <w:fldChar w:fldCharType="end"/>
            </w:r>
          </w:hyperlink>
        </w:p>
        <w:p w14:paraId="5AC1EAC1"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245" w:history="1">
            <w:r w:rsidR="005326E6" w:rsidRPr="001E0AC3">
              <w:rPr>
                <w:rStyle w:val="Hipercze"/>
                <w:rFonts w:ascii="Times New Roman" w:hAnsi="Times New Roman" w:cs="Times New Roman"/>
                <w:noProof/>
                <w:szCs w:val="24"/>
              </w:rPr>
              <w:t>1. Informacje o Banku</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_Toc75336245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5</w:t>
            </w:r>
            <w:r w:rsidR="005326E6" w:rsidRPr="001E0AC3">
              <w:rPr>
                <w:rFonts w:ascii="Times New Roman" w:hAnsi="Times New Roman" w:cs="Times New Roman"/>
                <w:noProof/>
                <w:webHidden/>
                <w:szCs w:val="24"/>
              </w:rPr>
              <w:fldChar w:fldCharType="end"/>
            </w:r>
          </w:hyperlink>
        </w:p>
        <w:p w14:paraId="5C57C1F5"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46" w:history="1">
            <w:r w:rsidR="005326E6" w:rsidRPr="001E0AC3">
              <w:rPr>
                <w:rStyle w:val="Hipercze"/>
                <w:rFonts w:ascii="Times New Roman" w:hAnsi="Times New Roman" w:cs="Times New Roman"/>
                <w:noProof/>
                <w:szCs w:val="24"/>
              </w:rPr>
              <w:t>1.1. Informacje ujawniane na podstawie art. 111a ustawy Prawo bankowe</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_Toc75336246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6</w:t>
            </w:r>
            <w:r w:rsidR="005326E6" w:rsidRPr="001E0AC3">
              <w:rPr>
                <w:rFonts w:ascii="Times New Roman" w:hAnsi="Times New Roman" w:cs="Times New Roman"/>
                <w:noProof/>
                <w:webHidden/>
                <w:szCs w:val="24"/>
              </w:rPr>
              <w:fldChar w:fldCharType="end"/>
            </w:r>
          </w:hyperlink>
        </w:p>
        <w:p w14:paraId="2DB8B7A9"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247" w:history="1">
            <w:r w:rsidR="005326E6" w:rsidRPr="001E0AC3">
              <w:rPr>
                <w:rStyle w:val="Hipercze"/>
                <w:rFonts w:ascii="Times New Roman" w:hAnsi="Times New Roman" w:cs="Times New Roman"/>
                <w:noProof/>
                <w:szCs w:val="24"/>
              </w:rPr>
              <w:t>2. Cele i strategie w zakresie zarządzania ryzykiem – art. 435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_Toc75336247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6</w:t>
            </w:r>
            <w:r w:rsidR="005326E6" w:rsidRPr="001E0AC3">
              <w:rPr>
                <w:rFonts w:ascii="Times New Roman" w:hAnsi="Times New Roman" w:cs="Times New Roman"/>
                <w:noProof/>
                <w:webHidden/>
                <w:szCs w:val="24"/>
              </w:rPr>
              <w:fldChar w:fldCharType="end"/>
            </w:r>
          </w:hyperlink>
        </w:p>
        <w:p w14:paraId="226A9833"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48" w:history="1">
            <w:r w:rsidR="005326E6" w:rsidRPr="001E0AC3">
              <w:rPr>
                <w:rStyle w:val="Hipercze"/>
                <w:rFonts w:ascii="Times New Roman" w:hAnsi="Times New Roman" w:cs="Times New Roman"/>
                <w:noProof/>
                <w:szCs w:val="24"/>
              </w:rPr>
              <w:t>2.1. Informacje o systemie zarządzania ryzykiem, strategii i celach zarządzania w odniesieniu do poszczególnych kategorii ryzyka</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_Toc75336248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7</w:t>
            </w:r>
            <w:r w:rsidR="005326E6" w:rsidRPr="001E0AC3">
              <w:rPr>
                <w:rFonts w:ascii="Times New Roman" w:hAnsi="Times New Roman" w:cs="Times New Roman"/>
                <w:noProof/>
                <w:webHidden/>
                <w:szCs w:val="24"/>
              </w:rPr>
              <w:fldChar w:fldCharType="end"/>
            </w:r>
          </w:hyperlink>
        </w:p>
        <w:p w14:paraId="6E5DB324" w14:textId="77777777" w:rsidR="005326E6" w:rsidRPr="001E0AC3" w:rsidRDefault="00220A30">
          <w:pPr>
            <w:pStyle w:val="Spistreci3"/>
            <w:tabs>
              <w:tab w:val="right" w:leader="dot" w:pos="9347"/>
            </w:tabs>
            <w:rPr>
              <w:rFonts w:ascii="Times New Roman" w:eastAsiaTheme="minorEastAsia" w:hAnsi="Times New Roman" w:cs="Times New Roman"/>
              <w:noProof/>
              <w:color w:val="auto"/>
              <w:szCs w:val="24"/>
            </w:rPr>
          </w:pPr>
          <w:hyperlink w:anchor="_Toc75336249" w:history="1">
            <w:r w:rsidR="005326E6" w:rsidRPr="001E0AC3">
              <w:rPr>
                <w:rStyle w:val="Hipercze"/>
                <w:rFonts w:ascii="Times New Roman" w:hAnsi="Times New Roman" w:cs="Times New Roman"/>
                <w:noProof/>
                <w:szCs w:val="24"/>
              </w:rPr>
              <w:t>2.1.1 Oświadczenie na temat adekwatności ustaleń dotyczących zarządzania ryzykiem w instytucji</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_Toc75336249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14</w:t>
            </w:r>
            <w:r w:rsidR="005326E6" w:rsidRPr="001E0AC3">
              <w:rPr>
                <w:rFonts w:ascii="Times New Roman" w:hAnsi="Times New Roman" w:cs="Times New Roman"/>
                <w:noProof/>
                <w:webHidden/>
                <w:szCs w:val="24"/>
              </w:rPr>
              <w:fldChar w:fldCharType="end"/>
            </w:r>
          </w:hyperlink>
        </w:p>
        <w:p w14:paraId="1BAE6B62" w14:textId="77777777" w:rsidR="005326E6" w:rsidRPr="001E0AC3" w:rsidRDefault="00220A30">
          <w:pPr>
            <w:pStyle w:val="Spistreci3"/>
            <w:tabs>
              <w:tab w:val="right" w:leader="dot" w:pos="9347"/>
            </w:tabs>
            <w:rPr>
              <w:rFonts w:ascii="Times New Roman" w:eastAsiaTheme="minorEastAsia" w:hAnsi="Times New Roman" w:cs="Times New Roman"/>
              <w:noProof/>
              <w:color w:val="auto"/>
              <w:szCs w:val="24"/>
            </w:rPr>
          </w:pPr>
          <w:hyperlink w:anchor="_Toc75336250" w:history="1">
            <w:r w:rsidR="005326E6" w:rsidRPr="001E0AC3">
              <w:rPr>
                <w:rStyle w:val="Hipercze"/>
                <w:rFonts w:ascii="Times New Roman" w:hAnsi="Times New Roman" w:cs="Times New Roman"/>
                <w:noProof/>
                <w:szCs w:val="24"/>
              </w:rPr>
              <w:t>2.1.2. Oświadczenie na temat ryzyka</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_Toc75336250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14</w:t>
            </w:r>
            <w:r w:rsidR="005326E6" w:rsidRPr="001E0AC3">
              <w:rPr>
                <w:rFonts w:ascii="Times New Roman" w:hAnsi="Times New Roman" w:cs="Times New Roman"/>
                <w:noProof/>
                <w:webHidden/>
                <w:szCs w:val="24"/>
              </w:rPr>
              <w:fldChar w:fldCharType="end"/>
            </w:r>
          </w:hyperlink>
        </w:p>
        <w:p w14:paraId="0D5A5975"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51" w:history="1">
            <w:r w:rsidR="005326E6" w:rsidRPr="001E0AC3">
              <w:rPr>
                <w:rStyle w:val="Hipercze"/>
                <w:rFonts w:ascii="Times New Roman" w:hAnsi="Times New Roman" w:cs="Times New Roman"/>
                <w:noProof/>
                <w:szCs w:val="24"/>
              </w:rPr>
              <w:t>2.2. Informacje w odniesieniu do zasad zarządzania</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_Toc75336251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14</w:t>
            </w:r>
            <w:r w:rsidR="005326E6" w:rsidRPr="001E0AC3">
              <w:rPr>
                <w:rFonts w:ascii="Times New Roman" w:hAnsi="Times New Roman" w:cs="Times New Roman"/>
                <w:noProof/>
                <w:webHidden/>
                <w:szCs w:val="24"/>
              </w:rPr>
              <w:fldChar w:fldCharType="end"/>
            </w:r>
          </w:hyperlink>
        </w:p>
        <w:p w14:paraId="5E26A296"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252" w:history="1">
            <w:r w:rsidR="005326E6" w:rsidRPr="001E0AC3">
              <w:rPr>
                <w:rStyle w:val="Hipercze"/>
                <w:rFonts w:ascii="Times New Roman" w:hAnsi="Times New Roman" w:cs="Times New Roman"/>
                <w:noProof/>
                <w:szCs w:val="24"/>
              </w:rPr>
              <w:t>3. Zakres stosowania – art. 436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_Toc75336252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15</w:t>
            </w:r>
            <w:r w:rsidR="005326E6" w:rsidRPr="001E0AC3">
              <w:rPr>
                <w:rFonts w:ascii="Times New Roman" w:hAnsi="Times New Roman" w:cs="Times New Roman"/>
                <w:noProof/>
                <w:webHidden/>
                <w:szCs w:val="24"/>
              </w:rPr>
              <w:fldChar w:fldCharType="end"/>
            </w:r>
          </w:hyperlink>
        </w:p>
        <w:p w14:paraId="0B384078"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253" w:history="1">
            <w:r w:rsidR="005326E6" w:rsidRPr="001E0AC3">
              <w:rPr>
                <w:rStyle w:val="Hipercze"/>
                <w:rFonts w:ascii="Times New Roman" w:hAnsi="Times New Roman" w:cs="Times New Roman"/>
                <w:noProof/>
                <w:szCs w:val="24"/>
              </w:rPr>
              <w:t>4. Fundusze własne – art. 437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_Toc75336253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15</w:t>
            </w:r>
            <w:r w:rsidR="005326E6" w:rsidRPr="001E0AC3">
              <w:rPr>
                <w:rFonts w:ascii="Times New Roman" w:hAnsi="Times New Roman" w:cs="Times New Roman"/>
                <w:noProof/>
                <w:webHidden/>
                <w:szCs w:val="24"/>
              </w:rPr>
              <w:fldChar w:fldCharType="end"/>
            </w:r>
          </w:hyperlink>
        </w:p>
        <w:p w14:paraId="080DE542"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254" w:history="1">
            <w:r w:rsidR="005326E6" w:rsidRPr="001E0AC3">
              <w:rPr>
                <w:rStyle w:val="Hipercze"/>
                <w:rFonts w:ascii="Times New Roman" w:hAnsi="Times New Roman" w:cs="Times New Roman"/>
                <w:noProof/>
                <w:szCs w:val="24"/>
              </w:rPr>
              <w:t>5. Wymogi kapitałowe – art. 438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_Toc75336254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17</w:t>
            </w:r>
            <w:r w:rsidR="005326E6" w:rsidRPr="001E0AC3">
              <w:rPr>
                <w:rFonts w:ascii="Times New Roman" w:hAnsi="Times New Roman" w:cs="Times New Roman"/>
                <w:noProof/>
                <w:webHidden/>
                <w:szCs w:val="24"/>
              </w:rPr>
              <w:fldChar w:fldCharType="end"/>
            </w:r>
          </w:hyperlink>
        </w:p>
        <w:p w14:paraId="1820C828"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55" w:history="1">
            <w:r w:rsidR="005326E6" w:rsidRPr="001E0AC3">
              <w:rPr>
                <w:rStyle w:val="Hipercze"/>
                <w:rFonts w:ascii="Times New Roman" w:hAnsi="Times New Roman" w:cs="Times New Roman"/>
                <w:noProof/>
                <w:szCs w:val="24"/>
              </w:rPr>
              <w:t>5.1. Opis metody stosowanej przez instytucję do oceny adekwatności jej kapitału wewnętrznego w celu wsparcia bieżących i przyszłych działań</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_Toc75336255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17</w:t>
            </w:r>
            <w:r w:rsidR="005326E6" w:rsidRPr="001E0AC3">
              <w:rPr>
                <w:rFonts w:ascii="Times New Roman" w:hAnsi="Times New Roman" w:cs="Times New Roman"/>
                <w:noProof/>
                <w:webHidden/>
                <w:szCs w:val="24"/>
              </w:rPr>
              <w:fldChar w:fldCharType="end"/>
            </w:r>
          </w:hyperlink>
        </w:p>
        <w:p w14:paraId="11BB43EE"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59" w:history="1">
            <w:r w:rsidR="005326E6" w:rsidRPr="001E0AC3">
              <w:rPr>
                <w:rStyle w:val="Hipercze"/>
                <w:rFonts w:ascii="Times New Roman" w:hAnsi="Times New Roman" w:cs="Times New Roman"/>
                <w:noProof/>
                <w:szCs w:val="24"/>
              </w:rPr>
              <w:t>5.2. Rezultaty stosowanego przez instytucję wewnętrznego procesu oceny adekwatności kapitałowej, w tym skład dodatkowych wymogów w zakresie funduszy własnych określonych na podstawie procesu przeglądu nadzorczego, o których mowa w art. 104 ust. 1 lit. a) Dyrektywy 2013/36/UE</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_Toc75336259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25</w:t>
            </w:r>
            <w:r w:rsidR="005326E6" w:rsidRPr="001E0AC3">
              <w:rPr>
                <w:rFonts w:ascii="Times New Roman" w:hAnsi="Times New Roman" w:cs="Times New Roman"/>
                <w:noProof/>
                <w:webHidden/>
                <w:szCs w:val="24"/>
              </w:rPr>
              <w:fldChar w:fldCharType="end"/>
            </w:r>
          </w:hyperlink>
        </w:p>
        <w:p w14:paraId="5829ACC5"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60" w:history="1">
            <w:r w:rsidR="005326E6" w:rsidRPr="001E0AC3">
              <w:rPr>
                <w:rStyle w:val="Hipercze"/>
                <w:rFonts w:ascii="Times New Roman" w:hAnsi="Times New Roman" w:cs="Times New Roman"/>
                <w:noProof/>
                <w:szCs w:val="24"/>
              </w:rPr>
              <w:t>5.3. Kwoty ekspozycji ważonych ryzykiem zgodnie z przepisami części trzeciej tytuł II rozdział 2 Rozporządzenia – 8 % kwot ekspozycji ważonych ryzykiem dla każdej kategorii ekspozycji określonej w art. 112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_Toc75336260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25</w:t>
            </w:r>
            <w:r w:rsidR="005326E6" w:rsidRPr="001E0AC3">
              <w:rPr>
                <w:rFonts w:ascii="Times New Roman" w:hAnsi="Times New Roman" w:cs="Times New Roman"/>
                <w:noProof/>
                <w:webHidden/>
                <w:szCs w:val="24"/>
              </w:rPr>
              <w:fldChar w:fldCharType="end"/>
            </w:r>
          </w:hyperlink>
        </w:p>
        <w:p w14:paraId="51D5DAF5"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61" w:history="1">
            <w:r w:rsidR="005326E6" w:rsidRPr="001E0AC3">
              <w:rPr>
                <w:rStyle w:val="Hipercze"/>
                <w:rFonts w:ascii="Times New Roman" w:hAnsi="Times New Roman" w:cs="Times New Roman"/>
                <w:noProof/>
                <w:szCs w:val="24"/>
              </w:rPr>
              <w:t>5.4. Wymogi w zakresie funduszy własnych obliczone zgodnie z art. 92 ust. 3 lit. b) i c)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_Toc75336261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26</w:t>
            </w:r>
            <w:r w:rsidR="005326E6" w:rsidRPr="001E0AC3">
              <w:rPr>
                <w:rFonts w:ascii="Times New Roman" w:hAnsi="Times New Roman" w:cs="Times New Roman"/>
                <w:noProof/>
                <w:webHidden/>
                <w:szCs w:val="24"/>
              </w:rPr>
              <w:fldChar w:fldCharType="end"/>
            </w:r>
          </w:hyperlink>
        </w:p>
        <w:p w14:paraId="143DB73B" w14:textId="77777777" w:rsidR="005326E6" w:rsidRPr="001E0AC3" w:rsidRDefault="00220A30">
          <w:pPr>
            <w:pStyle w:val="Spistreci3"/>
            <w:tabs>
              <w:tab w:val="right" w:leader="dot" w:pos="9347"/>
            </w:tabs>
            <w:rPr>
              <w:rFonts w:ascii="Times New Roman" w:eastAsiaTheme="minorEastAsia" w:hAnsi="Times New Roman" w:cs="Times New Roman"/>
              <w:noProof/>
              <w:color w:val="auto"/>
              <w:szCs w:val="24"/>
            </w:rPr>
          </w:pPr>
          <w:hyperlink w:anchor="_Toc75336262" w:history="1">
            <w:r w:rsidR="005326E6" w:rsidRPr="001E0AC3">
              <w:rPr>
                <w:rStyle w:val="Hipercze"/>
                <w:rFonts w:ascii="Times New Roman" w:hAnsi="Times New Roman" w:cs="Times New Roman"/>
                <w:noProof/>
                <w:szCs w:val="24"/>
              </w:rPr>
              <w:t>5.4.1. Wymogi zgodnie z art. 92 ust. 3 lit. b)</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_Toc75336262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26</w:t>
            </w:r>
            <w:r w:rsidR="005326E6" w:rsidRPr="001E0AC3">
              <w:rPr>
                <w:rFonts w:ascii="Times New Roman" w:hAnsi="Times New Roman" w:cs="Times New Roman"/>
                <w:noProof/>
                <w:webHidden/>
                <w:szCs w:val="24"/>
              </w:rPr>
              <w:fldChar w:fldCharType="end"/>
            </w:r>
          </w:hyperlink>
        </w:p>
        <w:p w14:paraId="1EAB1E30" w14:textId="77777777" w:rsidR="005326E6" w:rsidRPr="001E0AC3" w:rsidRDefault="00220A30">
          <w:pPr>
            <w:pStyle w:val="Spistreci3"/>
            <w:tabs>
              <w:tab w:val="right" w:leader="dot" w:pos="9347"/>
            </w:tabs>
            <w:rPr>
              <w:rFonts w:ascii="Times New Roman" w:eastAsiaTheme="minorEastAsia" w:hAnsi="Times New Roman" w:cs="Times New Roman"/>
              <w:noProof/>
              <w:color w:val="auto"/>
              <w:szCs w:val="24"/>
            </w:rPr>
          </w:pPr>
          <w:hyperlink w:anchor="_Toc75336263" w:history="1">
            <w:r w:rsidR="005326E6" w:rsidRPr="001E0AC3">
              <w:rPr>
                <w:rStyle w:val="Hipercze"/>
                <w:rFonts w:ascii="Times New Roman" w:hAnsi="Times New Roman" w:cs="Times New Roman"/>
                <w:noProof/>
                <w:szCs w:val="24"/>
              </w:rPr>
              <w:t>5.4.2. Wymogi zgodnie z art. 92 ust. 3 lit. c)</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_Toc75336263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26</w:t>
            </w:r>
            <w:r w:rsidR="005326E6" w:rsidRPr="001E0AC3">
              <w:rPr>
                <w:rFonts w:ascii="Times New Roman" w:hAnsi="Times New Roman" w:cs="Times New Roman"/>
                <w:noProof/>
                <w:webHidden/>
                <w:szCs w:val="24"/>
              </w:rPr>
              <w:fldChar w:fldCharType="end"/>
            </w:r>
          </w:hyperlink>
        </w:p>
        <w:p w14:paraId="25B1E36B"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64" w:history="1">
            <w:r w:rsidR="005326E6" w:rsidRPr="001E0AC3">
              <w:rPr>
                <w:rStyle w:val="Hipercze"/>
                <w:rFonts w:ascii="Times New Roman" w:hAnsi="Times New Roman" w:cs="Times New Roman"/>
                <w:noProof/>
                <w:szCs w:val="24"/>
              </w:rPr>
              <w:t>5.5. Wymogi w zakresie funduszy własnych obliczone zgodnie z przepisami części trzeciej tytuł III rozdziały 2, 3 i 4 oraz ujawnione oddzielnie</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_Toc75336264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27</w:t>
            </w:r>
            <w:r w:rsidR="005326E6" w:rsidRPr="001E0AC3">
              <w:rPr>
                <w:rFonts w:ascii="Times New Roman" w:hAnsi="Times New Roman" w:cs="Times New Roman"/>
                <w:noProof/>
                <w:webHidden/>
                <w:szCs w:val="24"/>
              </w:rPr>
              <w:fldChar w:fldCharType="end"/>
            </w:r>
          </w:hyperlink>
        </w:p>
        <w:p w14:paraId="346E3A64"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265" w:history="1">
            <w:r w:rsidR="005326E6" w:rsidRPr="001E0AC3">
              <w:rPr>
                <w:rStyle w:val="Hipercze"/>
                <w:rFonts w:ascii="Times New Roman" w:hAnsi="Times New Roman" w:cs="Times New Roman"/>
                <w:noProof/>
                <w:szCs w:val="24"/>
              </w:rPr>
              <w:t>6. Ekspozycje na ryzyko kontrahenta – art. 439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_Toc75336265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27</w:t>
            </w:r>
            <w:r w:rsidR="005326E6" w:rsidRPr="001E0AC3">
              <w:rPr>
                <w:rFonts w:ascii="Times New Roman" w:hAnsi="Times New Roman" w:cs="Times New Roman"/>
                <w:noProof/>
                <w:webHidden/>
                <w:szCs w:val="24"/>
              </w:rPr>
              <w:fldChar w:fldCharType="end"/>
            </w:r>
          </w:hyperlink>
        </w:p>
        <w:p w14:paraId="03C2E2DA"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266" w:history="1">
            <w:r w:rsidR="005326E6" w:rsidRPr="001E0AC3">
              <w:rPr>
                <w:rStyle w:val="Hipercze"/>
                <w:rFonts w:ascii="Times New Roman" w:hAnsi="Times New Roman" w:cs="Times New Roman"/>
                <w:noProof/>
                <w:szCs w:val="24"/>
              </w:rPr>
              <w:t>7. Bufory kapitałowe – art. 440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_Toc75336266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27</w:t>
            </w:r>
            <w:r w:rsidR="005326E6" w:rsidRPr="001E0AC3">
              <w:rPr>
                <w:rFonts w:ascii="Times New Roman" w:hAnsi="Times New Roman" w:cs="Times New Roman"/>
                <w:noProof/>
                <w:webHidden/>
                <w:szCs w:val="24"/>
              </w:rPr>
              <w:fldChar w:fldCharType="end"/>
            </w:r>
          </w:hyperlink>
        </w:p>
        <w:p w14:paraId="66857479"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267" w:history="1">
            <w:r w:rsidR="005326E6" w:rsidRPr="001E0AC3">
              <w:rPr>
                <w:rStyle w:val="Hipercze"/>
                <w:rFonts w:ascii="Times New Roman" w:hAnsi="Times New Roman" w:cs="Times New Roman"/>
                <w:noProof/>
                <w:szCs w:val="24"/>
              </w:rPr>
              <w:t>8. Wskaźniki globalnego znaczenia systemowego - art. 441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_Toc75336267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27</w:t>
            </w:r>
            <w:r w:rsidR="005326E6" w:rsidRPr="001E0AC3">
              <w:rPr>
                <w:rFonts w:ascii="Times New Roman" w:hAnsi="Times New Roman" w:cs="Times New Roman"/>
                <w:noProof/>
                <w:webHidden/>
                <w:szCs w:val="24"/>
              </w:rPr>
              <w:fldChar w:fldCharType="end"/>
            </w:r>
          </w:hyperlink>
        </w:p>
        <w:p w14:paraId="28D23766"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268" w:history="1">
            <w:r w:rsidR="005326E6" w:rsidRPr="001E0AC3">
              <w:rPr>
                <w:rStyle w:val="Hipercze"/>
                <w:rFonts w:ascii="Times New Roman" w:hAnsi="Times New Roman" w:cs="Times New Roman"/>
                <w:noProof/>
                <w:szCs w:val="24"/>
              </w:rPr>
              <w:t>9. Korekty z tytułu ryzyka kredytowego – art. 442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_Toc75336268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27</w:t>
            </w:r>
            <w:r w:rsidR="005326E6" w:rsidRPr="001E0AC3">
              <w:rPr>
                <w:rFonts w:ascii="Times New Roman" w:hAnsi="Times New Roman" w:cs="Times New Roman"/>
                <w:noProof/>
                <w:webHidden/>
                <w:szCs w:val="24"/>
              </w:rPr>
              <w:fldChar w:fldCharType="end"/>
            </w:r>
          </w:hyperlink>
        </w:p>
        <w:p w14:paraId="23A41E0C"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69" w:history="1">
            <w:r w:rsidR="005326E6" w:rsidRPr="001E0AC3">
              <w:rPr>
                <w:rStyle w:val="Hipercze"/>
                <w:rFonts w:ascii="Times New Roman" w:hAnsi="Times New Roman" w:cs="Times New Roman"/>
                <w:noProof/>
                <w:szCs w:val="24"/>
              </w:rPr>
              <w:t>9.1. Stosowane w rachunkowości definicje pozycji przeterminowanych i o utraconej jakości</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_Toc75336269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27</w:t>
            </w:r>
            <w:r w:rsidR="005326E6" w:rsidRPr="001E0AC3">
              <w:rPr>
                <w:rFonts w:ascii="Times New Roman" w:hAnsi="Times New Roman" w:cs="Times New Roman"/>
                <w:noProof/>
                <w:webHidden/>
                <w:szCs w:val="24"/>
              </w:rPr>
              <w:fldChar w:fldCharType="end"/>
            </w:r>
          </w:hyperlink>
        </w:p>
        <w:p w14:paraId="6A216B9A"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70" w:history="1">
            <w:r w:rsidR="005326E6" w:rsidRPr="001E0AC3">
              <w:rPr>
                <w:rStyle w:val="Hipercze"/>
                <w:rFonts w:ascii="Times New Roman" w:hAnsi="Times New Roman" w:cs="Times New Roman"/>
                <w:noProof/>
                <w:szCs w:val="24"/>
              </w:rPr>
              <w:t>9.2. Opis strategii przyjętych w celu określenia korekt z tytułu szczególnego i ogólnego ryzyka kredytowego</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_Toc75336270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28</w:t>
            </w:r>
            <w:r w:rsidR="005326E6" w:rsidRPr="001E0AC3">
              <w:rPr>
                <w:rFonts w:ascii="Times New Roman" w:hAnsi="Times New Roman" w:cs="Times New Roman"/>
                <w:noProof/>
                <w:webHidden/>
                <w:szCs w:val="24"/>
              </w:rPr>
              <w:fldChar w:fldCharType="end"/>
            </w:r>
          </w:hyperlink>
        </w:p>
        <w:p w14:paraId="1F29EA75"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71" w:history="1">
            <w:r w:rsidR="005326E6" w:rsidRPr="001E0AC3">
              <w:rPr>
                <w:rStyle w:val="Hipercze"/>
                <w:rFonts w:ascii="Times New Roman" w:hAnsi="Times New Roman" w:cs="Times New Roman"/>
                <w:noProof/>
                <w:szCs w:val="24"/>
              </w:rPr>
              <w:t>9.3. Całkowita kwota ekspozycji po rozliczeniu równoważących się transakcji i bez uwzględnienia skutków ograniczenia ryzyka kredytowego, a także średnia kwota ekspozycji w danym okresie z podziałem na różne kategorie ekspozycji</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_Toc75336271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34</w:t>
            </w:r>
            <w:r w:rsidR="005326E6" w:rsidRPr="001E0AC3">
              <w:rPr>
                <w:rFonts w:ascii="Times New Roman" w:hAnsi="Times New Roman" w:cs="Times New Roman"/>
                <w:noProof/>
                <w:webHidden/>
                <w:szCs w:val="24"/>
              </w:rPr>
              <w:fldChar w:fldCharType="end"/>
            </w:r>
          </w:hyperlink>
        </w:p>
        <w:p w14:paraId="2614597B"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72" w:history="1">
            <w:r w:rsidR="005326E6" w:rsidRPr="001E0AC3">
              <w:rPr>
                <w:rStyle w:val="Hipercze"/>
                <w:rFonts w:ascii="Times New Roman" w:hAnsi="Times New Roman" w:cs="Times New Roman"/>
                <w:noProof/>
                <w:szCs w:val="24"/>
              </w:rPr>
              <w:t>9.4. Rozkład geograficzny ekspozycji w podziale na obszary ważne pod względem istotnych kategorii ekspozycji wraz z dodatkowymi szczegółowymi podziałami w stosownych przypadkach</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_Toc75336272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35</w:t>
            </w:r>
            <w:r w:rsidR="005326E6" w:rsidRPr="001E0AC3">
              <w:rPr>
                <w:rFonts w:ascii="Times New Roman" w:hAnsi="Times New Roman" w:cs="Times New Roman"/>
                <w:noProof/>
                <w:webHidden/>
                <w:szCs w:val="24"/>
              </w:rPr>
              <w:fldChar w:fldCharType="end"/>
            </w:r>
          </w:hyperlink>
        </w:p>
        <w:p w14:paraId="75B98864"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73" w:history="1">
            <w:r w:rsidR="005326E6" w:rsidRPr="001E0AC3">
              <w:rPr>
                <w:rStyle w:val="Hipercze"/>
                <w:rFonts w:ascii="Times New Roman" w:hAnsi="Times New Roman" w:cs="Times New Roman"/>
                <w:noProof/>
                <w:szCs w:val="24"/>
              </w:rPr>
              <w:t>9.5. Rozkład ekspozycji w zależności od branży lub typu kontrahenta z podziałem na kategorie ekspozycji, w tym określenie ekspozycji wobec MŚP, wraz z dodatkowymi szczegółowymi podziałami w stosownych przypadkach</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_Toc75336273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35</w:t>
            </w:r>
            <w:r w:rsidR="005326E6" w:rsidRPr="001E0AC3">
              <w:rPr>
                <w:rFonts w:ascii="Times New Roman" w:hAnsi="Times New Roman" w:cs="Times New Roman"/>
                <w:noProof/>
                <w:webHidden/>
                <w:szCs w:val="24"/>
              </w:rPr>
              <w:fldChar w:fldCharType="end"/>
            </w:r>
          </w:hyperlink>
        </w:p>
        <w:p w14:paraId="69B253D2"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74" w:history="1">
            <w:r w:rsidR="005326E6" w:rsidRPr="001E0AC3">
              <w:rPr>
                <w:rStyle w:val="Hipercze"/>
                <w:rFonts w:ascii="Times New Roman" w:hAnsi="Times New Roman" w:cs="Times New Roman"/>
                <w:noProof/>
                <w:szCs w:val="24"/>
              </w:rPr>
              <w:t>9.6. Zestawienie rezydualnych terminów zapadalności dla wszystkich ekspozycji z podziałem na kategorie ekspozycji wraz z dodatkowymi szczegółowymi podziałami w stosownych przypadkach</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_Toc75336274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37</w:t>
            </w:r>
            <w:r w:rsidR="005326E6" w:rsidRPr="001E0AC3">
              <w:rPr>
                <w:rFonts w:ascii="Times New Roman" w:hAnsi="Times New Roman" w:cs="Times New Roman"/>
                <w:noProof/>
                <w:webHidden/>
                <w:szCs w:val="24"/>
              </w:rPr>
              <w:fldChar w:fldCharType="end"/>
            </w:r>
          </w:hyperlink>
        </w:p>
        <w:p w14:paraId="794683EA"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75" w:history="1">
            <w:r w:rsidR="005326E6" w:rsidRPr="001E0AC3">
              <w:rPr>
                <w:rStyle w:val="Hipercze"/>
                <w:rFonts w:ascii="Times New Roman" w:hAnsi="Times New Roman" w:cs="Times New Roman"/>
                <w:noProof/>
                <w:szCs w:val="24"/>
              </w:rPr>
              <w:t>9.7. Ekspozycje o utraconej wartości i ekspozycje przeterminowane</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_Toc75336275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37</w:t>
            </w:r>
            <w:r w:rsidR="005326E6" w:rsidRPr="001E0AC3">
              <w:rPr>
                <w:rFonts w:ascii="Times New Roman" w:hAnsi="Times New Roman" w:cs="Times New Roman"/>
                <w:noProof/>
                <w:webHidden/>
                <w:szCs w:val="24"/>
              </w:rPr>
              <w:fldChar w:fldCharType="end"/>
            </w:r>
          </w:hyperlink>
        </w:p>
        <w:p w14:paraId="213FA60A"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76" w:history="1">
            <w:r w:rsidR="005326E6" w:rsidRPr="001E0AC3">
              <w:rPr>
                <w:rStyle w:val="Hipercze"/>
                <w:rFonts w:ascii="Times New Roman" w:hAnsi="Times New Roman" w:cs="Times New Roman"/>
                <w:noProof/>
                <w:szCs w:val="24"/>
              </w:rPr>
              <w:t>9.8. Korekty z tytułu szczególnego i ogólnego ryzyka kredytowego</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_Toc75336276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38</w:t>
            </w:r>
            <w:r w:rsidR="005326E6" w:rsidRPr="001E0AC3">
              <w:rPr>
                <w:rFonts w:ascii="Times New Roman" w:hAnsi="Times New Roman" w:cs="Times New Roman"/>
                <w:noProof/>
                <w:webHidden/>
                <w:szCs w:val="24"/>
              </w:rPr>
              <w:fldChar w:fldCharType="end"/>
            </w:r>
          </w:hyperlink>
        </w:p>
        <w:p w14:paraId="21D19531"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77" w:history="1">
            <w:r w:rsidR="005326E6" w:rsidRPr="001E0AC3">
              <w:rPr>
                <w:rStyle w:val="Hipercze"/>
                <w:rFonts w:ascii="Times New Roman" w:hAnsi="Times New Roman" w:cs="Times New Roman"/>
                <w:noProof/>
                <w:szCs w:val="24"/>
              </w:rPr>
              <w:t>9.9. Kwota ekspozycji o utraconej wartości i ekspozycje przeterminowane, podane oddzielnie, z podziałem na ważne obszary geograficzne, w tym w miarę możliwości kwoty korekty o szczególne i ogólne ryzyko kredytowe związane z każdym obszarem geograficznym</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_Toc75336277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38</w:t>
            </w:r>
            <w:r w:rsidR="005326E6" w:rsidRPr="001E0AC3">
              <w:rPr>
                <w:rFonts w:ascii="Times New Roman" w:hAnsi="Times New Roman" w:cs="Times New Roman"/>
                <w:noProof/>
                <w:webHidden/>
                <w:szCs w:val="24"/>
              </w:rPr>
              <w:fldChar w:fldCharType="end"/>
            </w:r>
          </w:hyperlink>
        </w:p>
        <w:p w14:paraId="00553E30"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78" w:history="1">
            <w:r w:rsidR="005326E6" w:rsidRPr="001E0AC3">
              <w:rPr>
                <w:rStyle w:val="Hipercze"/>
                <w:rFonts w:ascii="Times New Roman" w:hAnsi="Times New Roman" w:cs="Times New Roman"/>
                <w:noProof/>
                <w:szCs w:val="24"/>
              </w:rPr>
              <w:t>9.10. Uzgodnienie zmian korekty o szczególne i ogólne ryzyko kredytowe dla ekspozycji o utraconej wartości</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_Toc75336278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38</w:t>
            </w:r>
            <w:r w:rsidR="005326E6" w:rsidRPr="001E0AC3">
              <w:rPr>
                <w:rFonts w:ascii="Times New Roman" w:hAnsi="Times New Roman" w:cs="Times New Roman"/>
                <w:noProof/>
                <w:webHidden/>
                <w:szCs w:val="24"/>
              </w:rPr>
              <w:fldChar w:fldCharType="end"/>
            </w:r>
          </w:hyperlink>
        </w:p>
        <w:p w14:paraId="613F728E"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279" w:history="1">
            <w:r w:rsidR="005326E6" w:rsidRPr="001E0AC3">
              <w:rPr>
                <w:rStyle w:val="Hipercze"/>
                <w:rFonts w:ascii="Times New Roman" w:hAnsi="Times New Roman" w:cs="Times New Roman"/>
                <w:noProof/>
                <w:szCs w:val="24"/>
              </w:rPr>
              <w:t>10. Aktywa wolne od obciążeń – art. 443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_Toc75336279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39</w:t>
            </w:r>
            <w:r w:rsidR="005326E6" w:rsidRPr="001E0AC3">
              <w:rPr>
                <w:rFonts w:ascii="Times New Roman" w:hAnsi="Times New Roman" w:cs="Times New Roman"/>
                <w:noProof/>
                <w:webHidden/>
                <w:szCs w:val="24"/>
              </w:rPr>
              <w:fldChar w:fldCharType="end"/>
            </w:r>
          </w:hyperlink>
        </w:p>
        <w:p w14:paraId="5A1A977D"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280" w:history="1">
            <w:r w:rsidR="005326E6" w:rsidRPr="001E0AC3">
              <w:rPr>
                <w:rStyle w:val="Hipercze"/>
                <w:rFonts w:ascii="Times New Roman" w:hAnsi="Times New Roman" w:cs="Times New Roman"/>
                <w:noProof/>
                <w:szCs w:val="24"/>
              </w:rPr>
              <w:t>11. Korzystanie z ECAI – art. 444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_Toc75336280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39</w:t>
            </w:r>
            <w:r w:rsidR="005326E6" w:rsidRPr="001E0AC3">
              <w:rPr>
                <w:rFonts w:ascii="Times New Roman" w:hAnsi="Times New Roman" w:cs="Times New Roman"/>
                <w:noProof/>
                <w:webHidden/>
                <w:szCs w:val="24"/>
              </w:rPr>
              <w:fldChar w:fldCharType="end"/>
            </w:r>
          </w:hyperlink>
        </w:p>
        <w:p w14:paraId="49327FD6"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281" w:history="1">
            <w:r w:rsidR="005326E6" w:rsidRPr="001E0AC3">
              <w:rPr>
                <w:rStyle w:val="Hipercze"/>
                <w:rFonts w:ascii="Times New Roman" w:hAnsi="Times New Roman" w:cs="Times New Roman"/>
                <w:noProof/>
                <w:szCs w:val="24"/>
              </w:rPr>
              <w:t>12. Ekspozycje na ryzyko rynkowe – art. 445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_Toc75336281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39</w:t>
            </w:r>
            <w:r w:rsidR="005326E6" w:rsidRPr="001E0AC3">
              <w:rPr>
                <w:rFonts w:ascii="Times New Roman" w:hAnsi="Times New Roman" w:cs="Times New Roman"/>
                <w:noProof/>
                <w:webHidden/>
                <w:szCs w:val="24"/>
              </w:rPr>
              <w:fldChar w:fldCharType="end"/>
            </w:r>
          </w:hyperlink>
        </w:p>
        <w:p w14:paraId="315EFE06"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82" w:history="1">
            <w:r w:rsidR="005326E6" w:rsidRPr="001E0AC3">
              <w:rPr>
                <w:rStyle w:val="Hipercze"/>
                <w:rFonts w:ascii="Times New Roman" w:hAnsi="Times New Roman" w:cs="Times New Roman"/>
                <w:noProof/>
                <w:szCs w:val="24"/>
              </w:rPr>
              <w:t>12.1. Wymogi zgodnie z art. 92 ust. 3 lit. b)</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_Toc75336282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39</w:t>
            </w:r>
            <w:r w:rsidR="005326E6" w:rsidRPr="001E0AC3">
              <w:rPr>
                <w:rFonts w:ascii="Times New Roman" w:hAnsi="Times New Roman" w:cs="Times New Roman"/>
                <w:noProof/>
                <w:webHidden/>
                <w:szCs w:val="24"/>
              </w:rPr>
              <w:fldChar w:fldCharType="end"/>
            </w:r>
          </w:hyperlink>
        </w:p>
        <w:p w14:paraId="2443F862"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83" w:history="1">
            <w:r w:rsidR="005326E6" w:rsidRPr="001E0AC3">
              <w:rPr>
                <w:rStyle w:val="Hipercze"/>
                <w:rFonts w:ascii="Times New Roman" w:hAnsi="Times New Roman" w:cs="Times New Roman"/>
                <w:noProof/>
                <w:szCs w:val="24"/>
              </w:rPr>
              <w:t>12.2. Wymogi zgodnie z art. 92 ust. 3 lit. c)</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_Toc75336283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40</w:t>
            </w:r>
            <w:r w:rsidR="005326E6" w:rsidRPr="001E0AC3">
              <w:rPr>
                <w:rFonts w:ascii="Times New Roman" w:hAnsi="Times New Roman" w:cs="Times New Roman"/>
                <w:noProof/>
                <w:webHidden/>
                <w:szCs w:val="24"/>
              </w:rPr>
              <w:fldChar w:fldCharType="end"/>
            </w:r>
          </w:hyperlink>
        </w:p>
        <w:p w14:paraId="5E9C9706"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284" w:history="1">
            <w:r w:rsidR="005326E6" w:rsidRPr="001E0AC3">
              <w:rPr>
                <w:rStyle w:val="Hipercze"/>
                <w:rFonts w:ascii="Times New Roman" w:hAnsi="Times New Roman" w:cs="Times New Roman"/>
                <w:noProof/>
                <w:szCs w:val="24"/>
              </w:rPr>
              <w:t>13. Ekspozycja na ryzyko operacyjne – art. 446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_Toc75336284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40</w:t>
            </w:r>
            <w:r w:rsidR="005326E6" w:rsidRPr="001E0AC3">
              <w:rPr>
                <w:rFonts w:ascii="Times New Roman" w:hAnsi="Times New Roman" w:cs="Times New Roman"/>
                <w:noProof/>
                <w:webHidden/>
                <w:szCs w:val="24"/>
              </w:rPr>
              <w:fldChar w:fldCharType="end"/>
            </w:r>
          </w:hyperlink>
        </w:p>
        <w:p w14:paraId="385AAFB3"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85" w:history="1">
            <w:r w:rsidR="005326E6" w:rsidRPr="001E0AC3">
              <w:rPr>
                <w:rStyle w:val="Hipercze"/>
                <w:rFonts w:ascii="Times New Roman" w:hAnsi="Times New Roman" w:cs="Times New Roman"/>
                <w:noProof/>
                <w:szCs w:val="24"/>
              </w:rPr>
              <w:t>13.1. Wymogi informacyjne na temat podejścia do ryzyka operacyjnego zgodnie z Rekomendacją 17 Rekomendacji M</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_Toc75336285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40</w:t>
            </w:r>
            <w:r w:rsidR="005326E6" w:rsidRPr="001E0AC3">
              <w:rPr>
                <w:rFonts w:ascii="Times New Roman" w:hAnsi="Times New Roman" w:cs="Times New Roman"/>
                <w:noProof/>
                <w:webHidden/>
                <w:szCs w:val="24"/>
              </w:rPr>
              <w:fldChar w:fldCharType="end"/>
            </w:r>
          </w:hyperlink>
        </w:p>
        <w:p w14:paraId="0A133CCC" w14:textId="77777777" w:rsidR="005326E6" w:rsidRPr="001E0AC3" w:rsidRDefault="00220A30">
          <w:pPr>
            <w:pStyle w:val="Spistreci3"/>
            <w:tabs>
              <w:tab w:val="right" w:leader="dot" w:pos="9347"/>
            </w:tabs>
            <w:rPr>
              <w:rFonts w:ascii="Times New Roman" w:eastAsiaTheme="minorEastAsia" w:hAnsi="Times New Roman" w:cs="Times New Roman"/>
              <w:noProof/>
              <w:color w:val="auto"/>
              <w:szCs w:val="24"/>
            </w:rPr>
          </w:pPr>
          <w:hyperlink w:anchor="_Toc75336286" w:history="1">
            <w:r w:rsidR="005326E6" w:rsidRPr="001E0AC3">
              <w:rPr>
                <w:rStyle w:val="Hipercze"/>
                <w:rFonts w:ascii="Times New Roman" w:hAnsi="Times New Roman" w:cs="Times New Roman"/>
                <w:noProof/>
                <w:szCs w:val="24"/>
              </w:rPr>
              <w:t>13.1.1. Informacja o stratach operacyjnych w podziale na klasy zdarzeń</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_Toc75336286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40</w:t>
            </w:r>
            <w:r w:rsidR="005326E6" w:rsidRPr="001E0AC3">
              <w:rPr>
                <w:rFonts w:ascii="Times New Roman" w:hAnsi="Times New Roman" w:cs="Times New Roman"/>
                <w:noProof/>
                <w:webHidden/>
                <w:szCs w:val="24"/>
              </w:rPr>
              <w:fldChar w:fldCharType="end"/>
            </w:r>
          </w:hyperlink>
        </w:p>
        <w:p w14:paraId="1F101EA0"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287" w:history="1">
            <w:r w:rsidR="005326E6" w:rsidRPr="001E0AC3">
              <w:rPr>
                <w:rStyle w:val="Hipercze"/>
                <w:rFonts w:ascii="Times New Roman" w:hAnsi="Times New Roman" w:cs="Times New Roman"/>
                <w:noProof/>
                <w:szCs w:val="24"/>
              </w:rPr>
              <w:t>14. Ekspozycje w papierach kapitałowych nieuwzględnionych w portfelu handlowym – art. 447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_Toc75336287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41</w:t>
            </w:r>
            <w:r w:rsidR="005326E6" w:rsidRPr="001E0AC3">
              <w:rPr>
                <w:rFonts w:ascii="Times New Roman" w:hAnsi="Times New Roman" w:cs="Times New Roman"/>
                <w:noProof/>
                <w:webHidden/>
                <w:szCs w:val="24"/>
              </w:rPr>
              <w:fldChar w:fldCharType="end"/>
            </w:r>
          </w:hyperlink>
        </w:p>
        <w:p w14:paraId="4873A2A9"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288" w:history="1">
            <w:r w:rsidR="005326E6" w:rsidRPr="001E0AC3">
              <w:rPr>
                <w:rStyle w:val="Hipercze"/>
                <w:rFonts w:ascii="Times New Roman" w:hAnsi="Times New Roman" w:cs="Times New Roman"/>
                <w:noProof/>
                <w:szCs w:val="24"/>
              </w:rPr>
              <w:t>15. Ekspozycja na ryzyko stopy procentowej przypisane pozycjom nieuwzględnionym w portfelu handlowym – art. 448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_Toc75336288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43</w:t>
            </w:r>
            <w:r w:rsidR="005326E6" w:rsidRPr="001E0AC3">
              <w:rPr>
                <w:rFonts w:ascii="Times New Roman" w:hAnsi="Times New Roman" w:cs="Times New Roman"/>
                <w:noProof/>
                <w:webHidden/>
                <w:szCs w:val="24"/>
              </w:rPr>
              <w:fldChar w:fldCharType="end"/>
            </w:r>
          </w:hyperlink>
        </w:p>
        <w:p w14:paraId="173412A0"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89" w:history="1">
            <w:r w:rsidR="005326E6" w:rsidRPr="001E0AC3">
              <w:rPr>
                <w:rStyle w:val="Hipercze"/>
                <w:rFonts w:ascii="Times New Roman" w:hAnsi="Times New Roman" w:cs="Times New Roman"/>
                <w:noProof/>
                <w:szCs w:val="24"/>
              </w:rPr>
              <w:t>15.1. Charakter ryzyka stopy procentowej i zasadnicze założenia oraz częstotliwość pomiarów ryzyka stopy procentowej</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_Toc75336289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43</w:t>
            </w:r>
            <w:r w:rsidR="005326E6" w:rsidRPr="001E0AC3">
              <w:rPr>
                <w:rFonts w:ascii="Times New Roman" w:hAnsi="Times New Roman" w:cs="Times New Roman"/>
                <w:noProof/>
                <w:webHidden/>
                <w:szCs w:val="24"/>
              </w:rPr>
              <w:fldChar w:fldCharType="end"/>
            </w:r>
          </w:hyperlink>
        </w:p>
        <w:p w14:paraId="43BB46D0"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290" w:history="1">
            <w:r w:rsidR="005326E6" w:rsidRPr="001E0AC3">
              <w:rPr>
                <w:rStyle w:val="Hipercze"/>
                <w:rFonts w:ascii="Times New Roman" w:hAnsi="Times New Roman" w:cs="Times New Roman"/>
                <w:noProof/>
                <w:szCs w:val="24"/>
              </w:rPr>
              <w:t>16. Ekspozycja na pozycje sekurytyzacyjne – art. 449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_Toc75336290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46</w:t>
            </w:r>
            <w:r w:rsidR="005326E6" w:rsidRPr="001E0AC3">
              <w:rPr>
                <w:rFonts w:ascii="Times New Roman" w:hAnsi="Times New Roman" w:cs="Times New Roman"/>
                <w:noProof/>
                <w:webHidden/>
                <w:szCs w:val="24"/>
              </w:rPr>
              <w:fldChar w:fldCharType="end"/>
            </w:r>
          </w:hyperlink>
        </w:p>
        <w:p w14:paraId="0298665E"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291" w:history="1">
            <w:r w:rsidR="005326E6" w:rsidRPr="001E0AC3">
              <w:rPr>
                <w:rStyle w:val="Hipercze"/>
                <w:rFonts w:ascii="Times New Roman" w:hAnsi="Times New Roman" w:cs="Times New Roman"/>
                <w:noProof/>
                <w:szCs w:val="24"/>
              </w:rPr>
              <w:t>17. Polityka w zakresie wynagrodzeń – art. 450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_Toc75336291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47</w:t>
            </w:r>
            <w:r w:rsidR="005326E6" w:rsidRPr="001E0AC3">
              <w:rPr>
                <w:rFonts w:ascii="Times New Roman" w:hAnsi="Times New Roman" w:cs="Times New Roman"/>
                <w:noProof/>
                <w:webHidden/>
                <w:szCs w:val="24"/>
              </w:rPr>
              <w:fldChar w:fldCharType="end"/>
            </w:r>
          </w:hyperlink>
        </w:p>
        <w:p w14:paraId="2B9BDE98"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92" w:history="1">
            <w:r w:rsidR="005326E6" w:rsidRPr="001E0AC3">
              <w:rPr>
                <w:rStyle w:val="Hipercze"/>
                <w:rFonts w:ascii="Times New Roman" w:hAnsi="Times New Roman" w:cs="Times New Roman"/>
                <w:noProof/>
                <w:szCs w:val="24"/>
              </w:rPr>
              <w:t>17.1. Informacje dotyczące procesu decyzyjnego stosowanego przy ustalaniu polityki w zakresie wynagrodzeń, a także liczby posiedzeń organizowanych w danym roku obrachunkowym przez organ zarządzający, pełniący nadzór nad wynagrodzeniami, w tym – w stosownych przypadkach – informacje na temat składu i zakresu zadań komisji ds. wynagrodzeń, konsultanta zewnętrznego, z którego usług skorzystano przy ustalaniu polityki w zakresie wynagrodzeń oraz roli odpowiednich zainteresowanych stron</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_Toc75336292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47</w:t>
            </w:r>
            <w:r w:rsidR="005326E6" w:rsidRPr="001E0AC3">
              <w:rPr>
                <w:rFonts w:ascii="Times New Roman" w:hAnsi="Times New Roman" w:cs="Times New Roman"/>
                <w:noProof/>
                <w:webHidden/>
                <w:szCs w:val="24"/>
              </w:rPr>
              <w:fldChar w:fldCharType="end"/>
            </w:r>
          </w:hyperlink>
        </w:p>
        <w:p w14:paraId="15B73AC6"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93" w:history="1">
            <w:r w:rsidR="005326E6" w:rsidRPr="001E0AC3">
              <w:rPr>
                <w:rStyle w:val="Hipercze"/>
                <w:rFonts w:ascii="Times New Roman" w:hAnsi="Times New Roman" w:cs="Times New Roman"/>
                <w:noProof/>
                <w:szCs w:val="24"/>
              </w:rPr>
              <w:t>17.2. Informacje na temat powiązania między wynagrodzeniem a wynikami</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_Toc75336293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48</w:t>
            </w:r>
            <w:r w:rsidR="005326E6" w:rsidRPr="001E0AC3">
              <w:rPr>
                <w:rFonts w:ascii="Times New Roman" w:hAnsi="Times New Roman" w:cs="Times New Roman"/>
                <w:noProof/>
                <w:webHidden/>
                <w:szCs w:val="24"/>
              </w:rPr>
              <w:fldChar w:fldCharType="end"/>
            </w:r>
          </w:hyperlink>
        </w:p>
        <w:p w14:paraId="31568856"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94" w:history="1">
            <w:r w:rsidR="005326E6" w:rsidRPr="001E0AC3">
              <w:rPr>
                <w:rStyle w:val="Hipercze"/>
                <w:rFonts w:ascii="Times New Roman" w:hAnsi="Times New Roman" w:cs="Times New Roman"/>
                <w:noProof/>
                <w:szCs w:val="24"/>
              </w:rPr>
              <w:t>17.3. Najważniejsze informacje na temat cech charakterystycznych systemu wynagrodzeń, w tym informacje na temat kryteriów stosowanych przy pomiarze wyników i korekcie o ryzyko, polityki odraczania płatności i kryteriów nabywania uprawnień</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_Toc75336294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48</w:t>
            </w:r>
            <w:r w:rsidR="005326E6" w:rsidRPr="001E0AC3">
              <w:rPr>
                <w:rFonts w:ascii="Times New Roman" w:hAnsi="Times New Roman" w:cs="Times New Roman"/>
                <w:noProof/>
                <w:webHidden/>
                <w:szCs w:val="24"/>
              </w:rPr>
              <w:fldChar w:fldCharType="end"/>
            </w:r>
          </w:hyperlink>
        </w:p>
        <w:p w14:paraId="5FB90CE1"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95" w:history="1">
            <w:r w:rsidR="005326E6" w:rsidRPr="001E0AC3">
              <w:rPr>
                <w:rStyle w:val="Hipercze"/>
                <w:rFonts w:ascii="Times New Roman" w:hAnsi="Times New Roman" w:cs="Times New Roman"/>
                <w:noProof/>
                <w:szCs w:val="24"/>
              </w:rPr>
              <w:t>17.4. Stosunek stałych składników wynagrodzenia do składników zmiennych, ustalony zgodnie z art. 94 ust. 1 lit. g) dyrektywy 36/2013</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_Toc75336295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49</w:t>
            </w:r>
            <w:r w:rsidR="005326E6" w:rsidRPr="001E0AC3">
              <w:rPr>
                <w:rFonts w:ascii="Times New Roman" w:hAnsi="Times New Roman" w:cs="Times New Roman"/>
                <w:noProof/>
                <w:webHidden/>
                <w:szCs w:val="24"/>
              </w:rPr>
              <w:fldChar w:fldCharType="end"/>
            </w:r>
          </w:hyperlink>
        </w:p>
        <w:p w14:paraId="592FF212"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96" w:history="1">
            <w:r w:rsidR="005326E6" w:rsidRPr="001E0AC3">
              <w:rPr>
                <w:rStyle w:val="Hipercze"/>
                <w:rFonts w:ascii="Times New Roman" w:hAnsi="Times New Roman" w:cs="Times New Roman"/>
                <w:noProof/>
                <w:szCs w:val="24"/>
              </w:rPr>
              <w:t>17.5. Informacje na temat kryteriów dotyczących osiąganych wyników, stanowiących podstawę uprawnień do akcji, opcji na akcje lub zmiennych elementów wynagrodzenia</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_Toc75336296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49</w:t>
            </w:r>
            <w:r w:rsidR="005326E6" w:rsidRPr="001E0AC3">
              <w:rPr>
                <w:rFonts w:ascii="Times New Roman" w:hAnsi="Times New Roman" w:cs="Times New Roman"/>
                <w:noProof/>
                <w:webHidden/>
                <w:szCs w:val="24"/>
              </w:rPr>
              <w:fldChar w:fldCharType="end"/>
            </w:r>
          </w:hyperlink>
        </w:p>
        <w:p w14:paraId="1F6690AE"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97" w:history="1">
            <w:r w:rsidR="005326E6" w:rsidRPr="001E0AC3">
              <w:rPr>
                <w:rStyle w:val="Hipercze"/>
                <w:rFonts w:ascii="Times New Roman" w:hAnsi="Times New Roman" w:cs="Times New Roman"/>
                <w:noProof/>
                <w:szCs w:val="24"/>
              </w:rPr>
              <w:t>17.6. Główne parametry oraz uzasadnienie wszelkiego rodzaju systemu elementów zmiennych i wszelkich innych świadczeń pieniężnych</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_Toc75336297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50</w:t>
            </w:r>
            <w:r w:rsidR="005326E6" w:rsidRPr="001E0AC3">
              <w:rPr>
                <w:rFonts w:ascii="Times New Roman" w:hAnsi="Times New Roman" w:cs="Times New Roman"/>
                <w:noProof/>
                <w:webHidden/>
                <w:szCs w:val="24"/>
              </w:rPr>
              <w:fldChar w:fldCharType="end"/>
            </w:r>
          </w:hyperlink>
        </w:p>
        <w:p w14:paraId="3CC92B84"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298" w:history="1">
            <w:r w:rsidR="005326E6" w:rsidRPr="001E0AC3">
              <w:rPr>
                <w:rStyle w:val="Hipercze"/>
                <w:rFonts w:ascii="Times New Roman" w:hAnsi="Times New Roman" w:cs="Times New Roman"/>
                <w:noProof/>
                <w:szCs w:val="24"/>
              </w:rPr>
              <w:t>17.7. Zagregowane informacje ilościowe dotyczące wynagrodzenia, z podziałem na obszary działalności przedsiębiorstwa</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_Toc75336298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50</w:t>
            </w:r>
            <w:r w:rsidR="005326E6" w:rsidRPr="001E0AC3">
              <w:rPr>
                <w:rFonts w:ascii="Times New Roman" w:hAnsi="Times New Roman" w:cs="Times New Roman"/>
                <w:noProof/>
                <w:webHidden/>
                <w:szCs w:val="24"/>
              </w:rPr>
              <w:fldChar w:fldCharType="end"/>
            </w:r>
          </w:hyperlink>
        </w:p>
        <w:p w14:paraId="233E4AAB"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300" w:history="1">
            <w:r w:rsidR="005326E6" w:rsidRPr="001E0AC3">
              <w:rPr>
                <w:rStyle w:val="Hipercze"/>
                <w:rFonts w:ascii="Times New Roman" w:hAnsi="Times New Roman" w:cs="Times New Roman"/>
                <w:noProof/>
                <w:szCs w:val="24"/>
              </w:rPr>
              <w:t>17.8. Zagregowane informacje ilościowe na temat wynagrodzeń, z podziałem na kadrę kierowniczą wyższego szczebla i pracowników, których działania mają istotny wpływ na profil ryzyka Banku</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_Toc75336300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51</w:t>
            </w:r>
            <w:r w:rsidR="005326E6" w:rsidRPr="001E0AC3">
              <w:rPr>
                <w:rFonts w:ascii="Times New Roman" w:hAnsi="Times New Roman" w:cs="Times New Roman"/>
                <w:noProof/>
                <w:webHidden/>
                <w:szCs w:val="24"/>
              </w:rPr>
              <w:fldChar w:fldCharType="end"/>
            </w:r>
          </w:hyperlink>
        </w:p>
        <w:p w14:paraId="14065CD1"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317" w:history="1">
            <w:r w:rsidR="005326E6" w:rsidRPr="001E0AC3">
              <w:rPr>
                <w:rStyle w:val="Hipercze"/>
                <w:rFonts w:ascii="Times New Roman" w:hAnsi="Times New Roman" w:cs="Times New Roman"/>
                <w:noProof/>
                <w:szCs w:val="24"/>
              </w:rPr>
              <w:t>17.9. Liczba osób, które otrzymały wynagrodzenie w wysokości co najmniej 1 mln EUR w danym roku obrachunkowym: dla wynagrodzeń w przedziale między 1 mln EUR a 5 mln EUR – w podziale na przedziały wynagrodzeń o wielkości 500 000 EUR, a dla wynagrodzeń wyższych niż 5 mln EUR – w podziale na przedziały wynagrodzeń o wielkości 1 mln EUR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_Toc75336317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52</w:t>
            </w:r>
            <w:r w:rsidR="005326E6" w:rsidRPr="001E0AC3">
              <w:rPr>
                <w:rFonts w:ascii="Times New Roman" w:hAnsi="Times New Roman" w:cs="Times New Roman"/>
                <w:noProof/>
                <w:webHidden/>
                <w:szCs w:val="24"/>
              </w:rPr>
              <w:fldChar w:fldCharType="end"/>
            </w:r>
          </w:hyperlink>
        </w:p>
        <w:p w14:paraId="5323676F"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318" w:history="1">
            <w:r w:rsidR="005326E6" w:rsidRPr="001E0AC3">
              <w:rPr>
                <w:rStyle w:val="Hipercze"/>
                <w:rFonts w:ascii="Times New Roman" w:hAnsi="Times New Roman" w:cs="Times New Roman"/>
                <w:noProof/>
                <w:szCs w:val="24"/>
              </w:rPr>
              <w:t>18. Dźwignia finansowa – art. 451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_Toc75336318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52</w:t>
            </w:r>
            <w:r w:rsidR="005326E6" w:rsidRPr="001E0AC3">
              <w:rPr>
                <w:rFonts w:ascii="Times New Roman" w:hAnsi="Times New Roman" w:cs="Times New Roman"/>
                <w:noProof/>
                <w:webHidden/>
                <w:szCs w:val="24"/>
              </w:rPr>
              <w:fldChar w:fldCharType="end"/>
            </w:r>
          </w:hyperlink>
        </w:p>
        <w:p w14:paraId="1043FF4B"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319" w:history="1">
            <w:r w:rsidR="005326E6" w:rsidRPr="001E0AC3">
              <w:rPr>
                <w:rStyle w:val="Hipercze"/>
                <w:rFonts w:ascii="Times New Roman" w:hAnsi="Times New Roman" w:cs="Times New Roman"/>
                <w:noProof/>
                <w:szCs w:val="24"/>
              </w:rPr>
              <w:t>19. Stosowanie metody IRB w odniesieniu do ryzyka kredytowego – art. 452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_Toc75336319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53</w:t>
            </w:r>
            <w:r w:rsidR="005326E6" w:rsidRPr="001E0AC3">
              <w:rPr>
                <w:rFonts w:ascii="Times New Roman" w:hAnsi="Times New Roman" w:cs="Times New Roman"/>
                <w:noProof/>
                <w:webHidden/>
                <w:szCs w:val="24"/>
              </w:rPr>
              <w:fldChar w:fldCharType="end"/>
            </w:r>
          </w:hyperlink>
        </w:p>
        <w:p w14:paraId="1BA59E4A"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320" w:history="1">
            <w:r w:rsidR="005326E6" w:rsidRPr="001E0AC3">
              <w:rPr>
                <w:rStyle w:val="Hipercze"/>
                <w:rFonts w:ascii="Times New Roman" w:hAnsi="Times New Roman" w:cs="Times New Roman"/>
                <w:noProof/>
                <w:szCs w:val="24"/>
              </w:rPr>
              <w:t>20. Stosowanie technik ograniczenia ryzyka kredytowego – art. 453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_Toc75336320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54</w:t>
            </w:r>
            <w:r w:rsidR="005326E6" w:rsidRPr="001E0AC3">
              <w:rPr>
                <w:rFonts w:ascii="Times New Roman" w:hAnsi="Times New Roman" w:cs="Times New Roman"/>
                <w:noProof/>
                <w:webHidden/>
                <w:szCs w:val="24"/>
              </w:rPr>
              <w:fldChar w:fldCharType="end"/>
            </w:r>
          </w:hyperlink>
        </w:p>
        <w:p w14:paraId="3BB63FA5"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321" w:history="1">
            <w:r w:rsidR="005326E6" w:rsidRPr="001E0AC3">
              <w:rPr>
                <w:rStyle w:val="Hipercze"/>
                <w:rFonts w:ascii="Times New Roman" w:hAnsi="Times New Roman" w:cs="Times New Roman"/>
                <w:noProof/>
                <w:szCs w:val="24"/>
              </w:rPr>
              <w:t>21. Stosowanie metod zaawansowanego pomiaru w odniesieniu do ryzyka operacyjnego – art. 454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_Toc75336321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58</w:t>
            </w:r>
            <w:r w:rsidR="005326E6" w:rsidRPr="001E0AC3">
              <w:rPr>
                <w:rFonts w:ascii="Times New Roman" w:hAnsi="Times New Roman" w:cs="Times New Roman"/>
                <w:noProof/>
                <w:webHidden/>
                <w:szCs w:val="24"/>
              </w:rPr>
              <w:fldChar w:fldCharType="end"/>
            </w:r>
          </w:hyperlink>
        </w:p>
        <w:p w14:paraId="59B470B6"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322" w:history="1">
            <w:r w:rsidR="005326E6" w:rsidRPr="001E0AC3">
              <w:rPr>
                <w:rStyle w:val="Hipercze"/>
                <w:rFonts w:ascii="Times New Roman" w:hAnsi="Times New Roman" w:cs="Times New Roman"/>
                <w:noProof/>
                <w:szCs w:val="24"/>
              </w:rPr>
              <w:t>22. Stosowanie wewnętrznych modeli pomiaru ryzyka rynkowego – art. 455 Rozporządzenia CRR</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_Toc75336322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58</w:t>
            </w:r>
            <w:r w:rsidR="005326E6" w:rsidRPr="001E0AC3">
              <w:rPr>
                <w:rFonts w:ascii="Times New Roman" w:hAnsi="Times New Roman" w:cs="Times New Roman"/>
                <w:noProof/>
                <w:webHidden/>
                <w:szCs w:val="24"/>
              </w:rPr>
              <w:fldChar w:fldCharType="end"/>
            </w:r>
          </w:hyperlink>
        </w:p>
        <w:p w14:paraId="7A54D2CD"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323" w:history="1">
            <w:r w:rsidR="005326E6" w:rsidRPr="001E0AC3">
              <w:rPr>
                <w:rStyle w:val="Hipercze"/>
                <w:rFonts w:ascii="Times New Roman" w:hAnsi="Times New Roman" w:cs="Times New Roman"/>
                <w:noProof/>
                <w:szCs w:val="24"/>
              </w:rPr>
              <w:t>23. Wymogi informacyjne na temat podejścia do ryzyka płynności zgodnie z Rekomendacją 18 Rekomendacji P</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_Toc75336323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58</w:t>
            </w:r>
            <w:r w:rsidR="005326E6" w:rsidRPr="001E0AC3">
              <w:rPr>
                <w:rFonts w:ascii="Times New Roman" w:hAnsi="Times New Roman" w:cs="Times New Roman"/>
                <w:noProof/>
                <w:webHidden/>
                <w:szCs w:val="24"/>
              </w:rPr>
              <w:fldChar w:fldCharType="end"/>
            </w:r>
          </w:hyperlink>
        </w:p>
        <w:p w14:paraId="2327F6C3" w14:textId="77777777" w:rsidR="005326E6" w:rsidRPr="001E0AC3" w:rsidRDefault="00220A30">
          <w:pPr>
            <w:pStyle w:val="Spistreci1"/>
            <w:tabs>
              <w:tab w:val="right" w:leader="dot" w:pos="9347"/>
            </w:tabs>
            <w:rPr>
              <w:rFonts w:ascii="Times New Roman" w:eastAsiaTheme="minorEastAsia" w:hAnsi="Times New Roman" w:cs="Times New Roman"/>
              <w:noProof/>
              <w:color w:val="auto"/>
              <w:szCs w:val="24"/>
            </w:rPr>
          </w:pPr>
          <w:hyperlink w:anchor="_Toc75336324" w:history="1">
            <w:r w:rsidR="005326E6" w:rsidRPr="001E0AC3">
              <w:rPr>
                <w:rStyle w:val="Hipercze"/>
                <w:rFonts w:ascii="Times New Roman" w:hAnsi="Times New Roman" w:cs="Times New Roman"/>
                <w:noProof/>
                <w:szCs w:val="24"/>
              </w:rPr>
              <w:t>24. Wymogi informacyjne zgodnie z art. 111a ust. 4 ustawy Prawo bankowe</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_Toc75336324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68</w:t>
            </w:r>
            <w:r w:rsidR="005326E6" w:rsidRPr="001E0AC3">
              <w:rPr>
                <w:rFonts w:ascii="Times New Roman" w:hAnsi="Times New Roman" w:cs="Times New Roman"/>
                <w:noProof/>
                <w:webHidden/>
                <w:szCs w:val="24"/>
              </w:rPr>
              <w:fldChar w:fldCharType="end"/>
            </w:r>
          </w:hyperlink>
        </w:p>
        <w:p w14:paraId="4F326D15"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325" w:history="1">
            <w:r w:rsidR="005326E6" w:rsidRPr="001E0AC3">
              <w:rPr>
                <w:rStyle w:val="Hipercze"/>
                <w:rFonts w:ascii="Times New Roman" w:hAnsi="Times New Roman" w:cs="Times New Roman"/>
                <w:noProof/>
                <w:szCs w:val="24"/>
              </w:rPr>
              <w:t>24.1. Opis systemu zarządzania, w tym systemu zarządzania ryzykiem</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_Toc75336325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68</w:t>
            </w:r>
            <w:r w:rsidR="005326E6" w:rsidRPr="001E0AC3">
              <w:rPr>
                <w:rFonts w:ascii="Times New Roman" w:hAnsi="Times New Roman" w:cs="Times New Roman"/>
                <w:noProof/>
                <w:webHidden/>
                <w:szCs w:val="24"/>
              </w:rPr>
              <w:fldChar w:fldCharType="end"/>
            </w:r>
          </w:hyperlink>
        </w:p>
        <w:p w14:paraId="5C8F9B17"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326" w:history="1">
            <w:r w:rsidR="005326E6" w:rsidRPr="001E0AC3">
              <w:rPr>
                <w:rStyle w:val="Hipercze"/>
                <w:rFonts w:ascii="Times New Roman" w:hAnsi="Times New Roman" w:cs="Times New Roman"/>
                <w:noProof/>
                <w:szCs w:val="24"/>
              </w:rPr>
              <w:t>24.2. Opis systemu kontroli wewnętrznej</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_Toc75336326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68</w:t>
            </w:r>
            <w:r w:rsidR="005326E6" w:rsidRPr="001E0AC3">
              <w:rPr>
                <w:rFonts w:ascii="Times New Roman" w:hAnsi="Times New Roman" w:cs="Times New Roman"/>
                <w:noProof/>
                <w:webHidden/>
                <w:szCs w:val="24"/>
              </w:rPr>
              <w:fldChar w:fldCharType="end"/>
            </w:r>
          </w:hyperlink>
        </w:p>
        <w:p w14:paraId="0C3DA0BE"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327" w:history="1">
            <w:r w:rsidR="005326E6" w:rsidRPr="001E0AC3">
              <w:rPr>
                <w:rStyle w:val="Hipercze"/>
                <w:rFonts w:ascii="Times New Roman" w:hAnsi="Times New Roman" w:cs="Times New Roman"/>
                <w:noProof/>
                <w:szCs w:val="24"/>
              </w:rPr>
              <w:t>24.3. Informacje dotyczące polityki wynagrodzeń</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_Toc75336327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72</w:t>
            </w:r>
            <w:r w:rsidR="005326E6" w:rsidRPr="001E0AC3">
              <w:rPr>
                <w:rFonts w:ascii="Times New Roman" w:hAnsi="Times New Roman" w:cs="Times New Roman"/>
                <w:noProof/>
                <w:webHidden/>
                <w:szCs w:val="24"/>
              </w:rPr>
              <w:fldChar w:fldCharType="end"/>
            </w:r>
          </w:hyperlink>
        </w:p>
        <w:p w14:paraId="334C5544" w14:textId="77777777" w:rsidR="005326E6" w:rsidRPr="001E0AC3" w:rsidRDefault="00220A30">
          <w:pPr>
            <w:pStyle w:val="Spistreci2"/>
            <w:tabs>
              <w:tab w:val="right" w:leader="dot" w:pos="9347"/>
            </w:tabs>
            <w:rPr>
              <w:rFonts w:ascii="Times New Roman" w:eastAsiaTheme="minorEastAsia" w:hAnsi="Times New Roman" w:cs="Times New Roman"/>
              <w:noProof/>
              <w:color w:val="auto"/>
              <w:szCs w:val="24"/>
            </w:rPr>
          </w:pPr>
          <w:hyperlink w:anchor="_Toc75336328" w:history="1">
            <w:r w:rsidR="005326E6" w:rsidRPr="001E0AC3">
              <w:rPr>
                <w:rStyle w:val="Hipercze"/>
                <w:rFonts w:ascii="Times New Roman" w:hAnsi="Times New Roman" w:cs="Times New Roman"/>
                <w:noProof/>
                <w:szCs w:val="24"/>
              </w:rPr>
              <w:t>24.4. Informacje o spełnianiu przez członków Rady Nadzorczej Banku i Zarządu Banku wymogów określonych w art. 22aa ustawy Prawo bankowe</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_Toc75336328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73</w:t>
            </w:r>
            <w:r w:rsidR="005326E6" w:rsidRPr="001E0AC3">
              <w:rPr>
                <w:rFonts w:ascii="Times New Roman" w:hAnsi="Times New Roman" w:cs="Times New Roman"/>
                <w:noProof/>
                <w:webHidden/>
                <w:szCs w:val="24"/>
              </w:rPr>
              <w:fldChar w:fldCharType="end"/>
            </w:r>
          </w:hyperlink>
        </w:p>
        <w:p w14:paraId="126FED0B" w14:textId="77777777" w:rsidR="005326E6" w:rsidRDefault="00220A30">
          <w:pPr>
            <w:pStyle w:val="Spistreci1"/>
            <w:tabs>
              <w:tab w:val="right" w:leader="dot" w:pos="9347"/>
            </w:tabs>
            <w:rPr>
              <w:rFonts w:asciiTheme="minorHAnsi" w:eastAsiaTheme="minorEastAsia" w:hAnsiTheme="minorHAnsi" w:cstheme="minorBidi"/>
              <w:noProof/>
              <w:color w:val="auto"/>
              <w:sz w:val="22"/>
            </w:rPr>
          </w:pPr>
          <w:hyperlink w:anchor="_Toc75336329" w:history="1">
            <w:r w:rsidR="005326E6" w:rsidRPr="001E0AC3">
              <w:rPr>
                <w:rStyle w:val="Hipercze"/>
                <w:rFonts w:ascii="Times New Roman" w:hAnsi="Times New Roman" w:cs="Times New Roman"/>
                <w:noProof/>
                <w:szCs w:val="24"/>
              </w:rPr>
              <w:t>24. Informacja o należnościach nieobsługiwanych i restrukturyzowanych zgodnie z rozporządzeniem wykonawczym Komisji (EU) Nr 680/2014</w:t>
            </w:r>
            <w:r w:rsidR="005326E6" w:rsidRPr="001E0AC3">
              <w:rPr>
                <w:rFonts w:ascii="Times New Roman" w:hAnsi="Times New Roman" w:cs="Times New Roman"/>
                <w:noProof/>
                <w:webHidden/>
                <w:szCs w:val="24"/>
              </w:rPr>
              <w:tab/>
            </w:r>
            <w:r w:rsidR="005326E6" w:rsidRPr="001E0AC3">
              <w:rPr>
                <w:rFonts w:ascii="Times New Roman" w:hAnsi="Times New Roman" w:cs="Times New Roman"/>
                <w:noProof/>
                <w:webHidden/>
                <w:szCs w:val="24"/>
              </w:rPr>
              <w:fldChar w:fldCharType="begin"/>
            </w:r>
            <w:r w:rsidR="005326E6" w:rsidRPr="001E0AC3">
              <w:rPr>
                <w:rFonts w:ascii="Times New Roman" w:hAnsi="Times New Roman" w:cs="Times New Roman"/>
                <w:noProof/>
                <w:webHidden/>
                <w:szCs w:val="24"/>
              </w:rPr>
              <w:instrText xml:space="preserve"> PAGEREF _Toc75336329 \h </w:instrText>
            </w:r>
            <w:r w:rsidR="005326E6" w:rsidRPr="001E0AC3">
              <w:rPr>
                <w:rFonts w:ascii="Times New Roman" w:hAnsi="Times New Roman" w:cs="Times New Roman"/>
                <w:noProof/>
                <w:webHidden/>
                <w:szCs w:val="24"/>
              </w:rPr>
            </w:r>
            <w:r w:rsidR="005326E6" w:rsidRPr="001E0AC3">
              <w:rPr>
                <w:rFonts w:ascii="Times New Roman" w:hAnsi="Times New Roman" w:cs="Times New Roman"/>
                <w:noProof/>
                <w:webHidden/>
                <w:szCs w:val="24"/>
              </w:rPr>
              <w:fldChar w:fldCharType="separate"/>
            </w:r>
            <w:r w:rsidR="00AC07BE">
              <w:rPr>
                <w:rFonts w:ascii="Times New Roman" w:hAnsi="Times New Roman" w:cs="Times New Roman"/>
                <w:noProof/>
                <w:webHidden/>
                <w:szCs w:val="24"/>
              </w:rPr>
              <w:t>73</w:t>
            </w:r>
            <w:r w:rsidR="005326E6" w:rsidRPr="001E0AC3">
              <w:rPr>
                <w:rFonts w:ascii="Times New Roman" w:hAnsi="Times New Roman" w:cs="Times New Roman"/>
                <w:noProof/>
                <w:webHidden/>
                <w:szCs w:val="24"/>
              </w:rPr>
              <w:fldChar w:fldCharType="end"/>
            </w:r>
          </w:hyperlink>
        </w:p>
        <w:p w14:paraId="6AE58294" w14:textId="77777777" w:rsidR="005326E6" w:rsidRDefault="00220A30">
          <w:pPr>
            <w:pStyle w:val="Spistreci1"/>
            <w:tabs>
              <w:tab w:val="right" w:leader="dot" w:pos="9347"/>
            </w:tabs>
            <w:rPr>
              <w:rFonts w:asciiTheme="minorHAnsi" w:eastAsiaTheme="minorEastAsia" w:hAnsiTheme="minorHAnsi" w:cstheme="minorBidi"/>
              <w:noProof/>
              <w:color w:val="auto"/>
              <w:sz w:val="22"/>
            </w:rPr>
          </w:pPr>
          <w:hyperlink w:anchor="_Toc75336330" w:history="1">
            <w:r w:rsidR="005326E6" w:rsidRPr="00C91055">
              <w:rPr>
                <w:rStyle w:val="Hipercze"/>
                <w:rFonts w:ascii="Times New Roman" w:hAnsi="Times New Roman" w:cs="Times New Roman"/>
                <w:noProof/>
              </w:rPr>
              <w:t>25. Informacja o wynikach oceny adekwatności zakresu ogłaszanych informacji do skali i profilu ryzyka Banku</w:t>
            </w:r>
            <w:r w:rsidR="005326E6">
              <w:rPr>
                <w:noProof/>
                <w:webHidden/>
              </w:rPr>
              <w:tab/>
            </w:r>
            <w:r w:rsidR="005326E6">
              <w:rPr>
                <w:noProof/>
                <w:webHidden/>
              </w:rPr>
              <w:fldChar w:fldCharType="begin"/>
            </w:r>
            <w:r w:rsidR="005326E6">
              <w:rPr>
                <w:noProof/>
                <w:webHidden/>
              </w:rPr>
              <w:instrText xml:space="preserve"> PAGEREF _Toc75336330 \h </w:instrText>
            </w:r>
            <w:r w:rsidR="005326E6">
              <w:rPr>
                <w:noProof/>
                <w:webHidden/>
              </w:rPr>
            </w:r>
            <w:r w:rsidR="005326E6">
              <w:rPr>
                <w:noProof/>
                <w:webHidden/>
              </w:rPr>
              <w:fldChar w:fldCharType="separate"/>
            </w:r>
            <w:r w:rsidR="00AC07BE">
              <w:rPr>
                <w:noProof/>
                <w:webHidden/>
              </w:rPr>
              <w:t>73</w:t>
            </w:r>
            <w:r w:rsidR="005326E6">
              <w:rPr>
                <w:noProof/>
                <w:webHidden/>
              </w:rPr>
              <w:fldChar w:fldCharType="end"/>
            </w:r>
          </w:hyperlink>
        </w:p>
        <w:p w14:paraId="2DE81173" w14:textId="080BCFF7" w:rsidR="002C50F6" w:rsidRPr="00065790" w:rsidRDefault="00E81BF6" w:rsidP="00B91835">
          <w:pPr>
            <w:tabs>
              <w:tab w:val="right" w:pos="9353"/>
            </w:tabs>
            <w:rPr>
              <w:rFonts w:ascii="Times New Roman" w:hAnsi="Times New Roman" w:cs="Times New Roman"/>
              <w:color w:val="FF0000"/>
            </w:rPr>
          </w:pPr>
          <w:r w:rsidRPr="00065790">
            <w:rPr>
              <w:rFonts w:ascii="Times New Roman" w:hAnsi="Times New Roman" w:cs="Times New Roman"/>
              <w:color w:val="FF0000"/>
            </w:rPr>
            <w:fldChar w:fldCharType="end"/>
          </w:r>
          <w:r w:rsidR="00B91835" w:rsidRPr="00065790">
            <w:rPr>
              <w:rFonts w:ascii="Times New Roman" w:hAnsi="Times New Roman" w:cs="Times New Roman"/>
              <w:color w:val="FF0000"/>
            </w:rPr>
            <w:tab/>
          </w:r>
          <w:r w:rsidR="00B91835" w:rsidRPr="00065790">
            <w:rPr>
              <w:rFonts w:ascii="Times New Roman" w:hAnsi="Times New Roman" w:cs="Times New Roman"/>
              <w:color w:val="FF0000"/>
            </w:rPr>
            <w:tab/>
          </w:r>
        </w:p>
      </w:sdtContent>
    </w:sdt>
    <w:p w14:paraId="3AF23880" w14:textId="77777777" w:rsidR="002C50F6" w:rsidRPr="00065790" w:rsidRDefault="00E81BF6" w:rsidP="00D6326F">
      <w:pPr>
        <w:pStyle w:val="Nagwek1"/>
        <w:ind w:left="0" w:right="7" w:firstLine="0"/>
        <w:rPr>
          <w:rFonts w:ascii="Times New Roman" w:hAnsi="Times New Roman" w:cs="Times New Roman"/>
          <w:color w:val="auto"/>
        </w:rPr>
      </w:pPr>
      <w:bookmarkStart w:id="1" w:name="_Toc75336244"/>
      <w:r w:rsidRPr="00065790">
        <w:rPr>
          <w:rFonts w:ascii="Times New Roman" w:hAnsi="Times New Roman" w:cs="Times New Roman"/>
          <w:color w:val="auto"/>
        </w:rPr>
        <w:lastRenderedPageBreak/>
        <w:t>Wprowadzenie</w:t>
      </w:r>
      <w:bookmarkEnd w:id="1"/>
    </w:p>
    <w:p w14:paraId="796E6A87" w14:textId="77777777" w:rsidR="002C50F6" w:rsidRPr="00065790" w:rsidRDefault="00E56BA4" w:rsidP="00831B86">
      <w:pPr>
        <w:numPr>
          <w:ilvl w:val="0"/>
          <w:numId w:val="1"/>
        </w:numPr>
        <w:spacing w:after="0" w:line="276" w:lineRule="auto"/>
        <w:ind w:right="6" w:hanging="252"/>
        <w:rPr>
          <w:rFonts w:ascii="Times New Roman" w:hAnsi="Times New Roman" w:cs="Times New Roman"/>
          <w:color w:val="auto"/>
        </w:rPr>
      </w:pPr>
      <w:r w:rsidRPr="00065790">
        <w:rPr>
          <w:rFonts w:ascii="Times New Roman" w:hAnsi="Times New Roman" w:cs="Times New Roman"/>
          <w:color w:val="auto"/>
        </w:rPr>
        <w:t xml:space="preserve">Warmińsko-Mazurski Bank Spółdzielczy, zwany dalej Bankiem, </w:t>
      </w:r>
      <w:r w:rsidR="00E81BF6" w:rsidRPr="00065790">
        <w:rPr>
          <w:rFonts w:ascii="Times New Roman" w:hAnsi="Times New Roman" w:cs="Times New Roman"/>
          <w:color w:val="auto"/>
        </w:rPr>
        <w:t xml:space="preserve">zgodnie z wymogami określonymi w </w:t>
      </w:r>
      <w:r w:rsidR="00E81BF6" w:rsidRPr="00065790">
        <w:rPr>
          <w:rFonts w:ascii="Times New Roman" w:hAnsi="Times New Roman" w:cs="Times New Roman"/>
          <w:i/>
          <w:color w:val="auto"/>
        </w:rPr>
        <w:t>Części Ósmej</w:t>
      </w:r>
      <w:r w:rsidR="00E81BF6" w:rsidRPr="00065790">
        <w:rPr>
          <w:rFonts w:ascii="Times New Roman" w:hAnsi="Times New Roman" w:cs="Times New Roman"/>
          <w:color w:val="auto"/>
        </w:rPr>
        <w:t xml:space="preserve"> </w:t>
      </w:r>
      <w:r w:rsidR="00E81BF6" w:rsidRPr="00065790">
        <w:rPr>
          <w:rFonts w:ascii="Times New Roman" w:hAnsi="Times New Roman" w:cs="Times New Roman"/>
          <w:i/>
          <w:color w:val="auto"/>
        </w:rPr>
        <w:t>Rozporządzenia Parlamentu Europejskiego i Rady (UE) nr 575/2013 z dnia 26 czerwca 2013 r. w sprawie wymogów ostrożnościowych dla instytucji kredytowych i firm inwestycyjnych</w:t>
      </w:r>
      <w:r w:rsidR="00E81BF6" w:rsidRPr="00065790">
        <w:rPr>
          <w:rFonts w:ascii="Times New Roman" w:hAnsi="Times New Roman" w:cs="Times New Roman"/>
          <w:color w:val="auto"/>
        </w:rPr>
        <w:t xml:space="preserve"> (zwanego dalej </w:t>
      </w:r>
      <w:r w:rsidR="00E81BF6" w:rsidRPr="00065790">
        <w:rPr>
          <w:rFonts w:ascii="Times New Roman" w:hAnsi="Times New Roman" w:cs="Times New Roman"/>
          <w:i/>
          <w:color w:val="auto"/>
        </w:rPr>
        <w:t>Rozporządzeniem CRR</w:t>
      </w:r>
      <w:r w:rsidR="00912C4A" w:rsidRPr="00065790">
        <w:rPr>
          <w:rFonts w:ascii="Times New Roman" w:hAnsi="Times New Roman" w:cs="Times New Roman"/>
          <w:color w:val="auto"/>
        </w:rPr>
        <w:t>) dokonuje, w </w:t>
      </w:r>
      <w:r w:rsidR="00E81BF6" w:rsidRPr="00065790">
        <w:rPr>
          <w:rFonts w:ascii="Times New Roman" w:hAnsi="Times New Roman" w:cs="Times New Roman"/>
          <w:color w:val="auto"/>
        </w:rPr>
        <w:t xml:space="preserve">niniejszym dokumencie zwanym dalej </w:t>
      </w:r>
      <w:r w:rsidR="00E81BF6" w:rsidRPr="00065790">
        <w:rPr>
          <w:rFonts w:ascii="Times New Roman" w:hAnsi="Times New Roman" w:cs="Times New Roman"/>
          <w:i/>
          <w:color w:val="auto"/>
        </w:rPr>
        <w:t xml:space="preserve">Ujawnieniem, </w:t>
      </w:r>
      <w:r w:rsidR="00E81BF6" w:rsidRPr="00065790">
        <w:rPr>
          <w:rFonts w:ascii="Times New Roman" w:hAnsi="Times New Roman" w:cs="Times New Roman"/>
          <w:color w:val="auto"/>
        </w:rPr>
        <w:t xml:space="preserve">ujawnienia informacji o charakterze jakościowym i ilościowym dotyczących profilu ryzyka Banku, funduszy własnych, wymogów kapitałowych, polityki w zakresie wynagrodzeń oraz innych informacji. </w:t>
      </w:r>
    </w:p>
    <w:p w14:paraId="1BF9A9B1" w14:textId="77777777" w:rsidR="002C50F6" w:rsidRPr="00065790" w:rsidRDefault="00E81BF6" w:rsidP="00831B86">
      <w:pPr>
        <w:numPr>
          <w:ilvl w:val="0"/>
          <w:numId w:val="1"/>
        </w:numPr>
        <w:spacing w:after="0" w:line="276" w:lineRule="auto"/>
        <w:ind w:right="6" w:hanging="252"/>
        <w:rPr>
          <w:rFonts w:ascii="Times New Roman" w:hAnsi="Times New Roman" w:cs="Times New Roman"/>
          <w:color w:val="auto"/>
        </w:rPr>
      </w:pPr>
      <w:r w:rsidRPr="00065790">
        <w:rPr>
          <w:rFonts w:ascii="Times New Roman" w:hAnsi="Times New Roman" w:cs="Times New Roman"/>
          <w:color w:val="auto"/>
        </w:rPr>
        <w:t xml:space="preserve">Niniejsze </w:t>
      </w:r>
      <w:r w:rsidRPr="00065790">
        <w:rPr>
          <w:rFonts w:ascii="Times New Roman" w:hAnsi="Times New Roman" w:cs="Times New Roman"/>
          <w:i/>
          <w:color w:val="auto"/>
        </w:rPr>
        <w:t xml:space="preserve">Ujawnienie </w:t>
      </w:r>
      <w:r w:rsidRPr="00065790">
        <w:rPr>
          <w:rFonts w:ascii="Times New Roman" w:hAnsi="Times New Roman" w:cs="Times New Roman"/>
          <w:color w:val="auto"/>
        </w:rPr>
        <w:t xml:space="preserve">obejmuje również informacje, o których mowa w art. 111a ust. 4 ustawy </w:t>
      </w:r>
      <w:r w:rsidRPr="00065790">
        <w:rPr>
          <w:rFonts w:ascii="Times New Roman" w:hAnsi="Times New Roman" w:cs="Times New Roman"/>
          <w:i/>
          <w:color w:val="auto"/>
        </w:rPr>
        <w:t>Prawo bankowe.</w:t>
      </w:r>
    </w:p>
    <w:p w14:paraId="53EFAD76" w14:textId="0ED9D32C" w:rsidR="002C50F6" w:rsidRPr="007B46FF" w:rsidRDefault="00E81BF6" w:rsidP="00831B86">
      <w:pPr>
        <w:numPr>
          <w:ilvl w:val="0"/>
          <w:numId w:val="1"/>
        </w:numPr>
        <w:spacing w:after="0" w:line="276" w:lineRule="auto"/>
        <w:ind w:right="6" w:hanging="252"/>
        <w:rPr>
          <w:rFonts w:ascii="Times New Roman" w:hAnsi="Times New Roman" w:cs="Times New Roman"/>
          <w:color w:val="auto"/>
        </w:rPr>
      </w:pPr>
      <w:r w:rsidRPr="00065790">
        <w:rPr>
          <w:rFonts w:ascii="Times New Roman" w:hAnsi="Times New Roman" w:cs="Times New Roman"/>
          <w:color w:val="auto"/>
        </w:rPr>
        <w:t xml:space="preserve">Bank w zakresie niniejszego </w:t>
      </w:r>
      <w:r w:rsidRPr="00065790">
        <w:rPr>
          <w:rFonts w:ascii="Times New Roman" w:hAnsi="Times New Roman" w:cs="Times New Roman"/>
          <w:i/>
          <w:color w:val="auto"/>
        </w:rPr>
        <w:t>Ujawnienia</w:t>
      </w:r>
      <w:r w:rsidR="007B46FF">
        <w:rPr>
          <w:rFonts w:ascii="Times New Roman" w:hAnsi="Times New Roman" w:cs="Times New Roman"/>
          <w:i/>
          <w:color w:val="auto"/>
        </w:rPr>
        <w:t xml:space="preserve"> </w:t>
      </w:r>
      <w:r w:rsidR="007B46FF" w:rsidRPr="007B46FF">
        <w:rPr>
          <w:rFonts w:ascii="Times New Roman" w:hAnsi="Times New Roman" w:cs="Times New Roman"/>
          <w:color w:val="auto"/>
        </w:rPr>
        <w:t>stosuje pominięcie</w:t>
      </w:r>
      <w:r w:rsidR="007B46FF">
        <w:rPr>
          <w:rFonts w:ascii="Times New Roman" w:hAnsi="Times New Roman" w:cs="Times New Roman"/>
          <w:color w:val="auto"/>
        </w:rPr>
        <w:t xml:space="preserve"> informacji uznany</w:t>
      </w:r>
      <w:r w:rsidR="007B46FF" w:rsidRPr="007B46FF">
        <w:rPr>
          <w:rFonts w:ascii="Times New Roman" w:hAnsi="Times New Roman" w:cs="Times New Roman"/>
          <w:color w:val="auto"/>
        </w:rPr>
        <w:t>ch za</w:t>
      </w:r>
      <w:r w:rsidRPr="007B46FF">
        <w:rPr>
          <w:rFonts w:ascii="Times New Roman" w:hAnsi="Times New Roman" w:cs="Times New Roman"/>
          <w:color w:val="auto"/>
        </w:rPr>
        <w:t>:</w:t>
      </w:r>
    </w:p>
    <w:p w14:paraId="2CDE709E" w14:textId="5586F229" w:rsidR="002C50F6" w:rsidRPr="007B46FF" w:rsidRDefault="00E81BF6" w:rsidP="00831B86">
      <w:pPr>
        <w:numPr>
          <w:ilvl w:val="1"/>
          <w:numId w:val="1"/>
        </w:numPr>
        <w:spacing w:after="0" w:line="276" w:lineRule="auto"/>
        <w:ind w:right="6" w:hanging="360"/>
        <w:rPr>
          <w:rFonts w:ascii="Times New Roman" w:hAnsi="Times New Roman" w:cs="Times New Roman"/>
          <w:color w:val="auto"/>
        </w:rPr>
      </w:pPr>
      <w:r w:rsidRPr="00065790">
        <w:rPr>
          <w:rFonts w:ascii="Times New Roman" w:hAnsi="Times New Roman" w:cs="Times New Roman"/>
          <w:color w:val="auto"/>
        </w:rPr>
        <w:t xml:space="preserve">nieistotne - informacje nieistotne to w opinii Banku informacje, których pominięcie lub </w:t>
      </w:r>
      <w:r w:rsidR="00AF6B30" w:rsidRPr="00065790">
        <w:rPr>
          <w:rFonts w:ascii="Times New Roman" w:hAnsi="Times New Roman" w:cs="Times New Roman"/>
          <w:color w:val="auto"/>
        </w:rPr>
        <w:t xml:space="preserve">zniekształcenie </w:t>
      </w:r>
      <w:r w:rsidRPr="00065790">
        <w:rPr>
          <w:rFonts w:ascii="Times New Roman" w:hAnsi="Times New Roman" w:cs="Times New Roman"/>
          <w:color w:val="auto"/>
        </w:rPr>
        <w:t xml:space="preserve">nie powinno zmienić lub wpłynąć na ocenę lub decyzję użytkownika </w:t>
      </w:r>
      <w:r w:rsidRPr="007B46FF">
        <w:rPr>
          <w:rFonts w:ascii="Times New Roman" w:hAnsi="Times New Roman" w:cs="Times New Roman"/>
          <w:color w:val="auto"/>
        </w:rPr>
        <w:t>opierającego się na tych informacjach przy podejmowaniu decyzji ekonomicznych;</w:t>
      </w:r>
    </w:p>
    <w:p w14:paraId="6C9334B0" w14:textId="3504EB0F" w:rsidR="002C50F6" w:rsidRPr="007B46FF" w:rsidRDefault="00E81BF6" w:rsidP="00831B86">
      <w:pPr>
        <w:numPr>
          <w:ilvl w:val="1"/>
          <w:numId w:val="1"/>
        </w:numPr>
        <w:spacing w:after="0" w:line="276" w:lineRule="auto"/>
        <w:ind w:right="8" w:hanging="360"/>
        <w:rPr>
          <w:rFonts w:ascii="Times New Roman" w:hAnsi="Times New Roman" w:cs="Times New Roman"/>
          <w:color w:val="auto"/>
        </w:rPr>
      </w:pPr>
      <w:r w:rsidRPr="007B46FF">
        <w:rPr>
          <w:rFonts w:ascii="Times New Roman" w:hAnsi="Times New Roman" w:cs="Times New Roman"/>
          <w:color w:val="auto"/>
        </w:rPr>
        <w:t>zastrzeżone lub poufne – Bank uznaje informacje za zastrzeżone, jeżeli ich podanie do wiadomości publicznej w opinii Banku osłabiłoby jego pozycję konkurencyjną. Bank uznaje informacje za poufne, jeśli Bank zobowiązał się wobec klienta lub innego kontrahenta do zachowania poufności.</w:t>
      </w:r>
    </w:p>
    <w:p w14:paraId="6659353A" w14:textId="39F3B7A3" w:rsidR="002C50F6" w:rsidRPr="00065790" w:rsidRDefault="00E81BF6" w:rsidP="00831B86">
      <w:pPr>
        <w:numPr>
          <w:ilvl w:val="0"/>
          <w:numId w:val="1"/>
        </w:numPr>
        <w:spacing w:after="0" w:line="276" w:lineRule="auto"/>
        <w:ind w:left="260" w:right="7" w:hanging="252"/>
        <w:rPr>
          <w:rFonts w:ascii="Times New Roman" w:hAnsi="Times New Roman" w:cs="Times New Roman"/>
          <w:color w:val="auto"/>
        </w:rPr>
      </w:pPr>
      <w:r w:rsidRPr="00065790">
        <w:rPr>
          <w:rFonts w:ascii="Times New Roman" w:hAnsi="Times New Roman" w:cs="Times New Roman"/>
          <w:color w:val="auto"/>
        </w:rPr>
        <w:t xml:space="preserve">Bank informuje, że niniejsze </w:t>
      </w:r>
      <w:r w:rsidRPr="00065790">
        <w:rPr>
          <w:rFonts w:ascii="Times New Roman" w:hAnsi="Times New Roman" w:cs="Times New Roman"/>
          <w:i/>
          <w:color w:val="auto"/>
        </w:rPr>
        <w:t>Ujawnienie</w:t>
      </w:r>
      <w:r w:rsidRPr="00065790">
        <w:rPr>
          <w:rFonts w:ascii="Times New Roman" w:hAnsi="Times New Roman" w:cs="Times New Roman"/>
          <w:color w:val="auto"/>
        </w:rPr>
        <w:t xml:space="preserve"> obejmuje cały zakres ujawnianych informacji, określonych w </w:t>
      </w:r>
      <w:r w:rsidRPr="00065790">
        <w:rPr>
          <w:rFonts w:ascii="Times New Roman" w:hAnsi="Times New Roman" w:cs="Times New Roman"/>
          <w:i/>
          <w:color w:val="auto"/>
        </w:rPr>
        <w:t>Części Ósmej</w:t>
      </w:r>
      <w:r w:rsidRPr="00065790">
        <w:rPr>
          <w:rFonts w:ascii="Times New Roman" w:hAnsi="Times New Roman" w:cs="Times New Roman"/>
          <w:color w:val="auto"/>
        </w:rPr>
        <w:t xml:space="preserve"> </w:t>
      </w:r>
      <w:r w:rsidRPr="00065790">
        <w:rPr>
          <w:rFonts w:ascii="Times New Roman" w:hAnsi="Times New Roman" w:cs="Times New Roman"/>
          <w:i/>
          <w:color w:val="auto"/>
        </w:rPr>
        <w:t>Rozporządzenia CRR</w:t>
      </w:r>
      <w:r w:rsidR="00F3352A">
        <w:rPr>
          <w:rFonts w:ascii="Times New Roman" w:hAnsi="Times New Roman" w:cs="Times New Roman"/>
          <w:i/>
          <w:color w:val="auto"/>
        </w:rPr>
        <w:t xml:space="preserve"> oraz</w:t>
      </w:r>
      <w:r w:rsidRPr="00065790">
        <w:rPr>
          <w:rFonts w:ascii="Times New Roman" w:hAnsi="Times New Roman" w:cs="Times New Roman"/>
          <w:color w:val="auto"/>
        </w:rPr>
        <w:t xml:space="preserve"> przepisach o rachunkowości. </w:t>
      </w:r>
    </w:p>
    <w:p w14:paraId="075BE47D" w14:textId="36867B3C" w:rsidR="002C50F6" w:rsidRPr="00065790" w:rsidRDefault="00E81BF6" w:rsidP="00831B86">
      <w:pPr>
        <w:numPr>
          <w:ilvl w:val="0"/>
          <w:numId w:val="1"/>
        </w:numPr>
        <w:spacing w:after="0" w:line="276" w:lineRule="auto"/>
        <w:ind w:left="260" w:right="8" w:hanging="252"/>
        <w:rPr>
          <w:rFonts w:ascii="Times New Roman" w:hAnsi="Times New Roman" w:cs="Times New Roman"/>
          <w:color w:val="auto"/>
        </w:rPr>
      </w:pPr>
      <w:r w:rsidRPr="00065790">
        <w:rPr>
          <w:rFonts w:ascii="Times New Roman" w:hAnsi="Times New Roman" w:cs="Times New Roman"/>
          <w:color w:val="auto"/>
        </w:rPr>
        <w:t>Informacje ujawniane w niniejszym dokumencie zaprezentowano według stanu na</w:t>
      </w:r>
      <w:r w:rsidR="00AF6B30" w:rsidRPr="00065790">
        <w:rPr>
          <w:rFonts w:ascii="Times New Roman" w:hAnsi="Times New Roman" w:cs="Times New Roman"/>
          <w:color w:val="auto"/>
        </w:rPr>
        <w:t xml:space="preserve"> </w:t>
      </w:r>
      <w:r w:rsidR="00EC508A" w:rsidRPr="00065790">
        <w:rPr>
          <w:rFonts w:ascii="Times New Roman" w:hAnsi="Times New Roman" w:cs="Times New Roman"/>
          <w:color w:val="auto"/>
        </w:rPr>
        <w:t>dzień 3</w:t>
      </w:r>
      <w:r w:rsidR="00080EE1" w:rsidRPr="00065790">
        <w:rPr>
          <w:rFonts w:ascii="Times New Roman" w:hAnsi="Times New Roman" w:cs="Times New Roman"/>
          <w:color w:val="auto"/>
        </w:rPr>
        <w:t>1.12.20</w:t>
      </w:r>
      <w:r w:rsidR="00065790" w:rsidRPr="00065790">
        <w:rPr>
          <w:rFonts w:ascii="Times New Roman" w:hAnsi="Times New Roman" w:cs="Times New Roman"/>
          <w:color w:val="auto"/>
        </w:rPr>
        <w:t>20</w:t>
      </w:r>
      <w:r w:rsidRPr="00065790">
        <w:rPr>
          <w:rFonts w:ascii="Times New Roman" w:hAnsi="Times New Roman" w:cs="Times New Roman"/>
          <w:color w:val="auto"/>
        </w:rPr>
        <w:t xml:space="preserve"> r.</w:t>
      </w:r>
    </w:p>
    <w:p w14:paraId="6B5950E5" w14:textId="77777777" w:rsidR="00831B86" w:rsidRPr="00065790" w:rsidRDefault="00E81BF6" w:rsidP="00831B86">
      <w:pPr>
        <w:numPr>
          <w:ilvl w:val="0"/>
          <w:numId w:val="1"/>
        </w:numPr>
        <w:spacing w:after="0" w:line="276" w:lineRule="auto"/>
        <w:ind w:right="8" w:hanging="252"/>
        <w:rPr>
          <w:rFonts w:ascii="Times New Roman" w:hAnsi="Times New Roman" w:cs="Times New Roman"/>
          <w:color w:val="auto"/>
        </w:rPr>
      </w:pPr>
      <w:r w:rsidRPr="00065790">
        <w:rPr>
          <w:rFonts w:ascii="Times New Roman" w:hAnsi="Times New Roman" w:cs="Times New Roman"/>
          <w:color w:val="auto"/>
        </w:rPr>
        <w:t xml:space="preserve">O ile nie zaznaczono inaczej, dane liczbowe prezentowane są w </w:t>
      </w:r>
      <w:r w:rsidR="005267E6" w:rsidRPr="00065790">
        <w:rPr>
          <w:rFonts w:ascii="Times New Roman" w:hAnsi="Times New Roman" w:cs="Times New Roman"/>
          <w:color w:val="auto"/>
        </w:rPr>
        <w:t xml:space="preserve">tysiącach </w:t>
      </w:r>
      <w:r w:rsidRPr="00065790">
        <w:rPr>
          <w:rFonts w:ascii="Times New Roman" w:hAnsi="Times New Roman" w:cs="Times New Roman"/>
          <w:color w:val="auto"/>
        </w:rPr>
        <w:t xml:space="preserve">złotych, a ewentualne różnice w sumach i udziałach mogą wynikać z zaokrągleń kwot do </w:t>
      </w:r>
      <w:r w:rsidR="005267E6" w:rsidRPr="00065790">
        <w:rPr>
          <w:rFonts w:ascii="Times New Roman" w:hAnsi="Times New Roman" w:cs="Times New Roman"/>
          <w:color w:val="auto"/>
        </w:rPr>
        <w:t>tysięcy</w:t>
      </w:r>
      <w:r w:rsidRPr="00065790">
        <w:rPr>
          <w:rFonts w:ascii="Times New Roman" w:hAnsi="Times New Roman" w:cs="Times New Roman"/>
          <w:color w:val="auto"/>
        </w:rPr>
        <w:t xml:space="preserve"> złotych oraz zaokrągleń udziałów procentowych do miejsc </w:t>
      </w:r>
      <w:r w:rsidR="005267E6" w:rsidRPr="00065790">
        <w:rPr>
          <w:rFonts w:ascii="Times New Roman" w:hAnsi="Times New Roman" w:cs="Times New Roman"/>
          <w:color w:val="auto"/>
        </w:rPr>
        <w:t>setnych</w:t>
      </w:r>
      <w:r w:rsidRPr="00065790">
        <w:rPr>
          <w:rFonts w:ascii="Times New Roman" w:hAnsi="Times New Roman" w:cs="Times New Roman"/>
          <w:color w:val="auto"/>
        </w:rPr>
        <w:t>.</w:t>
      </w:r>
    </w:p>
    <w:p w14:paraId="5C8157F4" w14:textId="77777777" w:rsidR="002C50F6" w:rsidRPr="00065790" w:rsidRDefault="002C50F6" w:rsidP="00831B86">
      <w:pPr>
        <w:spacing w:after="0" w:line="276" w:lineRule="auto"/>
        <w:ind w:left="252" w:right="8" w:firstLine="0"/>
        <w:rPr>
          <w:rFonts w:ascii="Times New Roman" w:hAnsi="Times New Roman" w:cs="Times New Roman"/>
          <w:color w:val="FF0000"/>
        </w:rPr>
      </w:pPr>
    </w:p>
    <w:p w14:paraId="691801BB" w14:textId="77777777" w:rsidR="002C50F6" w:rsidRPr="002A6579" w:rsidRDefault="00E81BF6" w:rsidP="00831B86">
      <w:pPr>
        <w:pStyle w:val="Nagwek1"/>
        <w:spacing w:line="276" w:lineRule="auto"/>
        <w:ind w:left="-5" w:right="7"/>
        <w:rPr>
          <w:rFonts w:ascii="Times New Roman" w:hAnsi="Times New Roman" w:cs="Times New Roman"/>
          <w:color w:val="auto"/>
        </w:rPr>
      </w:pPr>
      <w:bookmarkStart w:id="2" w:name="_Toc75336245"/>
      <w:r w:rsidRPr="002E4DAF">
        <w:rPr>
          <w:rFonts w:ascii="Times New Roman" w:hAnsi="Times New Roman" w:cs="Times New Roman"/>
          <w:color w:val="000000" w:themeColor="text1"/>
        </w:rPr>
        <w:t xml:space="preserve">1. </w:t>
      </w:r>
      <w:r w:rsidRPr="002A6579">
        <w:rPr>
          <w:rFonts w:ascii="Times New Roman" w:hAnsi="Times New Roman" w:cs="Times New Roman"/>
          <w:color w:val="auto"/>
        </w:rPr>
        <w:t>Informacje o Banku</w:t>
      </w:r>
      <w:bookmarkEnd w:id="2"/>
    </w:p>
    <w:p w14:paraId="590757D2" w14:textId="77777777" w:rsidR="00F80FF4" w:rsidRPr="002A6579" w:rsidRDefault="00F80FF4" w:rsidP="00831B86">
      <w:pPr>
        <w:spacing w:after="0" w:line="276" w:lineRule="auto"/>
        <w:ind w:left="0"/>
        <w:contextualSpacing/>
        <w:rPr>
          <w:rFonts w:ascii="Times New Roman" w:hAnsi="Times New Roman" w:cs="Times New Roman"/>
          <w:color w:val="auto"/>
          <w:szCs w:val="24"/>
        </w:rPr>
      </w:pPr>
      <w:r w:rsidRPr="002A6579">
        <w:rPr>
          <w:rFonts w:ascii="Times New Roman" w:hAnsi="Times New Roman" w:cs="Times New Roman"/>
          <w:color w:val="auto"/>
          <w:szCs w:val="24"/>
        </w:rPr>
        <w:t>Bank jest spółdzielnią prowadzącą samodzielnie i samorządnie swoją działalność na podstawie obowiązujących przepisów prawa, a w szczególności:</w:t>
      </w:r>
    </w:p>
    <w:p w14:paraId="09C0FAEB" w14:textId="77777777" w:rsidR="00F80FF4" w:rsidRPr="002A6579" w:rsidRDefault="00F80FF4" w:rsidP="00831B86">
      <w:pPr>
        <w:spacing w:after="0" w:line="276" w:lineRule="auto"/>
        <w:ind w:left="851" w:hanging="425"/>
        <w:rPr>
          <w:rFonts w:ascii="Times New Roman" w:hAnsi="Times New Roman" w:cs="Times New Roman"/>
          <w:color w:val="auto"/>
          <w:szCs w:val="24"/>
        </w:rPr>
      </w:pPr>
      <w:r w:rsidRPr="002A6579">
        <w:rPr>
          <w:rFonts w:ascii="Times New Roman" w:hAnsi="Times New Roman" w:cs="Times New Roman"/>
          <w:color w:val="auto"/>
          <w:szCs w:val="24"/>
        </w:rPr>
        <w:t>1)</w:t>
      </w:r>
      <w:r w:rsidRPr="002A6579">
        <w:rPr>
          <w:rFonts w:ascii="Times New Roman" w:hAnsi="Times New Roman" w:cs="Times New Roman"/>
          <w:color w:val="auto"/>
          <w:szCs w:val="24"/>
        </w:rPr>
        <w:tab/>
        <w:t>Ustawy z dnia 7 grudnia 2000</w:t>
      </w:r>
      <w:r w:rsidR="00912C4A" w:rsidRPr="002A6579">
        <w:rPr>
          <w:rFonts w:ascii="Times New Roman" w:hAnsi="Times New Roman" w:cs="Times New Roman"/>
          <w:color w:val="auto"/>
          <w:szCs w:val="24"/>
        </w:rPr>
        <w:t xml:space="preserve"> </w:t>
      </w:r>
      <w:r w:rsidRPr="002A6579">
        <w:rPr>
          <w:rFonts w:ascii="Times New Roman" w:hAnsi="Times New Roman" w:cs="Times New Roman"/>
          <w:color w:val="auto"/>
          <w:szCs w:val="24"/>
        </w:rPr>
        <w:t>r. o funkcjonowaniu banków spółdzielczych, ich zrzeszaniu się i bankach zrzeszających,</w:t>
      </w:r>
    </w:p>
    <w:p w14:paraId="4B66C4DD" w14:textId="77777777" w:rsidR="00F80FF4" w:rsidRPr="002A6579" w:rsidRDefault="00F80FF4" w:rsidP="00831B86">
      <w:pPr>
        <w:spacing w:after="0" w:line="276" w:lineRule="auto"/>
        <w:ind w:left="851" w:hanging="425"/>
        <w:rPr>
          <w:rFonts w:ascii="Times New Roman" w:hAnsi="Times New Roman" w:cs="Times New Roman"/>
          <w:color w:val="auto"/>
          <w:szCs w:val="24"/>
        </w:rPr>
      </w:pPr>
      <w:r w:rsidRPr="002A6579">
        <w:rPr>
          <w:rFonts w:ascii="Times New Roman" w:hAnsi="Times New Roman" w:cs="Times New Roman"/>
          <w:color w:val="auto"/>
          <w:szCs w:val="24"/>
        </w:rPr>
        <w:t>2)</w:t>
      </w:r>
      <w:r w:rsidRPr="002A6579">
        <w:rPr>
          <w:rFonts w:ascii="Times New Roman" w:hAnsi="Times New Roman" w:cs="Times New Roman"/>
          <w:color w:val="auto"/>
          <w:szCs w:val="24"/>
        </w:rPr>
        <w:tab/>
        <w:t>Ustawy z dnia 29 sierpnia 1997</w:t>
      </w:r>
      <w:r w:rsidR="00912C4A" w:rsidRPr="002A6579">
        <w:rPr>
          <w:rFonts w:ascii="Times New Roman" w:hAnsi="Times New Roman" w:cs="Times New Roman"/>
          <w:color w:val="auto"/>
          <w:szCs w:val="24"/>
        </w:rPr>
        <w:t xml:space="preserve"> </w:t>
      </w:r>
      <w:r w:rsidRPr="002A6579">
        <w:rPr>
          <w:rFonts w:ascii="Times New Roman" w:hAnsi="Times New Roman" w:cs="Times New Roman"/>
          <w:color w:val="auto"/>
          <w:szCs w:val="24"/>
        </w:rPr>
        <w:t xml:space="preserve">r. - Prawo bankowe, </w:t>
      </w:r>
    </w:p>
    <w:p w14:paraId="409B34AB" w14:textId="77777777" w:rsidR="00F80FF4" w:rsidRPr="002A6579" w:rsidRDefault="00F80FF4" w:rsidP="00831B86">
      <w:pPr>
        <w:spacing w:after="0" w:line="276" w:lineRule="auto"/>
        <w:ind w:left="851" w:hanging="425"/>
        <w:rPr>
          <w:rFonts w:ascii="Times New Roman" w:hAnsi="Times New Roman" w:cs="Times New Roman"/>
          <w:color w:val="auto"/>
          <w:szCs w:val="24"/>
        </w:rPr>
      </w:pPr>
      <w:r w:rsidRPr="002A6579">
        <w:rPr>
          <w:rFonts w:ascii="Times New Roman" w:hAnsi="Times New Roman" w:cs="Times New Roman"/>
          <w:color w:val="auto"/>
          <w:szCs w:val="24"/>
        </w:rPr>
        <w:t>3)</w:t>
      </w:r>
      <w:r w:rsidRPr="002A6579">
        <w:rPr>
          <w:rFonts w:ascii="Times New Roman" w:hAnsi="Times New Roman" w:cs="Times New Roman"/>
          <w:color w:val="auto"/>
          <w:szCs w:val="24"/>
        </w:rPr>
        <w:tab/>
        <w:t>Ustawy z dnia 16 września 1982</w:t>
      </w:r>
      <w:r w:rsidR="00912C4A" w:rsidRPr="002A6579">
        <w:rPr>
          <w:rFonts w:ascii="Times New Roman" w:hAnsi="Times New Roman" w:cs="Times New Roman"/>
          <w:color w:val="auto"/>
          <w:szCs w:val="24"/>
        </w:rPr>
        <w:t xml:space="preserve"> </w:t>
      </w:r>
      <w:r w:rsidRPr="002A6579">
        <w:rPr>
          <w:rFonts w:ascii="Times New Roman" w:hAnsi="Times New Roman" w:cs="Times New Roman"/>
          <w:color w:val="auto"/>
          <w:szCs w:val="24"/>
        </w:rPr>
        <w:t>r. - Prawo spółdzielcze,</w:t>
      </w:r>
    </w:p>
    <w:p w14:paraId="1D404A8E" w14:textId="77777777" w:rsidR="00F80FF4" w:rsidRPr="002A6579" w:rsidRDefault="00F80FF4" w:rsidP="00831B86">
      <w:pPr>
        <w:spacing w:after="0" w:line="276" w:lineRule="auto"/>
        <w:ind w:left="851" w:hanging="425"/>
        <w:rPr>
          <w:rFonts w:ascii="Times New Roman" w:hAnsi="Times New Roman" w:cs="Times New Roman"/>
          <w:color w:val="auto"/>
          <w:szCs w:val="24"/>
        </w:rPr>
      </w:pPr>
      <w:r w:rsidRPr="002A6579">
        <w:rPr>
          <w:rFonts w:ascii="Times New Roman" w:hAnsi="Times New Roman" w:cs="Times New Roman"/>
          <w:color w:val="auto"/>
          <w:szCs w:val="24"/>
        </w:rPr>
        <w:t>4)</w:t>
      </w:r>
      <w:r w:rsidRPr="002A6579">
        <w:rPr>
          <w:rFonts w:ascii="Times New Roman" w:hAnsi="Times New Roman" w:cs="Times New Roman"/>
          <w:color w:val="auto"/>
          <w:szCs w:val="24"/>
        </w:rPr>
        <w:tab/>
        <w:t>Ustawy z dnia 29 września 1994</w:t>
      </w:r>
      <w:r w:rsidR="00912C4A" w:rsidRPr="002A6579">
        <w:rPr>
          <w:rFonts w:ascii="Times New Roman" w:hAnsi="Times New Roman" w:cs="Times New Roman"/>
          <w:color w:val="auto"/>
          <w:szCs w:val="24"/>
        </w:rPr>
        <w:t xml:space="preserve"> </w:t>
      </w:r>
      <w:r w:rsidRPr="002A6579">
        <w:rPr>
          <w:rFonts w:ascii="Times New Roman" w:hAnsi="Times New Roman" w:cs="Times New Roman"/>
          <w:color w:val="auto"/>
          <w:szCs w:val="24"/>
        </w:rPr>
        <w:t xml:space="preserve">r. o rachunkowości, </w:t>
      </w:r>
    </w:p>
    <w:p w14:paraId="4678F989" w14:textId="77777777" w:rsidR="00F80FF4" w:rsidRPr="002A6579" w:rsidRDefault="00F80FF4" w:rsidP="00831B86">
      <w:pPr>
        <w:spacing w:after="0" w:line="276" w:lineRule="auto"/>
        <w:ind w:left="851" w:hanging="425"/>
        <w:rPr>
          <w:rFonts w:ascii="Times New Roman" w:hAnsi="Times New Roman" w:cs="Times New Roman"/>
          <w:color w:val="auto"/>
          <w:szCs w:val="24"/>
        </w:rPr>
      </w:pPr>
      <w:r w:rsidRPr="002A6579">
        <w:rPr>
          <w:rFonts w:ascii="Times New Roman" w:hAnsi="Times New Roman" w:cs="Times New Roman"/>
          <w:color w:val="auto"/>
          <w:szCs w:val="24"/>
        </w:rPr>
        <w:t>5)</w:t>
      </w:r>
      <w:r w:rsidRPr="002A6579">
        <w:rPr>
          <w:rFonts w:ascii="Times New Roman" w:hAnsi="Times New Roman" w:cs="Times New Roman"/>
          <w:color w:val="auto"/>
          <w:szCs w:val="24"/>
        </w:rPr>
        <w:tab/>
        <w:t>Rozporządzenia Parlamentu Europejskiego i Rady (UE) nr 575/2013 z dnia 26 czerwca 2013</w:t>
      </w:r>
      <w:r w:rsidR="00912C4A" w:rsidRPr="002A6579">
        <w:rPr>
          <w:rFonts w:ascii="Times New Roman" w:hAnsi="Times New Roman" w:cs="Times New Roman"/>
          <w:color w:val="auto"/>
          <w:szCs w:val="24"/>
        </w:rPr>
        <w:t xml:space="preserve"> </w:t>
      </w:r>
      <w:r w:rsidRPr="002A6579">
        <w:rPr>
          <w:rFonts w:ascii="Times New Roman" w:hAnsi="Times New Roman" w:cs="Times New Roman"/>
          <w:color w:val="auto"/>
          <w:szCs w:val="24"/>
        </w:rPr>
        <w:t xml:space="preserve">r. w sprawie wymogów ostrożnościowych dla instytucji kredytowych i firm inwestycyjnych, </w:t>
      </w:r>
    </w:p>
    <w:p w14:paraId="2A09CF58" w14:textId="77777777" w:rsidR="00F80FF4" w:rsidRPr="002A6579" w:rsidRDefault="00F80FF4" w:rsidP="00831B86">
      <w:pPr>
        <w:spacing w:after="0" w:line="276" w:lineRule="auto"/>
        <w:ind w:left="851" w:hanging="425"/>
        <w:rPr>
          <w:rFonts w:ascii="Times New Roman" w:hAnsi="Times New Roman" w:cs="Times New Roman"/>
          <w:color w:val="auto"/>
          <w:szCs w:val="24"/>
        </w:rPr>
      </w:pPr>
      <w:r w:rsidRPr="002A6579">
        <w:rPr>
          <w:rFonts w:ascii="Times New Roman" w:hAnsi="Times New Roman" w:cs="Times New Roman"/>
          <w:color w:val="auto"/>
          <w:szCs w:val="24"/>
        </w:rPr>
        <w:t>a także na podstawie Statutu.</w:t>
      </w:r>
    </w:p>
    <w:p w14:paraId="55641CE3" w14:textId="118BF52A" w:rsidR="009807DF" w:rsidRPr="006C12AF" w:rsidRDefault="00F80FF4" w:rsidP="00831B86">
      <w:pPr>
        <w:overflowPunct w:val="0"/>
        <w:autoSpaceDE w:val="0"/>
        <w:autoSpaceDN w:val="0"/>
        <w:adjustRightInd w:val="0"/>
        <w:spacing w:before="120" w:after="0" w:line="276" w:lineRule="auto"/>
        <w:ind w:left="0" w:firstLine="0"/>
        <w:contextualSpacing/>
        <w:textAlignment w:val="baseline"/>
        <w:rPr>
          <w:rFonts w:ascii="Times New Roman" w:hAnsi="Times New Roman" w:cs="Times New Roman"/>
          <w:color w:val="auto"/>
        </w:rPr>
      </w:pPr>
      <w:r w:rsidRPr="002A6579">
        <w:rPr>
          <w:rFonts w:ascii="Times New Roman" w:hAnsi="Times New Roman" w:cs="Times New Roman"/>
          <w:color w:val="auto"/>
          <w:szCs w:val="24"/>
        </w:rPr>
        <w:lastRenderedPageBreak/>
        <w:t>Bank</w:t>
      </w:r>
      <w:r w:rsidR="009807DF" w:rsidRPr="002A6579">
        <w:rPr>
          <w:rFonts w:ascii="Times New Roman" w:hAnsi="Times New Roman" w:cs="Times New Roman"/>
          <w:color w:val="auto"/>
          <w:szCs w:val="24"/>
        </w:rPr>
        <w:t xml:space="preserve"> został wpisany do Rejestru Przedsiębiorców Krajowego Rejestru Sądowego Sądu Rejonowego VIII Wydział Gospodarczy w Olsztynie  pod numerem KRS 0000036781.</w:t>
      </w:r>
      <w:r w:rsidRPr="002A6579">
        <w:rPr>
          <w:rFonts w:ascii="Times New Roman" w:hAnsi="Times New Roman" w:cs="Times New Roman"/>
          <w:color w:val="auto"/>
          <w:szCs w:val="24"/>
        </w:rPr>
        <w:t xml:space="preserve"> Siedzibą Banku jest miejscowość Pisz (12-200), ul. Gizewiusza 2A. </w:t>
      </w:r>
      <w:r w:rsidR="009807DF" w:rsidRPr="002A6579">
        <w:rPr>
          <w:rFonts w:ascii="Times New Roman" w:hAnsi="Times New Roman" w:cs="Times New Roman"/>
          <w:color w:val="auto"/>
        </w:rPr>
        <w:t>Na podstawie zapisów Statutu, Bank ma uprawnienia do prowadzenia swojej działalności na obszarze c</w:t>
      </w:r>
      <w:r w:rsidR="00912C4A" w:rsidRPr="002A6579">
        <w:rPr>
          <w:rFonts w:ascii="Times New Roman" w:hAnsi="Times New Roman" w:cs="Times New Roman"/>
          <w:color w:val="auto"/>
        </w:rPr>
        <w:t>ałego kr</w:t>
      </w:r>
      <w:r w:rsidR="001A3D39" w:rsidRPr="002A6579">
        <w:rPr>
          <w:rFonts w:ascii="Times New Roman" w:hAnsi="Times New Roman" w:cs="Times New Roman"/>
          <w:color w:val="auto"/>
        </w:rPr>
        <w:t xml:space="preserve">aju. Na 31 grudnia </w:t>
      </w:r>
      <w:r w:rsidR="001A3D39" w:rsidRPr="006C12AF">
        <w:rPr>
          <w:rFonts w:ascii="Times New Roman" w:hAnsi="Times New Roman" w:cs="Times New Roman"/>
          <w:color w:val="auto"/>
        </w:rPr>
        <w:t>20</w:t>
      </w:r>
      <w:r w:rsidR="002A6579" w:rsidRPr="006C12AF">
        <w:rPr>
          <w:rFonts w:ascii="Times New Roman" w:hAnsi="Times New Roman" w:cs="Times New Roman"/>
          <w:color w:val="auto"/>
        </w:rPr>
        <w:t>20</w:t>
      </w:r>
      <w:r w:rsidR="00912C4A" w:rsidRPr="006C12AF">
        <w:rPr>
          <w:rFonts w:ascii="Times New Roman" w:hAnsi="Times New Roman" w:cs="Times New Roman"/>
          <w:color w:val="auto"/>
        </w:rPr>
        <w:t> </w:t>
      </w:r>
      <w:r w:rsidR="009807DF" w:rsidRPr="006C12AF">
        <w:rPr>
          <w:rFonts w:ascii="Times New Roman" w:hAnsi="Times New Roman" w:cs="Times New Roman"/>
          <w:color w:val="auto"/>
        </w:rPr>
        <w:t>r. Bank w swojej strukturze organizacyjnej posiadał:</w:t>
      </w:r>
    </w:p>
    <w:p w14:paraId="7CB519F6" w14:textId="77777777" w:rsidR="009807DF" w:rsidRPr="006C12AF" w:rsidRDefault="00F1693A" w:rsidP="000D1C31">
      <w:pPr>
        <w:spacing w:after="0" w:line="276" w:lineRule="auto"/>
        <w:ind w:left="426" w:hanging="142"/>
        <w:contextualSpacing/>
        <w:rPr>
          <w:rFonts w:ascii="Times New Roman" w:hAnsi="Times New Roman" w:cs="Times New Roman"/>
          <w:color w:val="auto"/>
        </w:rPr>
      </w:pPr>
      <w:r w:rsidRPr="006C12AF">
        <w:rPr>
          <w:rFonts w:ascii="Times New Roman" w:hAnsi="Times New Roman" w:cs="Times New Roman"/>
          <w:color w:val="auto"/>
        </w:rPr>
        <w:t>- Centralę w Piszu;</w:t>
      </w:r>
      <w:r w:rsidR="009807DF" w:rsidRPr="006C12AF">
        <w:rPr>
          <w:rFonts w:ascii="Times New Roman" w:hAnsi="Times New Roman" w:cs="Times New Roman"/>
          <w:color w:val="auto"/>
        </w:rPr>
        <w:t xml:space="preserve"> </w:t>
      </w:r>
    </w:p>
    <w:p w14:paraId="4AB1E8FA" w14:textId="77777777" w:rsidR="009807DF" w:rsidRPr="006C12AF" w:rsidRDefault="009807DF" w:rsidP="000D1C31">
      <w:pPr>
        <w:spacing w:after="0" w:line="276" w:lineRule="auto"/>
        <w:ind w:left="426" w:hanging="142"/>
        <w:contextualSpacing/>
        <w:rPr>
          <w:rFonts w:ascii="Times New Roman" w:hAnsi="Times New Roman" w:cs="Times New Roman"/>
          <w:color w:val="auto"/>
        </w:rPr>
      </w:pPr>
      <w:r w:rsidRPr="006C12AF">
        <w:rPr>
          <w:rFonts w:ascii="Times New Roman" w:hAnsi="Times New Roman" w:cs="Times New Roman"/>
          <w:color w:val="auto"/>
        </w:rPr>
        <w:t xml:space="preserve">- </w:t>
      </w:r>
      <w:r w:rsidR="00EC508A" w:rsidRPr="006C12AF">
        <w:rPr>
          <w:rFonts w:ascii="Times New Roman" w:hAnsi="Times New Roman" w:cs="Times New Roman"/>
          <w:color w:val="auto"/>
        </w:rPr>
        <w:t xml:space="preserve">10 </w:t>
      </w:r>
      <w:r w:rsidRPr="006C12AF">
        <w:rPr>
          <w:rFonts w:ascii="Times New Roman" w:hAnsi="Times New Roman" w:cs="Times New Roman"/>
          <w:color w:val="auto"/>
        </w:rPr>
        <w:t>oddziałów w gmin</w:t>
      </w:r>
      <w:r w:rsidR="005267E6" w:rsidRPr="006C12AF">
        <w:rPr>
          <w:rFonts w:ascii="Times New Roman" w:hAnsi="Times New Roman" w:cs="Times New Roman"/>
          <w:color w:val="auto"/>
        </w:rPr>
        <w:t xml:space="preserve">ach: Biała Piska, Pisz, </w:t>
      </w:r>
      <w:proofErr w:type="spellStart"/>
      <w:r w:rsidR="005267E6" w:rsidRPr="006C12AF">
        <w:rPr>
          <w:rFonts w:ascii="Times New Roman" w:hAnsi="Times New Roman" w:cs="Times New Roman"/>
          <w:color w:val="auto"/>
        </w:rPr>
        <w:t>Ruciane-</w:t>
      </w:r>
      <w:r w:rsidRPr="006C12AF">
        <w:rPr>
          <w:rFonts w:ascii="Times New Roman" w:hAnsi="Times New Roman" w:cs="Times New Roman"/>
          <w:color w:val="auto"/>
        </w:rPr>
        <w:t>Nida</w:t>
      </w:r>
      <w:proofErr w:type="spellEnd"/>
      <w:r w:rsidRPr="006C12AF">
        <w:rPr>
          <w:rFonts w:ascii="Times New Roman" w:hAnsi="Times New Roman" w:cs="Times New Roman"/>
          <w:color w:val="auto"/>
        </w:rPr>
        <w:t>, Piecki, Orzysz, Mił</w:t>
      </w:r>
      <w:r w:rsidR="00F1693A" w:rsidRPr="006C12AF">
        <w:rPr>
          <w:rFonts w:ascii="Times New Roman" w:hAnsi="Times New Roman" w:cs="Times New Roman"/>
          <w:color w:val="auto"/>
        </w:rPr>
        <w:t>ki ,Wydminy, Olsztyn, Jeziorany</w:t>
      </w:r>
      <w:r w:rsidR="00EC508A" w:rsidRPr="006C12AF">
        <w:rPr>
          <w:rFonts w:ascii="Times New Roman" w:hAnsi="Times New Roman" w:cs="Times New Roman"/>
          <w:color w:val="auto"/>
        </w:rPr>
        <w:t>, Ciechanów</w:t>
      </w:r>
      <w:r w:rsidR="00F1693A" w:rsidRPr="006C12AF">
        <w:rPr>
          <w:rFonts w:ascii="Times New Roman" w:hAnsi="Times New Roman" w:cs="Times New Roman"/>
          <w:color w:val="auto"/>
        </w:rPr>
        <w:t>;</w:t>
      </w:r>
    </w:p>
    <w:p w14:paraId="2643AD57" w14:textId="77777777" w:rsidR="009807DF" w:rsidRPr="006C12AF" w:rsidRDefault="005267E6" w:rsidP="000D1C31">
      <w:pPr>
        <w:spacing w:after="0" w:line="276" w:lineRule="auto"/>
        <w:ind w:left="426" w:hanging="142"/>
        <w:contextualSpacing/>
        <w:rPr>
          <w:rFonts w:ascii="Times New Roman" w:hAnsi="Times New Roman" w:cs="Times New Roman"/>
          <w:color w:val="auto"/>
        </w:rPr>
      </w:pPr>
      <w:r w:rsidRPr="006C12AF">
        <w:rPr>
          <w:rFonts w:ascii="Times New Roman" w:hAnsi="Times New Roman" w:cs="Times New Roman"/>
          <w:color w:val="auto"/>
        </w:rPr>
        <w:t>- filię B</w:t>
      </w:r>
      <w:r w:rsidR="00EC508A" w:rsidRPr="006C12AF">
        <w:rPr>
          <w:rFonts w:ascii="Times New Roman" w:hAnsi="Times New Roman" w:cs="Times New Roman"/>
          <w:color w:val="auto"/>
        </w:rPr>
        <w:t>anku w Piszu</w:t>
      </w:r>
      <w:r w:rsidR="00F1693A" w:rsidRPr="006C12AF">
        <w:rPr>
          <w:rFonts w:ascii="Times New Roman" w:hAnsi="Times New Roman" w:cs="Times New Roman"/>
          <w:color w:val="auto"/>
        </w:rPr>
        <w:t>;</w:t>
      </w:r>
    </w:p>
    <w:p w14:paraId="0D5DB960" w14:textId="77777777" w:rsidR="009807DF" w:rsidRPr="006C12AF" w:rsidRDefault="009807DF" w:rsidP="000D1C31">
      <w:pPr>
        <w:spacing w:after="0" w:line="276" w:lineRule="auto"/>
        <w:ind w:left="426" w:hanging="142"/>
        <w:contextualSpacing/>
        <w:rPr>
          <w:rFonts w:ascii="Times New Roman" w:hAnsi="Times New Roman" w:cs="Times New Roman"/>
          <w:color w:val="auto"/>
        </w:rPr>
      </w:pPr>
      <w:r w:rsidRPr="006C12AF">
        <w:rPr>
          <w:rFonts w:ascii="Times New Roman" w:hAnsi="Times New Roman" w:cs="Times New Roman"/>
          <w:color w:val="auto"/>
        </w:rPr>
        <w:t>- 3 punkty kasow</w:t>
      </w:r>
      <w:r w:rsidR="00912C4A" w:rsidRPr="006C12AF">
        <w:rPr>
          <w:rFonts w:ascii="Times New Roman" w:hAnsi="Times New Roman" w:cs="Times New Roman"/>
          <w:color w:val="auto"/>
        </w:rPr>
        <w:t>e: dwa w Piszu działające przy U</w:t>
      </w:r>
      <w:r w:rsidRPr="006C12AF">
        <w:rPr>
          <w:rFonts w:ascii="Times New Roman" w:hAnsi="Times New Roman" w:cs="Times New Roman"/>
          <w:color w:val="auto"/>
        </w:rPr>
        <w:t xml:space="preserve">rzędzie </w:t>
      </w:r>
      <w:r w:rsidR="00912C4A" w:rsidRPr="006C12AF">
        <w:rPr>
          <w:rFonts w:ascii="Times New Roman" w:hAnsi="Times New Roman" w:cs="Times New Roman"/>
          <w:color w:val="auto"/>
        </w:rPr>
        <w:t>G</w:t>
      </w:r>
      <w:r w:rsidRPr="006C12AF">
        <w:rPr>
          <w:rFonts w:ascii="Times New Roman" w:hAnsi="Times New Roman" w:cs="Times New Roman"/>
          <w:color w:val="auto"/>
        </w:rPr>
        <w:t xml:space="preserve">miny i przy </w:t>
      </w:r>
      <w:r w:rsidR="00912C4A" w:rsidRPr="006C12AF">
        <w:rPr>
          <w:rFonts w:ascii="Times New Roman" w:hAnsi="Times New Roman" w:cs="Times New Roman"/>
          <w:color w:val="auto"/>
        </w:rPr>
        <w:t>Starostwie</w:t>
      </w:r>
      <w:r w:rsidR="005267E6" w:rsidRPr="006C12AF">
        <w:rPr>
          <w:rFonts w:ascii="Times New Roman" w:hAnsi="Times New Roman" w:cs="Times New Roman"/>
          <w:color w:val="auto"/>
        </w:rPr>
        <w:t xml:space="preserve"> Powiatowym</w:t>
      </w:r>
      <w:r w:rsidRPr="006C12AF">
        <w:rPr>
          <w:rFonts w:ascii="Times New Roman" w:hAnsi="Times New Roman" w:cs="Times New Roman"/>
          <w:color w:val="auto"/>
        </w:rPr>
        <w:t xml:space="preserve"> oraz punkt kasowy w R</w:t>
      </w:r>
      <w:r w:rsidR="00912C4A" w:rsidRPr="006C12AF">
        <w:rPr>
          <w:rFonts w:ascii="Times New Roman" w:hAnsi="Times New Roman" w:cs="Times New Roman"/>
          <w:color w:val="auto"/>
        </w:rPr>
        <w:t>ucianem-Nidzie działający przy Urzędzie G</w:t>
      </w:r>
      <w:r w:rsidRPr="006C12AF">
        <w:rPr>
          <w:rFonts w:ascii="Times New Roman" w:hAnsi="Times New Roman" w:cs="Times New Roman"/>
          <w:color w:val="auto"/>
        </w:rPr>
        <w:t xml:space="preserve">miny. </w:t>
      </w:r>
    </w:p>
    <w:p w14:paraId="5F9D5863" w14:textId="55D8AFD8" w:rsidR="009807DF" w:rsidRPr="006C12AF" w:rsidRDefault="00994B28" w:rsidP="00831B86">
      <w:pPr>
        <w:overflowPunct w:val="0"/>
        <w:autoSpaceDE w:val="0"/>
        <w:autoSpaceDN w:val="0"/>
        <w:adjustRightInd w:val="0"/>
        <w:spacing w:before="120" w:after="0" w:line="276" w:lineRule="auto"/>
        <w:ind w:left="0"/>
        <w:contextualSpacing/>
        <w:textAlignment w:val="baseline"/>
        <w:rPr>
          <w:rFonts w:ascii="Times New Roman" w:hAnsi="Times New Roman" w:cs="Times New Roman"/>
          <w:color w:val="auto"/>
          <w:szCs w:val="24"/>
        </w:rPr>
      </w:pPr>
      <w:r w:rsidRPr="006C12AF">
        <w:rPr>
          <w:rFonts w:ascii="Times New Roman" w:hAnsi="Times New Roman" w:cs="Times New Roman"/>
          <w:color w:val="auto"/>
          <w:szCs w:val="24"/>
        </w:rPr>
        <w:t>Na dzień 31.12.20</w:t>
      </w:r>
      <w:r w:rsidR="002A6579" w:rsidRPr="006C12AF">
        <w:rPr>
          <w:rFonts w:ascii="Times New Roman" w:hAnsi="Times New Roman" w:cs="Times New Roman"/>
          <w:color w:val="auto"/>
          <w:szCs w:val="24"/>
        </w:rPr>
        <w:t>20</w:t>
      </w:r>
      <w:r w:rsidR="002679C1" w:rsidRPr="006C12AF">
        <w:rPr>
          <w:rFonts w:ascii="Times New Roman" w:hAnsi="Times New Roman" w:cs="Times New Roman"/>
          <w:color w:val="auto"/>
          <w:szCs w:val="24"/>
        </w:rPr>
        <w:t xml:space="preserve"> r. </w:t>
      </w:r>
      <w:r w:rsidR="002E5D68" w:rsidRPr="002E5D68">
        <w:rPr>
          <w:rFonts w:ascii="Times New Roman" w:hAnsi="Times New Roman" w:cs="Times New Roman"/>
          <w:color w:val="auto"/>
          <w:szCs w:val="24"/>
        </w:rPr>
        <w:t>prowadzi</w:t>
      </w:r>
      <w:r w:rsidR="006F0D80">
        <w:rPr>
          <w:rFonts w:ascii="Times New Roman" w:hAnsi="Times New Roman" w:cs="Times New Roman"/>
          <w:color w:val="auto"/>
          <w:szCs w:val="24"/>
        </w:rPr>
        <w:t>ł</w:t>
      </w:r>
      <w:r w:rsidR="002E5D68" w:rsidRPr="002E5D68">
        <w:rPr>
          <w:rFonts w:ascii="Times New Roman" w:hAnsi="Times New Roman" w:cs="Times New Roman"/>
          <w:color w:val="auto"/>
          <w:szCs w:val="24"/>
        </w:rPr>
        <w:t xml:space="preserve"> działalność samodzielną, w ramach statusu prawnego określonego w art. 1 ust. 2 ustawy o funkcjonowaniu banków spółdzielczych, ich zrzesza</w:t>
      </w:r>
      <w:r w:rsidR="002E5D68">
        <w:rPr>
          <w:rFonts w:ascii="Times New Roman" w:hAnsi="Times New Roman" w:cs="Times New Roman"/>
          <w:color w:val="auto"/>
          <w:szCs w:val="24"/>
        </w:rPr>
        <w:t>niu się i bankach zrzeszających</w:t>
      </w:r>
      <w:r w:rsidR="003F7C9D" w:rsidRPr="006C12AF">
        <w:rPr>
          <w:rFonts w:ascii="Times New Roman" w:hAnsi="Times New Roman" w:cs="Times New Roman"/>
          <w:color w:val="auto"/>
          <w:szCs w:val="24"/>
        </w:rPr>
        <w:t>.</w:t>
      </w:r>
      <w:r w:rsidR="00F27836" w:rsidRPr="006C12AF">
        <w:rPr>
          <w:rFonts w:ascii="Times New Roman" w:hAnsi="Times New Roman" w:cs="Times New Roman"/>
          <w:color w:val="auto"/>
          <w:szCs w:val="24"/>
        </w:rPr>
        <w:t xml:space="preserve"> </w:t>
      </w:r>
      <w:r w:rsidR="003F7C9D" w:rsidRPr="006C12AF">
        <w:rPr>
          <w:rFonts w:ascii="Times New Roman" w:hAnsi="Times New Roman" w:cs="Times New Roman"/>
          <w:color w:val="auto"/>
          <w:szCs w:val="24"/>
        </w:rPr>
        <w:t>Bank WMBS współpracuje z Bankiem BPS S.A. w oparciu o Porozumienie</w:t>
      </w:r>
      <w:r w:rsidR="00003AC2" w:rsidRPr="006C12AF">
        <w:rPr>
          <w:rFonts w:ascii="Times New Roman" w:hAnsi="Times New Roman" w:cs="Times New Roman"/>
          <w:color w:val="auto"/>
          <w:szCs w:val="24"/>
        </w:rPr>
        <w:t xml:space="preserve"> ramowe</w:t>
      </w:r>
      <w:r w:rsidR="003F7C9D" w:rsidRPr="006C12AF">
        <w:rPr>
          <w:rFonts w:ascii="Times New Roman" w:hAnsi="Times New Roman" w:cs="Times New Roman"/>
          <w:color w:val="auto"/>
          <w:szCs w:val="24"/>
        </w:rPr>
        <w:t xml:space="preserve"> na  świadczenie usług i czynności.</w:t>
      </w:r>
    </w:p>
    <w:p w14:paraId="3254B6DE" w14:textId="77777777" w:rsidR="009807DF" w:rsidRPr="006C12AF" w:rsidRDefault="009807DF" w:rsidP="00831B86">
      <w:pPr>
        <w:overflowPunct w:val="0"/>
        <w:autoSpaceDE w:val="0"/>
        <w:autoSpaceDN w:val="0"/>
        <w:adjustRightInd w:val="0"/>
        <w:spacing w:after="0" w:line="276" w:lineRule="auto"/>
        <w:ind w:left="0"/>
        <w:contextualSpacing/>
        <w:textAlignment w:val="baseline"/>
        <w:rPr>
          <w:rFonts w:ascii="Times New Roman" w:hAnsi="Times New Roman" w:cs="Times New Roman"/>
          <w:color w:val="auto"/>
          <w:szCs w:val="24"/>
        </w:rPr>
      </w:pPr>
      <w:r w:rsidRPr="006C12AF">
        <w:rPr>
          <w:rFonts w:ascii="Times New Roman" w:hAnsi="Times New Roman" w:cs="Times New Roman"/>
          <w:color w:val="auto"/>
          <w:szCs w:val="24"/>
        </w:rPr>
        <w:t>Bank nie jest istotny systemowo.</w:t>
      </w:r>
    </w:p>
    <w:p w14:paraId="76F82183" w14:textId="6B50EDAE" w:rsidR="009807DF" w:rsidRPr="006C12AF" w:rsidRDefault="009807DF" w:rsidP="00831B86">
      <w:pPr>
        <w:pStyle w:val="Tekstpodstawowy"/>
        <w:overflowPunct w:val="0"/>
        <w:autoSpaceDE w:val="0"/>
        <w:autoSpaceDN w:val="0"/>
        <w:adjustRightInd w:val="0"/>
        <w:spacing w:line="276" w:lineRule="auto"/>
        <w:contextualSpacing/>
        <w:jc w:val="both"/>
        <w:textAlignment w:val="baseline"/>
        <w:rPr>
          <w:rFonts w:ascii="Times New Roman" w:hAnsi="Times New Roman"/>
        </w:rPr>
      </w:pPr>
      <w:r w:rsidRPr="006C12AF">
        <w:rPr>
          <w:rFonts w:ascii="Times New Roman" w:hAnsi="Times New Roman"/>
        </w:rPr>
        <w:t>W 20</w:t>
      </w:r>
      <w:r w:rsidR="002A6579" w:rsidRPr="006C12AF">
        <w:rPr>
          <w:rFonts w:ascii="Times New Roman" w:hAnsi="Times New Roman"/>
        </w:rPr>
        <w:t>20</w:t>
      </w:r>
      <w:r w:rsidRPr="006C12AF">
        <w:rPr>
          <w:rFonts w:ascii="Times New Roman" w:hAnsi="Times New Roman"/>
        </w:rPr>
        <w:t xml:space="preserve"> roku w skład Banku nie wchodziły wewnętrzne jednostki organizacyjne sporządzające samodzielne sprawozdania finansowe. Bank nie był więc zobowiązany do sporządzenia skonsolidowanego sprawozdania finansowego.</w:t>
      </w:r>
    </w:p>
    <w:p w14:paraId="282A87A4" w14:textId="77777777" w:rsidR="009807DF" w:rsidRPr="006C12AF" w:rsidRDefault="009807DF" w:rsidP="00831B86">
      <w:pPr>
        <w:pStyle w:val="Tekstpodstawowy"/>
        <w:overflowPunct w:val="0"/>
        <w:autoSpaceDE w:val="0"/>
        <w:autoSpaceDN w:val="0"/>
        <w:adjustRightInd w:val="0"/>
        <w:spacing w:before="120" w:line="276" w:lineRule="auto"/>
        <w:contextualSpacing/>
        <w:jc w:val="both"/>
        <w:textAlignment w:val="baseline"/>
        <w:rPr>
          <w:rFonts w:ascii="Times New Roman" w:hAnsi="Times New Roman"/>
        </w:rPr>
      </w:pPr>
      <w:r w:rsidRPr="006C12AF">
        <w:rPr>
          <w:rFonts w:ascii="Times New Roman" w:hAnsi="Times New Roman"/>
          <w:szCs w:val="24"/>
        </w:rPr>
        <w:t>Członk</w:t>
      </w:r>
      <w:r w:rsidRPr="006C12AF">
        <w:rPr>
          <w:rFonts w:ascii="Times New Roman" w:hAnsi="Times New Roman"/>
        </w:rPr>
        <w:t>owie Zarządu i Rady Nadzorczej B</w:t>
      </w:r>
      <w:r w:rsidRPr="006C12AF">
        <w:rPr>
          <w:rFonts w:ascii="Times New Roman" w:hAnsi="Times New Roman"/>
          <w:szCs w:val="24"/>
        </w:rPr>
        <w:t xml:space="preserve">anku </w:t>
      </w:r>
      <w:r w:rsidRPr="006C12AF">
        <w:rPr>
          <w:rFonts w:ascii="Times New Roman" w:hAnsi="Times New Roman"/>
        </w:rPr>
        <w:t>posiadają</w:t>
      </w:r>
      <w:r w:rsidRPr="006C12AF">
        <w:rPr>
          <w:rFonts w:ascii="Times New Roman" w:hAnsi="Times New Roman"/>
          <w:szCs w:val="24"/>
        </w:rPr>
        <w:t xml:space="preserve"> wiedz</w:t>
      </w:r>
      <w:r w:rsidR="00912C4A" w:rsidRPr="006C12AF">
        <w:rPr>
          <w:rFonts w:ascii="Times New Roman" w:hAnsi="Times New Roman"/>
          <w:szCs w:val="24"/>
        </w:rPr>
        <w:t>ę, umiejętności i doświadczenie</w:t>
      </w:r>
      <w:r w:rsidRPr="006C12AF">
        <w:rPr>
          <w:rFonts w:ascii="Times New Roman" w:hAnsi="Times New Roman"/>
          <w:szCs w:val="24"/>
        </w:rPr>
        <w:t xml:space="preserve"> odpowiednie do pełnionych przez nich funkc</w:t>
      </w:r>
      <w:r w:rsidR="00912C4A" w:rsidRPr="006C12AF">
        <w:rPr>
          <w:rFonts w:ascii="Times New Roman" w:hAnsi="Times New Roman"/>
          <w:szCs w:val="24"/>
        </w:rPr>
        <w:t>ji i powierzonych im obowiązków</w:t>
      </w:r>
      <w:r w:rsidRPr="006C12AF">
        <w:rPr>
          <w:rFonts w:ascii="Times New Roman" w:hAnsi="Times New Roman"/>
          <w:szCs w:val="24"/>
        </w:rPr>
        <w:t xml:space="preserve"> oraz </w:t>
      </w:r>
      <w:r w:rsidRPr="006C12AF">
        <w:rPr>
          <w:rFonts w:ascii="Times New Roman" w:hAnsi="Times New Roman"/>
        </w:rPr>
        <w:t>dają</w:t>
      </w:r>
      <w:r w:rsidRPr="006C12AF">
        <w:rPr>
          <w:rFonts w:ascii="Times New Roman" w:hAnsi="Times New Roman"/>
          <w:szCs w:val="24"/>
        </w:rPr>
        <w:t xml:space="preserve"> rękojmię należytego wykonywania tych obowiązków.</w:t>
      </w:r>
    </w:p>
    <w:p w14:paraId="02A26B89" w14:textId="77777777" w:rsidR="009807DF" w:rsidRPr="00140701" w:rsidRDefault="009807DF" w:rsidP="001036F4">
      <w:pPr>
        <w:spacing w:after="0" w:line="360" w:lineRule="auto"/>
        <w:ind w:left="-15" w:right="8" w:firstLine="720"/>
        <w:contextualSpacing/>
        <w:rPr>
          <w:rFonts w:ascii="Times New Roman" w:hAnsi="Times New Roman" w:cs="Times New Roman"/>
          <w:strike/>
          <w:color w:val="000000" w:themeColor="text1"/>
        </w:rPr>
      </w:pPr>
    </w:p>
    <w:p w14:paraId="2C0408CA" w14:textId="77777777" w:rsidR="002C50F6" w:rsidRPr="00140701" w:rsidRDefault="00E81BF6">
      <w:pPr>
        <w:pStyle w:val="Nagwek2"/>
        <w:ind w:left="-5" w:right="7"/>
        <w:rPr>
          <w:rFonts w:ascii="Times New Roman" w:hAnsi="Times New Roman" w:cs="Times New Roman"/>
          <w:color w:val="000000" w:themeColor="text1"/>
        </w:rPr>
      </w:pPr>
      <w:bookmarkStart w:id="3" w:name="_Toc75336246"/>
      <w:r w:rsidRPr="00140701">
        <w:rPr>
          <w:rFonts w:ascii="Times New Roman" w:hAnsi="Times New Roman" w:cs="Times New Roman"/>
          <w:color w:val="000000" w:themeColor="text1"/>
        </w:rPr>
        <w:t>1.1. Informacje ujawniane na podstawie art. 111a ustawy Prawo bankowe</w:t>
      </w:r>
      <w:bookmarkEnd w:id="3"/>
    </w:p>
    <w:p w14:paraId="31D1F2B2" w14:textId="77777777" w:rsidR="002C50F6" w:rsidRPr="00140701" w:rsidRDefault="00E81BF6" w:rsidP="00831B86">
      <w:pPr>
        <w:spacing w:after="0" w:line="276" w:lineRule="auto"/>
        <w:ind w:left="-5" w:right="6"/>
        <w:rPr>
          <w:rFonts w:ascii="Times New Roman" w:hAnsi="Times New Roman" w:cs="Times New Roman"/>
          <w:color w:val="000000" w:themeColor="text1"/>
        </w:rPr>
      </w:pPr>
      <w:r w:rsidRPr="00140701">
        <w:rPr>
          <w:rFonts w:ascii="Times New Roman" w:hAnsi="Times New Roman" w:cs="Times New Roman"/>
          <w:color w:val="000000" w:themeColor="text1"/>
        </w:rPr>
        <w:t>Na podstawie art. 111a Bank podaje do publicznej wiadomości:</w:t>
      </w:r>
    </w:p>
    <w:p w14:paraId="5E5861D1" w14:textId="77777777" w:rsidR="002C50F6" w:rsidRPr="00140701" w:rsidRDefault="00E81BF6" w:rsidP="00831B86">
      <w:pPr>
        <w:numPr>
          <w:ilvl w:val="0"/>
          <w:numId w:val="2"/>
        </w:numPr>
        <w:spacing w:after="0" w:line="276" w:lineRule="auto"/>
        <w:ind w:right="6" w:hanging="360"/>
        <w:rPr>
          <w:rFonts w:ascii="Times New Roman" w:hAnsi="Times New Roman" w:cs="Times New Roman"/>
          <w:color w:val="000000" w:themeColor="text1"/>
        </w:rPr>
      </w:pPr>
      <w:r w:rsidRPr="00140701">
        <w:rPr>
          <w:rFonts w:ascii="Times New Roman" w:hAnsi="Times New Roman" w:cs="Times New Roman"/>
          <w:color w:val="000000" w:themeColor="text1"/>
        </w:rPr>
        <w:t>informacje o działalności w podziale na posz</w:t>
      </w:r>
      <w:r w:rsidR="00F1693A" w:rsidRPr="00140701">
        <w:rPr>
          <w:rFonts w:ascii="Times New Roman" w:hAnsi="Times New Roman" w:cs="Times New Roman"/>
          <w:color w:val="000000" w:themeColor="text1"/>
        </w:rPr>
        <w:t>czególne państwa członkowskie i </w:t>
      </w:r>
      <w:r w:rsidRPr="00140701">
        <w:rPr>
          <w:rFonts w:ascii="Times New Roman" w:hAnsi="Times New Roman" w:cs="Times New Roman"/>
          <w:color w:val="000000" w:themeColor="text1"/>
        </w:rPr>
        <w:t>państwa trzecie, w których posiada podmioty zależne</w:t>
      </w:r>
      <w:r w:rsidR="00F1693A" w:rsidRPr="00140701">
        <w:rPr>
          <w:rFonts w:ascii="Times New Roman" w:hAnsi="Times New Roman" w:cs="Times New Roman"/>
          <w:color w:val="000000" w:themeColor="text1"/>
        </w:rPr>
        <w:t>, na zasadzie skonsolidowanej w </w:t>
      </w:r>
      <w:r w:rsidRPr="00140701">
        <w:rPr>
          <w:rFonts w:ascii="Times New Roman" w:hAnsi="Times New Roman" w:cs="Times New Roman"/>
          <w:color w:val="000000" w:themeColor="text1"/>
        </w:rPr>
        <w:t xml:space="preserve">rozumieniu art. 4 ust. 1 pkt 48 rozporządzenia nr 575/2013 za dany rok obrotowy – </w:t>
      </w:r>
      <w:r w:rsidRPr="00140701">
        <w:rPr>
          <w:rFonts w:ascii="Times New Roman" w:hAnsi="Times New Roman" w:cs="Times New Roman"/>
          <w:i/>
          <w:color w:val="000000" w:themeColor="text1"/>
        </w:rPr>
        <w:t>nie dotyczy</w:t>
      </w:r>
      <w:r w:rsidR="004866A0" w:rsidRPr="00140701">
        <w:rPr>
          <w:rFonts w:ascii="Times New Roman" w:hAnsi="Times New Roman" w:cs="Times New Roman"/>
          <w:i/>
          <w:color w:val="000000" w:themeColor="text1"/>
        </w:rPr>
        <w:t>.</w:t>
      </w:r>
      <w:r w:rsidRPr="00140701">
        <w:rPr>
          <w:rFonts w:ascii="Times New Roman" w:hAnsi="Times New Roman" w:cs="Times New Roman"/>
          <w:i/>
          <w:color w:val="000000" w:themeColor="text1"/>
        </w:rPr>
        <w:t xml:space="preserve"> </w:t>
      </w:r>
      <w:r w:rsidRPr="00140701">
        <w:rPr>
          <w:rFonts w:ascii="Times New Roman" w:hAnsi="Times New Roman" w:cs="Times New Roman"/>
          <w:color w:val="000000" w:themeColor="text1"/>
        </w:rPr>
        <w:t>Bank działa tylko na terenie Rzeczypospolitej Polskiej i nie posiada podmiotów zależnych;</w:t>
      </w:r>
    </w:p>
    <w:p w14:paraId="7FAD6FE1" w14:textId="74DEE42E" w:rsidR="002C50F6" w:rsidRPr="00140701" w:rsidRDefault="005267E6" w:rsidP="00831B86">
      <w:pPr>
        <w:numPr>
          <w:ilvl w:val="0"/>
          <w:numId w:val="2"/>
        </w:numPr>
        <w:spacing w:after="0" w:line="276" w:lineRule="auto"/>
        <w:ind w:right="6" w:hanging="360"/>
        <w:rPr>
          <w:rFonts w:ascii="Times New Roman" w:hAnsi="Times New Roman" w:cs="Times New Roman"/>
          <w:color w:val="000000" w:themeColor="text1"/>
        </w:rPr>
      </w:pPr>
      <w:r w:rsidRPr="00140701">
        <w:rPr>
          <w:rFonts w:ascii="Times New Roman" w:hAnsi="Times New Roman" w:cs="Times New Roman"/>
          <w:color w:val="000000" w:themeColor="text1"/>
        </w:rPr>
        <w:t>stopę zwrotu z aktywów, obliczoną</w:t>
      </w:r>
      <w:r w:rsidR="00E81BF6" w:rsidRPr="00140701">
        <w:rPr>
          <w:rFonts w:ascii="Times New Roman" w:hAnsi="Times New Roman" w:cs="Times New Roman"/>
          <w:color w:val="000000" w:themeColor="text1"/>
        </w:rPr>
        <w:t xml:space="preserve"> jako iloraz zysku netto i sumy</w:t>
      </w:r>
      <w:r w:rsidR="00F04594" w:rsidRPr="00140701">
        <w:rPr>
          <w:rFonts w:ascii="Times New Roman" w:hAnsi="Times New Roman" w:cs="Times New Roman"/>
          <w:color w:val="000000" w:themeColor="text1"/>
        </w:rPr>
        <w:t xml:space="preserve"> bilansowej</w:t>
      </w:r>
      <w:r w:rsidRPr="00140701">
        <w:rPr>
          <w:rFonts w:ascii="Times New Roman" w:hAnsi="Times New Roman" w:cs="Times New Roman"/>
          <w:color w:val="000000" w:themeColor="text1"/>
        </w:rPr>
        <w:t>-</w:t>
      </w:r>
      <w:r w:rsidR="00CA4B17" w:rsidRPr="00140701">
        <w:rPr>
          <w:rFonts w:ascii="Times New Roman" w:hAnsi="Times New Roman" w:cs="Times New Roman"/>
          <w:color w:val="000000" w:themeColor="text1"/>
        </w:rPr>
        <w:t xml:space="preserve"> </w:t>
      </w:r>
      <w:r w:rsidR="00F3352A">
        <w:rPr>
          <w:rFonts w:ascii="Times New Roman" w:hAnsi="Times New Roman" w:cs="Times New Roman"/>
          <w:color w:val="000000" w:themeColor="text1"/>
        </w:rPr>
        <w:t xml:space="preserve">stopa zwrotu </w:t>
      </w:r>
      <w:r w:rsidR="00CA4B17" w:rsidRPr="00140701">
        <w:rPr>
          <w:rFonts w:ascii="Times New Roman" w:hAnsi="Times New Roman" w:cs="Times New Roman"/>
          <w:color w:val="000000" w:themeColor="text1"/>
        </w:rPr>
        <w:t>na dzień 31.12.20</w:t>
      </w:r>
      <w:r w:rsidR="006C12AF" w:rsidRPr="00140701">
        <w:rPr>
          <w:rFonts w:ascii="Times New Roman" w:hAnsi="Times New Roman" w:cs="Times New Roman"/>
          <w:color w:val="000000" w:themeColor="text1"/>
        </w:rPr>
        <w:t>20</w:t>
      </w:r>
      <w:r w:rsidR="00E81BF6" w:rsidRPr="00140701">
        <w:rPr>
          <w:rFonts w:ascii="Times New Roman" w:hAnsi="Times New Roman" w:cs="Times New Roman"/>
          <w:color w:val="000000" w:themeColor="text1"/>
        </w:rPr>
        <w:t xml:space="preserve"> r. wynosi</w:t>
      </w:r>
      <w:r w:rsidR="002E5D68">
        <w:rPr>
          <w:rFonts w:ascii="Times New Roman" w:hAnsi="Times New Roman" w:cs="Times New Roman"/>
          <w:color w:val="000000" w:themeColor="text1"/>
        </w:rPr>
        <w:t>ła</w:t>
      </w:r>
      <w:r w:rsidR="00E81BF6" w:rsidRPr="00140701">
        <w:rPr>
          <w:rFonts w:ascii="Times New Roman" w:hAnsi="Times New Roman" w:cs="Times New Roman"/>
          <w:color w:val="000000" w:themeColor="text1"/>
        </w:rPr>
        <w:t xml:space="preserve">: </w:t>
      </w:r>
      <w:r w:rsidR="00D00C13" w:rsidRPr="00140701">
        <w:rPr>
          <w:rFonts w:ascii="Times New Roman" w:hAnsi="Times New Roman" w:cs="Times New Roman"/>
          <w:color w:val="000000" w:themeColor="text1"/>
        </w:rPr>
        <w:t>0,</w:t>
      </w:r>
      <w:r w:rsidR="0028093A" w:rsidRPr="00140701">
        <w:rPr>
          <w:rFonts w:ascii="Times New Roman" w:hAnsi="Times New Roman" w:cs="Times New Roman"/>
          <w:color w:val="000000" w:themeColor="text1"/>
        </w:rPr>
        <w:t>41</w:t>
      </w:r>
      <w:r w:rsidR="00E81BF6" w:rsidRPr="00140701">
        <w:rPr>
          <w:rFonts w:ascii="Times New Roman" w:hAnsi="Times New Roman" w:cs="Times New Roman"/>
          <w:color w:val="000000" w:themeColor="text1"/>
        </w:rPr>
        <w:t>%;</w:t>
      </w:r>
    </w:p>
    <w:p w14:paraId="3BAA0C97" w14:textId="77777777" w:rsidR="002C50F6" w:rsidRPr="00140701" w:rsidRDefault="00E81BF6" w:rsidP="00831B86">
      <w:pPr>
        <w:numPr>
          <w:ilvl w:val="0"/>
          <w:numId w:val="2"/>
        </w:numPr>
        <w:spacing w:after="0" w:line="276" w:lineRule="auto"/>
        <w:ind w:right="6" w:hanging="360"/>
        <w:rPr>
          <w:rFonts w:ascii="Times New Roman" w:hAnsi="Times New Roman" w:cs="Times New Roman"/>
          <w:color w:val="000000" w:themeColor="text1"/>
        </w:rPr>
      </w:pPr>
      <w:r w:rsidRPr="00140701">
        <w:rPr>
          <w:rFonts w:ascii="Times New Roman" w:hAnsi="Times New Roman" w:cs="Times New Roman"/>
          <w:color w:val="000000" w:themeColor="text1"/>
        </w:rPr>
        <w:t xml:space="preserve">informacje o zawarciu umowy, o której mowa w art. 141t ust. 1, stronach umowy, jej przedmiocie oraz kosztach, o ile działa w jednym z </w:t>
      </w:r>
      <w:r w:rsidR="00831B86" w:rsidRPr="00140701">
        <w:rPr>
          <w:rFonts w:ascii="Times New Roman" w:hAnsi="Times New Roman" w:cs="Times New Roman"/>
          <w:color w:val="000000" w:themeColor="text1"/>
        </w:rPr>
        <w:t xml:space="preserve">holdingów, o których mowa w art. </w:t>
      </w:r>
      <w:r w:rsidRPr="00140701">
        <w:rPr>
          <w:rFonts w:ascii="Times New Roman" w:hAnsi="Times New Roman" w:cs="Times New Roman"/>
          <w:color w:val="000000" w:themeColor="text1"/>
        </w:rPr>
        <w:t>141f ust. 1 – nie dotyczy, Bank nie działa w holdingu i nie zawarł takiej umowy.</w:t>
      </w:r>
    </w:p>
    <w:p w14:paraId="05B1CE75" w14:textId="77777777" w:rsidR="002C50F6" w:rsidRPr="0028093A" w:rsidRDefault="00E81BF6" w:rsidP="00831B86">
      <w:pPr>
        <w:pStyle w:val="Nagwek1"/>
        <w:spacing w:line="276" w:lineRule="auto"/>
        <w:ind w:left="-6" w:right="6" w:hanging="11"/>
        <w:rPr>
          <w:rFonts w:ascii="Times New Roman" w:hAnsi="Times New Roman" w:cs="Times New Roman"/>
          <w:color w:val="auto"/>
        </w:rPr>
      </w:pPr>
      <w:bookmarkStart w:id="4" w:name="_Toc75336247"/>
      <w:r w:rsidRPr="0028093A">
        <w:rPr>
          <w:rFonts w:ascii="Times New Roman" w:hAnsi="Times New Roman" w:cs="Times New Roman"/>
          <w:color w:val="auto"/>
        </w:rPr>
        <w:t>2. Cele i strategie w zakresie zarządzania ryzykiem – art. 435 Rozporządzenia CRR</w:t>
      </w:r>
      <w:bookmarkEnd w:id="4"/>
    </w:p>
    <w:p w14:paraId="114A0A91" w14:textId="5D90E472" w:rsidR="002C50F6" w:rsidRPr="0028093A" w:rsidRDefault="00E81BF6" w:rsidP="00831B86">
      <w:pPr>
        <w:spacing w:after="0" w:line="276" w:lineRule="auto"/>
        <w:ind w:left="-15" w:right="6" w:firstLine="720"/>
        <w:rPr>
          <w:rFonts w:ascii="Times New Roman" w:hAnsi="Times New Roman" w:cs="Times New Roman"/>
          <w:color w:val="auto"/>
        </w:rPr>
      </w:pPr>
      <w:r w:rsidRPr="0028093A">
        <w:rPr>
          <w:rFonts w:ascii="Times New Roman" w:hAnsi="Times New Roman" w:cs="Times New Roman"/>
          <w:color w:val="auto"/>
        </w:rPr>
        <w:t xml:space="preserve">Bank, zgodnie z przepisami </w:t>
      </w:r>
      <w:r w:rsidRPr="0028093A">
        <w:rPr>
          <w:rFonts w:ascii="Times New Roman" w:hAnsi="Times New Roman" w:cs="Times New Roman"/>
          <w:i/>
          <w:color w:val="auto"/>
        </w:rPr>
        <w:t>ustawy Prawo bankowe</w:t>
      </w:r>
      <w:r w:rsidRPr="0028093A">
        <w:rPr>
          <w:rFonts w:ascii="Times New Roman" w:hAnsi="Times New Roman" w:cs="Times New Roman"/>
          <w:color w:val="auto"/>
        </w:rPr>
        <w:t>, posiada system zarządzania</w:t>
      </w:r>
      <w:r w:rsidR="00F1693A" w:rsidRPr="0028093A">
        <w:rPr>
          <w:rFonts w:ascii="Times New Roman" w:hAnsi="Times New Roman" w:cs="Times New Roman"/>
          <w:color w:val="auto"/>
        </w:rPr>
        <w:t>,</w:t>
      </w:r>
      <w:r w:rsidRPr="0028093A">
        <w:rPr>
          <w:rFonts w:ascii="Times New Roman" w:hAnsi="Times New Roman" w:cs="Times New Roman"/>
          <w:color w:val="auto"/>
        </w:rPr>
        <w:t xml:space="preserve"> na który składają się</w:t>
      </w:r>
      <w:r w:rsidR="0028093A" w:rsidRPr="0028093A">
        <w:rPr>
          <w:rFonts w:ascii="Times New Roman" w:hAnsi="Times New Roman" w:cs="Times New Roman"/>
          <w:color w:val="auto"/>
        </w:rPr>
        <w:t>:</w:t>
      </w:r>
      <w:r w:rsidRPr="0028093A">
        <w:rPr>
          <w:rFonts w:ascii="Times New Roman" w:hAnsi="Times New Roman" w:cs="Times New Roman"/>
          <w:color w:val="auto"/>
        </w:rPr>
        <w:t xml:space="preserve"> system z</w:t>
      </w:r>
      <w:r w:rsidR="00D03E7C" w:rsidRPr="0028093A">
        <w:rPr>
          <w:rFonts w:ascii="Times New Roman" w:hAnsi="Times New Roman" w:cs="Times New Roman"/>
          <w:color w:val="auto"/>
        </w:rPr>
        <w:t>arządzania ryzykiem, system</w:t>
      </w:r>
      <w:r w:rsidRPr="0028093A">
        <w:rPr>
          <w:rFonts w:ascii="Times New Roman" w:hAnsi="Times New Roman" w:cs="Times New Roman"/>
          <w:color w:val="auto"/>
        </w:rPr>
        <w:t xml:space="preserve"> kontroli wewnętrznej, a także odpowiednia polityka wynagrodzeń wspierająca kulturę ryzyka (zarządzania ryzykiem).</w:t>
      </w:r>
    </w:p>
    <w:p w14:paraId="608408A8" w14:textId="38BDA5F9" w:rsidR="002C50F6" w:rsidRPr="0028093A" w:rsidRDefault="00E81BF6" w:rsidP="00831B86">
      <w:pPr>
        <w:spacing w:after="0" w:line="276" w:lineRule="auto"/>
        <w:ind w:left="-5" w:right="6"/>
        <w:rPr>
          <w:rFonts w:ascii="Times New Roman" w:hAnsi="Times New Roman" w:cs="Times New Roman"/>
          <w:color w:val="auto"/>
        </w:rPr>
      </w:pPr>
      <w:r w:rsidRPr="0028093A">
        <w:rPr>
          <w:rFonts w:ascii="Times New Roman" w:hAnsi="Times New Roman" w:cs="Times New Roman"/>
          <w:color w:val="auto"/>
        </w:rPr>
        <w:lastRenderedPageBreak/>
        <w:t xml:space="preserve">System zarządzania obejmuje </w:t>
      </w:r>
      <w:r w:rsidR="002E3C4B" w:rsidRPr="0028093A">
        <w:rPr>
          <w:rFonts w:ascii="Times New Roman" w:hAnsi="Times New Roman" w:cs="Times New Roman"/>
          <w:color w:val="auto"/>
        </w:rPr>
        <w:t xml:space="preserve">także </w:t>
      </w:r>
      <w:r w:rsidRPr="0028093A">
        <w:rPr>
          <w:rFonts w:ascii="Times New Roman" w:hAnsi="Times New Roman" w:cs="Times New Roman"/>
          <w:color w:val="auto"/>
        </w:rPr>
        <w:t xml:space="preserve">procedury anonimowego zgłaszania </w:t>
      </w:r>
      <w:r w:rsidR="004866A0" w:rsidRPr="0028093A">
        <w:rPr>
          <w:rFonts w:ascii="Times New Roman" w:hAnsi="Times New Roman" w:cs="Times New Roman"/>
          <w:color w:val="auto"/>
        </w:rPr>
        <w:t xml:space="preserve">przez pracowników </w:t>
      </w:r>
      <w:r w:rsidRPr="0028093A">
        <w:rPr>
          <w:rFonts w:ascii="Times New Roman" w:hAnsi="Times New Roman" w:cs="Times New Roman"/>
          <w:color w:val="auto"/>
        </w:rPr>
        <w:t xml:space="preserve">wskazanemu Członkowi Zarządu, a w szczególnych przypadkach – Radzie Nadzorczej Banku, naruszeń prawa oraz obowiązujących w </w:t>
      </w:r>
      <w:r w:rsidR="00F1693A" w:rsidRPr="0028093A">
        <w:rPr>
          <w:rFonts w:ascii="Times New Roman" w:hAnsi="Times New Roman" w:cs="Times New Roman"/>
          <w:color w:val="auto"/>
        </w:rPr>
        <w:t>B</w:t>
      </w:r>
      <w:r w:rsidRPr="0028093A">
        <w:rPr>
          <w:rFonts w:ascii="Times New Roman" w:hAnsi="Times New Roman" w:cs="Times New Roman"/>
          <w:color w:val="auto"/>
        </w:rPr>
        <w:t>anku procedur i standardów etycznych.</w:t>
      </w:r>
    </w:p>
    <w:p w14:paraId="444D06C6" w14:textId="77777777" w:rsidR="00333B6C" w:rsidRPr="00065790" w:rsidRDefault="00333B6C" w:rsidP="00333B6C">
      <w:pPr>
        <w:spacing w:after="0" w:line="276" w:lineRule="auto"/>
        <w:ind w:left="-5" w:right="6"/>
        <w:rPr>
          <w:rFonts w:ascii="Times New Roman" w:hAnsi="Times New Roman" w:cs="Times New Roman"/>
          <w:color w:val="FF0000"/>
        </w:rPr>
      </w:pPr>
    </w:p>
    <w:p w14:paraId="5A09A96D" w14:textId="77777777" w:rsidR="002C50F6" w:rsidRPr="0028093A" w:rsidRDefault="00E81BF6" w:rsidP="00927EB8">
      <w:pPr>
        <w:pStyle w:val="Nagwek2"/>
        <w:ind w:left="705" w:right="7"/>
        <w:rPr>
          <w:rFonts w:ascii="Times New Roman" w:hAnsi="Times New Roman" w:cs="Times New Roman"/>
          <w:color w:val="auto"/>
        </w:rPr>
      </w:pPr>
      <w:bookmarkStart w:id="5" w:name="_Toc75336248"/>
      <w:r w:rsidRPr="0028093A">
        <w:rPr>
          <w:rFonts w:ascii="Times New Roman" w:hAnsi="Times New Roman" w:cs="Times New Roman"/>
          <w:color w:val="auto"/>
        </w:rPr>
        <w:t>2.1. Informacje o systemie zarządzania ryzykiem, strategii i celach zarządzania w odniesieniu do poszczególnych kategorii ryzyka</w:t>
      </w:r>
      <w:bookmarkEnd w:id="5"/>
    </w:p>
    <w:p w14:paraId="3FB5B016" w14:textId="72D513AE" w:rsidR="002C50F6" w:rsidRPr="0028093A" w:rsidRDefault="00E81BF6" w:rsidP="000D1C31">
      <w:pPr>
        <w:spacing w:line="276" w:lineRule="auto"/>
        <w:ind w:left="-15" w:right="8" w:firstLine="720"/>
        <w:contextualSpacing/>
        <w:rPr>
          <w:rFonts w:ascii="Times New Roman" w:hAnsi="Times New Roman" w:cs="Times New Roman"/>
          <w:color w:val="auto"/>
          <w:szCs w:val="24"/>
        </w:rPr>
      </w:pPr>
      <w:r w:rsidRPr="0028093A">
        <w:rPr>
          <w:rFonts w:ascii="Times New Roman" w:hAnsi="Times New Roman" w:cs="Times New Roman"/>
          <w:color w:val="auto"/>
          <w:szCs w:val="24"/>
        </w:rPr>
        <w:t xml:space="preserve">Zarządzanie ryzykiem w Banku odbywa się zgodnie z długofalową </w:t>
      </w:r>
      <w:r w:rsidRPr="0028093A">
        <w:rPr>
          <w:rFonts w:ascii="Times New Roman" w:hAnsi="Times New Roman" w:cs="Times New Roman"/>
          <w:i/>
          <w:color w:val="auto"/>
          <w:szCs w:val="24"/>
        </w:rPr>
        <w:t xml:space="preserve">Strategią zarządzania </w:t>
      </w:r>
      <w:r w:rsidR="005267E6" w:rsidRPr="0028093A">
        <w:rPr>
          <w:rFonts w:ascii="Times New Roman" w:hAnsi="Times New Roman" w:cs="Times New Roman"/>
          <w:i/>
          <w:color w:val="auto"/>
          <w:szCs w:val="24"/>
        </w:rPr>
        <w:t>ryzykiem B</w:t>
      </w:r>
      <w:r w:rsidR="00D537BA" w:rsidRPr="0028093A">
        <w:rPr>
          <w:rFonts w:ascii="Times New Roman" w:hAnsi="Times New Roman" w:cs="Times New Roman"/>
          <w:i/>
          <w:color w:val="auto"/>
          <w:szCs w:val="24"/>
        </w:rPr>
        <w:t>anku</w:t>
      </w:r>
      <w:r w:rsidR="005566ED" w:rsidRPr="0028093A">
        <w:rPr>
          <w:rFonts w:ascii="Times New Roman" w:hAnsi="Times New Roman" w:cs="Times New Roman"/>
          <w:i/>
          <w:color w:val="auto"/>
          <w:szCs w:val="24"/>
        </w:rPr>
        <w:t>.</w:t>
      </w:r>
      <w:r w:rsidR="007C6C21" w:rsidRPr="0028093A">
        <w:rPr>
          <w:rFonts w:ascii="Times New Roman" w:hAnsi="Times New Roman" w:cs="Times New Roman"/>
          <w:i/>
          <w:color w:val="auto"/>
          <w:szCs w:val="24"/>
        </w:rPr>
        <w:t xml:space="preserve"> Zarządzanie poszczegól</w:t>
      </w:r>
      <w:r w:rsidR="005566ED" w:rsidRPr="0028093A">
        <w:rPr>
          <w:rFonts w:ascii="Times New Roman" w:hAnsi="Times New Roman" w:cs="Times New Roman"/>
          <w:i/>
          <w:color w:val="auto"/>
          <w:szCs w:val="24"/>
        </w:rPr>
        <w:t xml:space="preserve">nymi obszarami ryzyka określone </w:t>
      </w:r>
      <w:r w:rsidR="007C6C21" w:rsidRPr="0028093A">
        <w:rPr>
          <w:rFonts w:ascii="Times New Roman" w:hAnsi="Times New Roman" w:cs="Times New Roman"/>
          <w:i/>
          <w:color w:val="auto"/>
          <w:szCs w:val="24"/>
        </w:rPr>
        <w:t>jest w odpowie</w:t>
      </w:r>
      <w:r w:rsidR="005566ED" w:rsidRPr="0028093A">
        <w:rPr>
          <w:rFonts w:ascii="Times New Roman" w:hAnsi="Times New Roman" w:cs="Times New Roman"/>
          <w:i/>
          <w:color w:val="auto"/>
          <w:szCs w:val="24"/>
        </w:rPr>
        <w:t>d</w:t>
      </w:r>
      <w:r w:rsidR="007C6C21" w:rsidRPr="0028093A">
        <w:rPr>
          <w:rFonts w:ascii="Times New Roman" w:hAnsi="Times New Roman" w:cs="Times New Roman"/>
          <w:i/>
          <w:color w:val="auto"/>
          <w:szCs w:val="24"/>
        </w:rPr>
        <w:t>nich strategia</w:t>
      </w:r>
      <w:r w:rsidR="005566ED" w:rsidRPr="0028093A">
        <w:rPr>
          <w:rFonts w:ascii="Times New Roman" w:hAnsi="Times New Roman" w:cs="Times New Roman"/>
          <w:i/>
          <w:color w:val="auto"/>
          <w:szCs w:val="24"/>
        </w:rPr>
        <w:t>ch i polity</w:t>
      </w:r>
      <w:r w:rsidR="007C6C21" w:rsidRPr="0028093A">
        <w:rPr>
          <w:rFonts w:ascii="Times New Roman" w:hAnsi="Times New Roman" w:cs="Times New Roman"/>
          <w:i/>
          <w:color w:val="auto"/>
          <w:szCs w:val="24"/>
        </w:rPr>
        <w:t>kach pr</w:t>
      </w:r>
      <w:r w:rsidR="005566ED" w:rsidRPr="0028093A">
        <w:rPr>
          <w:rFonts w:ascii="Times New Roman" w:hAnsi="Times New Roman" w:cs="Times New Roman"/>
          <w:i/>
          <w:color w:val="auto"/>
          <w:szCs w:val="24"/>
        </w:rPr>
        <w:t xml:space="preserve">zygotowanych </w:t>
      </w:r>
      <w:r w:rsidRPr="0028093A">
        <w:rPr>
          <w:rFonts w:ascii="Times New Roman" w:hAnsi="Times New Roman" w:cs="Times New Roman"/>
          <w:color w:val="auto"/>
          <w:szCs w:val="24"/>
        </w:rPr>
        <w:t>przez Zarząd Banku</w:t>
      </w:r>
      <w:r w:rsidR="00F80FF4" w:rsidRPr="0028093A">
        <w:rPr>
          <w:rFonts w:ascii="Times New Roman" w:hAnsi="Times New Roman" w:cs="Times New Roman"/>
          <w:color w:val="auto"/>
          <w:szCs w:val="24"/>
        </w:rPr>
        <w:t xml:space="preserve"> </w:t>
      </w:r>
      <w:r w:rsidR="005566ED" w:rsidRPr="0028093A">
        <w:rPr>
          <w:rFonts w:ascii="Times New Roman" w:hAnsi="Times New Roman" w:cs="Times New Roman"/>
          <w:color w:val="auto"/>
          <w:szCs w:val="24"/>
        </w:rPr>
        <w:t>i zatwierdzonych</w:t>
      </w:r>
      <w:r w:rsidRPr="0028093A">
        <w:rPr>
          <w:rFonts w:ascii="Times New Roman" w:hAnsi="Times New Roman" w:cs="Times New Roman"/>
          <w:color w:val="auto"/>
          <w:szCs w:val="24"/>
        </w:rPr>
        <w:t xml:space="preserve"> przez Radę Nadzorczą Banku. </w:t>
      </w:r>
      <w:r w:rsidR="00F1693A" w:rsidRPr="0028093A">
        <w:rPr>
          <w:rFonts w:ascii="Times New Roman" w:hAnsi="Times New Roman" w:cs="Times New Roman"/>
          <w:color w:val="auto"/>
          <w:szCs w:val="24"/>
        </w:rPr>
        <w:t>Polityki i s</w:t>
      </w:r>
      <w:r w:rsidR="008D66DF" w:rsidRPr="0028093A">
        <w:rPr>
          <w:rFonts w:ascii="Times New Roman" w:hAnsi="Times New Roman" w:cs="Times New Roman"/>
          <w:color w:val="auto"/>
          <w:szCs w:val="24"/>
        </w:rPr>
        <w:t xml:space="preserve">trategie </w:t>
      </w:r>
      <w:r w:rsidR="00A02266" w:rsidRPr="0028093A">
        <w:rPr>
          <w:rFonts w:ascii="Times New Roman" w:hAnsi="Times New Roman" w:cs="Times New Roman"/>
          <w:color w:val="auto"/>
          <w:szCs w:val="24"/>
        </w:rPr>
        <w:t xml:space="preserve">są </w:t>
      </w:r>
      <w:r w:rsidR="00F1693A" w:rsidRPr="0028093A">
        <w:rPr>
          <w:rFonts w:ascii="Times New Roman" w:hAnsi="Times New Roman" w:cs="Times New Roman"/>
          <w:color w:val="auto"/>
          <w:szCs w:val="24"/>
        </w:rPr>
        <w:t xml:space="preserve">zgodne z założeniami </w:t>
      </w:r>
      <w:r w:rsidR="00F1693A" w:rsidRPr="0028093A">
        <w:rPr>
          <w:rFonts w:ascii="Times New Roman" w:hAnsi="Times New Roman" w:cs="Times New Roman"/>
          <w:i/>
          <w:color w:val="auto"/>
          <w:szCs w:val="24"/>
        </w:rPr>
        <w:t>S</w:t>
      </w:r>
      <w:r w:rsidRPr="0028093A">
        <w:rPr>
          <w:rFonts w:ascii="Times New Roman" w:hAnsi="Times New Roman" w:cs="Times New Roman"/>
          <w:i/>
          <w:color w:val="auto"/>
          <w:szCs w:val="24"/>
        </w:rPr>
        <w:t xml:space="preserve">trategii </w:t>
      </w:r>
      <w:r w:rsidR="005E4068" w:rsidRPr="0028093A">
        <w:rPr>
          <w:rFonts w:ascii="Times New Roman" w:hAnsi="Times New Roman" w:cs="Times New Roman"/>
          <w:i/>
          <w:color w:val="auto"/>
          <w:szCs w:val="24"/>
        </w:rPr>
        <w:t>zarządzania Bankiem</w:t>
      </w:r>
      <w:r w:rsidRPr="0028093A">
        <w:rPr>
          <w:rFonts w:ascii="Times New Roman" w:hAnsi="Times New Roman" w:cs="Times New Roman"/>
          <w:i/>
          <w:color w:val="auto"/>
          <w:szCs w:val="24"/>
        </w:rPr>
        <w:t xml:space="preserve"> </w:t>
      </w:r>
      <w:r w:rsidR="00921F15" w:rsidRPr="0028093A">
        <w:rPr>
          <w:rFonts w:ascii="Times New Roman" w:hAnsi="Times New Roman" w:cs="Times New Roman"/>
          <w:i/>
          <w:color w:val="auto"/>
          <w:szCs w:val="24"/>
        </w:rPr>
        <w:t>na lata 201</w:t>
      </w:r>
      <w:r w:rsidR="000E2D72" w:rsidRPr="0028093A">
        <w:rPr>
          <w:rFonts w:ascii="Times New Roman" w:hAnsi="Times New Roman" w:cs="Times New Roman"/>
          <w:i/>
          <w:color w:val="auto"/>
          <w:szCs w:val="24"/>
        </w:rPr>
        <w:t>9-2023</w:t>
      </w:r>
      <w:r w:rsidR="00A02266" w:rsidRPr="0028093A">
        <w:rPr>
          <w:rFonts w:ascii="Times New Roman" w:hAnsi="Times New Roman" w:cs="Times New Roman"/>
          <w:color w:val="auto"/>
          <w:szCs w:val="24"/>
        </w:rPr>
        <w:t xml:space="preserve"> </w:t>
      </w:r>
      <w:r w:rsidRPr="0028093A">
        <w:rPr>
          <w:rFonts w:ascii="Times New Roman" w:hAnsi="Times New Roman" w:cs="Times New Roman"/>
          <w:color w:val="auto"/>
          <w:szCs w:val="24"/>
        </w:rPr>
        <w:t>i podlega</w:t>
      </w:r>
      <w:r w:rsidR="00950C99" w:rsidRPr="0028093A">
        <w:rPr>
          <w:rFonts w:ascii="Times New Roman" w:hAnsi="Times New Roman" w:cs="Times New Roman"/>
          <w:color w:val="auto"/>
          <w:szCs w:val="24"/>
        </w:rPr>
        <w:t>ją</w:t>
      </w:r>
      <w:r w:rsidRPr="0028093A">
        <w:rPr>
          <w:rFonts w:ascii="Times New Roman" w:hAnsi="Times New Roman" w:cs="Times New Roman"/>
          <w:color w:val="auto"/>
          <w:szCs w:val="24"/>
        </w:rPr>
        <w:t xml:space="preserve"> corocznemu przeglądowi zarządczemu </w:t>
      </w:r>
      <w:r w:rsidR="00F1693A" w:rsidRPr="0028093A">
        <w:rPr>
          <w:rFonts w:ascii="Times New Roman" w:hAnsi="Times New Roman" w:cs="Times New Roman"/>
          <w:color w:val="auto"/>
          <w:szCs w:val="24"/>
        </w:rPr>
        <w:t>oraz</w:t>
      </w:r>
      <w:r w:rsidRPr="0028093A">
        <w:rPr>
          <w:rFonts w:ascii="Times New Roman" w:hAnsi="Times New Roman" w:cs="Times New Roman"/>
          <w:color w:val="auto"/>
          <w:szCs w:val="24"/>
        </w:rPr>
        <w:t xml:space="preserve"> weryfikacji. Przegląd i weryfikacja dokonywan</w:t>
      </w:r>
      <w:r w:rsidR="00F1693A" w:rsidRPr="0028093A">
        <w:rPr>
          <w:rFonts w:ascii="Times New Roman" w:hAnsi="Times New Roman" w:cs="Times New Roman"/>
          <w:color w:val="auto"/>
          <w:szCs w:val="24"/>
        </w:rPr>
        <w:t>e</w:t>
      </w:r>
      <w:r w:rsidRPr="0028093A">
        <w:rPr>
          <w:rFonts w:ascii="Times New Roman" w:hAnsi="Times New Roman" w:cs="Times New Roman"/>
          <w:color w:val="auto"/>
          <w:szCs w:val="24"/>
        </w:rPr>
        <w:t xml:space="preserve"> </w:t>
      </w:r>
      <w:r w:rsidR="00F1693A" w:rsidRPr="0028093A">
        <w:rPr>
          <w:rFonts w:ascii="Times New Roman" w:hAnsi="Times New Roman" w:cs="Times New Roman"/>
          <w:color w:val="auto"/>
          <w:szCs w:val="24"/>
        </w:rPr>
        <w:t>są</w:t>
      </w:r>
      <w:r w:rsidRPr="0028093A">
        <w:rPr>
          <w:rFonts w:ascii="Times New Roman" w:hAnsi="Times New Roman" w:cs="Times New Roman"/>
          <w:color w:val="auto"/>
          <w:szCs w:val="24"/>
        </w:rPr>
        <w:t xml:space="preserve"> również w przypadku występowania znaczących zmian wewnątrz lub w otoczeniu Banku.</w:t>
      </w:r>
      <w:r w:rsidR="00A95CDF" w:rsidRPr="0028093A">
        <w:rPr>
          <w:rFonts w:ascii="Times New Roman" w:hAnsi="Times New Roman" w:cs="Times New Roman"/>
          <w:color w:val="auto"/>
          <w:szCs w:val="24"/>
        </w:rPr>
        <w:t xml:space="preserve"> </w:t>
      </w:r>
    </w:p>
    <w:p w14:paraId="38310EA4" w14:textId="1E85461A" w:rsidR="002C50F6" w:rsidRPr="0028093A" w:rsidRDefault="00E81BF6" w:rsidP="000D1C31">
      <w:pPr>
        <w:spacing w:after="47" w:line="276" w:lineRule="auto"/>
        <w:ind w:left="-15" w:right="8" w:firstLine="720"/>
        <w:contextualSpacing/>
        <w:rPr>
          <w:rFonts w:ascii="Times New Roman" w:hAnsi="Times New Roman" w:cs="Times New Roman"/>
          <w:color w:val="auto"/>
          <w:szCs w:val="24"/>
        </w:rPr>
      </w:pPr>
      <w:r w:rsidRPr="0028093A">
        <w:rPr>
          <w:rFonts w:ascii="Times New Roman" w:hAnsi="Times New Roman" w:cs="Times New Roman"/>
          <w:color w:val="auto"/>
          <w:szCs w:val="24"/>
        </w:rPr>
        <w:t xml:space="preserve">Strategia </w:t>
      </w:r>
      <w:r w:rsidR="00A02266" w:rsidRPr="0028093A">
        <w:rPr>
          <w:rFonts w:ascii="Times New Roman" w:hAnsi="Times New Roman" w:cs="Times New Roman"/>
          <w:color w:val="auto"/>
          <w:szCs w:val="24"/>
        </w:rPr>
        <w:t xml:space="preserve">zarządzania ryzykiem oraz </w:t>
      </w:r>
      <w:r w:rsidR="00D411F5" w:rsidRPr="0028093A">
        <w:rPr>
          <w:rFonts w:ascii="Times New Roman" w:hAnsi="Times New Roman" w:cs="Times New Roman"/>
          <w:color w:val="auto"/>
          <w:szCs w:val="24"/>
        </w:rPr>
        <w:t>polityki/</w:t>
      </w:r>
      <w:r w:rsidR="00A02266" w:rsidRPr="0028093A">
        <w:rPr>
          <w:rFonts w:ascii="Times New Roman" w:hAnsi="Times New Roman" w:cs="Times New Roman"/>
          <w:color w:val="auto"/>
          <w:szCs w:val="24"/>
        </w:rPr>
        <w:t xml:space="preserve">strategie </w:t>
      </w:r>
      <w:r w:rsidRPr="0028093A">
        <w:rPr>
          <w:rFonts w:ascii="Times New Roman" w:hAnsi="Times New Roman" w:cs="Times New Roman"/>
          <w:color w:val="auto"/>
          <w:szCs w:val="24"/>
        </w:rPr>
        <w:t xml:space="preserve">zarządzania poszczególnymi rodzajami ryzyka </w:t>
      </w:r>
      <w:r w:rsidR="00A02266" w:rsidRPr="0028093A">
        <w:rPr>
          <w:rFonts w:ascii="Times New Roman" w:hAnsi="Times New Roman" w:cs="Times New Roman"/>
          <w:color w:val="auto"/>
          <w:szCs w:val="24"/>
        </w:rPr>
        <w:t>są</w:t>
      </w:r>
      <w:r w:rsidRPr="0028093A">
        <w:rPr>
          <w:rFonts w:ascii="Times New Roman" w:hAnsi="Times New Roman" w:cs="Times New Roman"/>
          <w:color w:val="auto"/>
          <w:szCs w:val="24"/>
        </w:rPr>
        <w:t xml:space="preserve"> powiązan</w:t>
      </w:r>
      <w:r w:rsidR="00A02266" w:rsidRPr="0028093A">
        <w:rPr>
          <w:rFonts w:ascii="Times New Roman" w:hAnsi="Times New Roman" w:cs="Times New Roman"/>
          <w:color w:val="auto"/>
          <w:szCs w:val="24"/>
        </w:rPr>
        <w:t>e</w:t>
      </w:r>
      <w:r w:rsidRPr="0028093A">
        <w:rPr>
          <w:rFonts w:ascii="Times New Roman" w:hAnsi="Times New Roman" w:cs="Times New Roman"/>
          <w:color w:val="auto"/>
          <w:szCs w:val="24"/>
        </w:rPr>
        <w:t xml:space="preserve"> również z innymi regulacjami o charakterze strategicznym</w:t>
      </w:r>
      <w:r w:rsidR="00F42F77" w:rsidRPr="0028093A">
        <w:rPr>
          <w:rFonts w:ascii="Times New Roman" w:hAnsi="Times New Roman" w:cs="Times New Roman"/>
          <w:color w:val="auto"/>
          <w:szCs w:val="24"/>
        </w:rPr>
        <w:t xml:space="preserve">, </w:t>
      </w:r>
      <w:r w:rsidRPr="0028093A">
        <w:rPr>
          <w:rFonts w:ascii="Times New Roman" w:hAnsi="Times New Roman" w:cs="Times New Roman"/>
          <w:color w:val="auto"/>
          <w:szCs w:val="24"/>
        </w:rPr>
        <w:t xml:space="preserve">np. Planem </w:t>
      </w:r>
      <w:r w:rsidR="00F1693A" w:rsidRPr="0028093A">
        <w:rPr>
          <w:rFonts w:ascii="Times New Roman" w:hAnsi="Times New Roman" w:cs="Times New Roman"/>
          <w:color w:val="auto"/>
          <w:szCs w:val="24"/>
        </w:rPr>
        <w:t>finansowym</w:t>
      </w:r>
      <w:r w:rsidRPr="0028093A">
        <w:rPr>
          <w:rFonts w:ascii="Times New Roman" w:hAnsi="Times New Roman" w:cs="Times New Roman"/>
          <w:color w:val="auto"/>
          <w:szCs w:val="24"/>
        </w:rPr>
        <w:t>, a także zasadami i procedurami szczegółowymi w zakresie zarządzania ryzykiem.</w:t>
      </w:r>
    </w:p>
    <w:p w14:paraId="4D0B6A77" w14:textId="15FE0794" w:rsidR="002C50F6" w:rsidRPr="0028093A" w:rsidRDefault="006F0D80" w:rsidP="000D1C31">
      <w:pPr>
        <w:spacing w:after="47" w:line="276" w:lineRule="auto"/>
        <w:ind w:left="-15" w:right="8" w:firstLine="720"/>
        <w:contextualSpacing/>
        <w:rPr>
          <w:rFonts w:ascii="Times New Roman" w:hAnsi="Times New Roman" w:cs="Times New Roman"/>
          <w:color w:val="auto"/>
          <w:szCs w:val="24"/>
        </w:rPr>
      </w:pPr>
      <w:r>
        <w:rPr>
          <w:rFonts w:ascii="Times New Roman" w:hAnsi="Times New Roman" w:cs="Times New Roman"/>
          <w:color w:val="auto"/>
          <w:szCs w:val="24"/>
        </w:rPr>
        <w:t>Polityki/s</w:t>
      </w:r>
      <w:r w:rsidR="008D66DF" w:rsidRPr="0028093A">
        <w:rPr>
          <w:rFonts w:ascii="Times New Roman" w:hAnsi="Times New Roman" w:cs="Times New Roman"/>
          <w:color w:val="auto"/>
          <w:szCs w:val="24"/>
        </w:rPr>
        <w:t>trategie</w:t>
      </w:r>
      <w:r w:rsidR="00E81BF6" w:rsidRPr="0028093A">
        <w:rPr>
          <w:rFonts w:ascii="Times New Roman" w:hAnsi="Times New Roman" w:cs="Times New Roman"/>
          <w:color w:val="auto"/>
          <w:szCs w:val="24"/>
        </w:rPr>
        <w:t xml:space="preserve"> zarządzania poszczególnymi rodzajami ryzyka zawiera</w:t>
      </w:r>
      <w:r w:rsidR="008D66DF" w:rsidRPr="0028093A">
        <w:rPr>
          <w:rFonts w:ascii="Times New Roman" w:hAnsi="Times New Roman" w:cs="Times New Roman"/>
          <w:color w:val="auto"/>
          <w:szCs w:val="24"/>
        </w:rPr>
        <w:t>ją</w:t>
      </w:r>
      <w:r w:rsidR="00E81BF6" w:rsidRPr="0028093A">
        <w:rPr>
          <w:rFonts w:ascii="Times New Roman" w:hAnsi="Times New Roman" w:cs="Times New Roman"/>
          <w:color w:val="auto"/>
          <w:szCs w:val="24"/>
        </w:rPr>
        <w:t xml:space="preserve"> cele definiujące apetyt na ryzyko Banku, rozumiany jako maksymalny, akceptowalny poziom ryzyka</w:t>
      </w:r>
      <w:r w:rsidR="00F1693A" w:rsidRPr="0028093A">
        <w:rPr>
          <w:rFonts w:ascii="Times New Roman" w:hAnsi="Times New Roman" w:cs="Times New Roman"/>
          <w:color w:val="auto"/>
          <w:szCs w:val="24"/>
        </w:rPr>
        <w:t>,</w:t>
      </w:r>
      <w:r w:rsidR="00E81BF6" w:rsidRPr="0028093A">
        <w:rPr>
          <w:rFonts w:ascii="Times New Roman" w:hAnsi="Times New Roman" w:cs="Times New Roman"/>
          <w:color w:val="auto"/>
          <w:szCs w:val="24"/>
        </w:rPr>
        <w:t xml:space="preserve"> jaki</w:t>
      </w:r>
      <w:r w:rsidR="00F1693A" w:rsidRPr="0028093A">
        <w:rPr>
          <w:rFonts w:ascii="Times New Roman" w:hAnsi="Times New Roman" w:cs="Times New Roman"/>
          <w:color w:val="auto"/>
          <w:szCs w:val="24"/>
        </w:rPr>
        <w:t>e</w:t>
      </w:r>
      <w:r w:rsidR="00E81BF6" w:rsidRPr="0028093A">
        <w:rPr>
          <w:rFonts w:ascii="Times New Roman" w:hAnsi="Times New Roman" w:cs="Times New Roman"/>
          <w:color w:val="auto"/>
          <w:szCs w:val="24"/>
        </w:rPr>
        <w:t xml:space="preserve"> Bank może ponosić.</w:t>
      </w:r>
    </w:p>
    <w:p w14:paraId="4A003C9C" w14:textId="77777777" w:rsidR="002C50F6" w:rsidRPr="0028093A" w:rsidRDefault="00E81BF6" w:rsidP="000D1C31">
      <w:pPr>
        <w:spacing w:after="47" w:line="276" w:lineRule="auto"/>
        <w:ind w:left="-15" w:right="8" w:firstLine="720"/>
        <w:contextualSpacing/>
        <w:rPr>
          <w:rFonts w:ascii="Times New Roman" w:hAnsi="Times New Roman" w:cs="Times New Roman"/>
          <w:color w:val="auto"/>
          <w:szCs w:val="24"/>
        </w:rPr>
      </w:pPr>
      <w:r w:rsidRPr="0028093A">
        <w:rPr>
          <w:rFonts w:ascii="Times New Roman" w:hAnsi="Times New Roman" w:cs="Times New Roman"/>
          <w:color w:val="auto"/>
          <w:szCs w:val="24"/>
        </w:rPr>
        <w:t>Cele definiujące apetyt na ryzyko mają charakter wskaźników ilościowych, w tym limitów wewnętrznych, a także założeń dotyczących zasad zarządzania ryzykiem o charakterze jakościowym.</w:t>
      </w:r>
    </w:p>
    <w:p w14:paraId="60FF112B" w14:textId="77777777" w:rsidR="002C50F6" w:rsidRPr="0028093A" w:rsidRDefault="00E81BF6" w:rsidP="000D1C31">
      <w:pPr>
        <w:spacing w:after="63" w:line="276" w:lineRule="auto"/>
        <w:ind w:left="-15" w:right="8" w:firstLine="720"/>
        <w:contextualSpacing/>
        <w:rPr>
          <w:rFonts w:ascii="Times New Roman" w:hAnsi="Times New Roman" w:cs="Times New Roman"/>
          <w:color w:val="auto"/>
          <w:szCs w:val="24"/>
        </w:rPr>
      </w:pPr>
      <w:r w:rsidRPr="0028093A">
        <w:rPr>
          <w:rFonts w:ascii="Times New Roman" w:hAnsi="Times New Roman" w:cs="Times New Roman"/>
          <w:color w:val="auto"/>
          <w:szCs w:val="24"/>
        </w:rPr>
        <w:t>Zarządzanie ryzykiem jest jednym z najważniejszych procesów wewnętrznych w Banku, ma na celu uzyskanie</w:t>
      </w:r>
      <w:r w:rsidR="00F1693A" w:rsidRPr="0028093A">
        <w:rPr>
          <w:rFonts w:ascii="Times New Roman" w:hAnsi="Times New Roman" w:cs="Times New Roman"/>
          <w:color w:val="auto"/>
          <w:szCs w:val="24"/>
        </w:rPr>
        <w:t>,</w:t>
      </w:r>
      <w:r w:rsidRPr="0028093A">
        <w:rPr>
          <w:rFonts w:ascii="Times New Roman" w:hAnsi="Times New Roman" w:cs="Times New Roman"/>
          <w:color w:val="auto"/>
          <w:szCs w:val="24"/>
        </w:rPr>
        <w:t xml:space="preserve"> w zmieniającym się otoczeniu prawnym i ekonomicznym:</w:t>
      </w:r>
    </w:p>
    <w:p w14:paraId="3442802E" w14:textId="77777777" w:rsidR="002C50F6" w:rsidRPr="0028093A" w:rsidRDefault="00E81BF6" w:rsidP="000D1C31">
      <w:pPr>
        <w:numPr>
          <w:ilvl w:val="0"/>
          <w:numId w:val="3"/>
        </w:numPr>
        <w:spacing w:line="276" w:lineRule="auto"/>
        <w:ind w:right="8" w:hanging="360"/>
        <w:contextualSpacing/>
        <w:rPr>
          <w:rFonts w:ascii="Times New Roman" w:hAnsi="Times New Roman" w:cs="Times New Roman"/>
          <w:color w:val="auto"/>
          <w:szCs w:val="24"/>
        </w:rPr>
      </w:pPr>
      <w:r w:rsidRPr="0028093A">
        <w:rPr>
          <w:rFonts w:ascii="Times New Roman" w:hAnsi="Times New Roman" w:cs="Times New Roman"/>
          <w:color w:val="auto"/>
          <w:szCs w:val="24"/>
        </w:rPr>
        <w:t>odpowiedniego poziomu bezpieczeństwa;</w:t>
      </w:r>
    </w:p>
    <w:p w14:paraId="763C2B37" w14:textId="77777777" w:rsidR="002C50F6" w:rsidRPr="0028093A" w:rsidRDefault="00E81BF6" w:rsidP="000D1C31">
      <w:pPr>
        <w:numPr>
          <w:ilvl w:val="0"/>
          <w:numId w:val="3"/>
        </w:numPr>
        <w:spacing w:line="276" w:lineRule="auto"/>
        <w:ind w:right="8" w:hanging="360"/>
        <w:contextualSpacing/>
        <w:rPr>
          <w:rFonts w:ascii="Times New Roman" w:hAnsi="Times New Roman" w:cs="Times New Roman"/>
          <w:color w:val="auto"/>
          <w:szCs w:val="24"/>
        </w:rPr>
      </w:pPr>
      <w:r w:rsidRPr="0028093A">
        <w:rPr>
          <w:rFonts w:ascii="Times New Roman" w:hAnsi="Times New Roman" w:cs="Times New Roman"/>
          <w:color w:val="auto"/>
          <w:szCs w:val="24"/>
        </w:rPr>
        <w:t>odpowiedniej rentowności działalności biznesowej.</w:t>
      </w:r>
    </w:p>
    <w:p w14:paraId="7D52DA42" w14:textId="77777777" w:rsidR="002C50F6" w:rsidRPr="0028093A" w:rsidRDefault="00E81BF6" w:rsidP="000D1C31">
      <w:pPr>
        <w:spacing w:line="276" w:lineRule="auto"/>
        <w:ind w:left="-5" w:right="8"/>
        <w:contextualSpacing/>
        <w:rPr>
          <w:rFonts w:ascii="Times New Roman" w:hAnsi="Times New Roman" w:cs="Times New Roman"/>
          <w:color w:val="auto"/>
          <w:szCs w:val="24"/>
        </w:rPr>
      </w:pPr>
      <w:r w:rsidRPr="0028093A">
        <w:rPr>
          <w:rFonts w:ascii="Times New Roman" w:hAnsi="Times New Roman" w:cs="Times New Roman"/>
          <w:color w:val="auto"/>
          <w:szCs w:val="24"/>
        </w:rPr>
        <w:t>W celu zapewnienia skutecznego i ostrożnego zarządzania Bankiem</w:t>
      </w:r>
      <w:r w:rsidR="00F1693A" w:rsidRPr="0028093A">
        <w:rPr>
          <w:rFonts w:ascii="Times New Roman" w:hAnsi="Times New Roman" w:cs="Times New Roman"/>
          <w:color w:val="auto"/>
          <w:szCs w:val="24"/>
        </w:rPr>
        <w:t>,</w:t>
      </w:r>
      <w:r w:rsidRPr="0028093A">
        <w:rPr>
          <w:rFonts w:ascii="Times New Roman" w:hAnsi="Times New Roman" w:cs="Times New Roman"/>
          <w:color w:val="auto"/>
          <w:szCs w:val="24"/>
        </w:rPr>
        <w:t xml:space="preserve"> Zarząd Banku:</w:t>
      </w:r>
    </w:p>
    <w:p w14:paraId="6E8C0ACA" w14:textId="77777777" w:rsidR="002C50F6" w:rsidRPr="0028093A" w:rsidRDefault="00E81BF6" w:rsidP="00FD5E9F">
      <w:pPr>
        <w:numPr>
          <w:ilvl w:val="0"/>
          <w:numId w:val="6"/>
        </w:numPr>
        <w:spacing w:after="63" w:line="276" w:lineRule="auto"/>
        <w:ind w:right="8" w:hanging="360"/>
        <w:contextualSpacing/>
        <w:rPr>
          <w:rFonts w:ascii="Times New Roman" w:hAnsi="Times New Roman" w:cs="Times New Roman"/>
          <w:color w:val="auto"/>
          <w:szCs w:val="24"/>
        </w:rPr>
      </w:pPr>
      <w:r w:rsidRPr="0028093A">
        <w:rPr>
          <w:rFonts w:ascii="Times New Roman" w:hAnsi="Times New Roman" w:cs="Times New Roman"/>
          <w:color w:val="auto"/>
          <w:szCs w:val="24"/>
        </w:rPr>
        <w:t>opracowuje i wdraża odpowiednie środowisko zarządzania ryzykiem, obejmujące strukturę organizacyjną, narzędzia wspomagające zarządzanie ryzykiem, system informacji zarządczej, a także odpowiednie zarządzanie kadrami;</w:t>
      </w:r>
    </w:p>
    <w:p w14:paraId="0D86C81E" w14:textId="77777777" w:rsidR="002C50F6" w:rsidRPr="0028093A" w:rsidRDefault="00E81BF6" w:rsidP="00FD5E9F">
      <w:pPr>
        <w:numPr>
          <w:ilvl w:val="0"/>
          <w:numId w:val="6"/>
        </w:numPr>
        <w:spacing w:after="63" w:line="276" w:lineRule="auto"/>
        <w:ind w:right="8" w:hanging="360"/>
        <w:contextualSpacing/>
        <w:rPr>
          <w:rFonts w:ascii="Times New Roman" w:hAnsi="Times New Roman" w:cs="Times New Roman"/>
          <w:color w:val="auto"/>
          <w:szCs w:val="24"/>
        </w:rPr>
      </w:pPr>
      <w:r w:rsidRPr="0028093A">
        <w:rPr>
          <w:rFonts w:ascii="Times New Roman" w:hAnsi="Times New Roman" w:cs="Times New Roman"/>
          <w:color w:val="auto"/>
          <w:szCs w:val="24"/>
        </w:rPr>
        <w:t>kształtuje i dba o odpowiednią kulturę organizacyjną zorientowaną na efektywne zarządzanie ryzykiem;</w:t>
      </w:r>
    </w:p>
    <w:p w14:paraId="06B7ED8F" w14:textId="77777777" w:rsidR="002C50F6" w:rsidRPr="0028093A" w:rsidRDefault="00E81BF6" w:rsidP="00FD5E9F">
      <w:pPr>
        <w:numPr>
          <w:ilvl w:val="0"/>
          <w:numId w:val="6"/>
        </w:numPr>
        <w:spacing w:after="48" w:line="276" w:lineRule="auto"/>
        <w:ind w:right="8" w:hanging="360"/>
        <w:contextualSpacing/>
        <w:rPr>
          <w:rFonts w:ascii="Times New Roman" w:hAnsi="Times New Roman" w:cs="Times New Roman"/>
          <w:color w:val="auto"/>
          <w:szCs w:val="24"/>
        </w:rPr>
      </w:pPr>
      <w:r w:rsidRPr="0028093A">
        <w:rPr>
          <w:rFonts w:ascii="Times New Roman" w:hAnsi="Times New Roman" w:cs="Times New Roman"/>
          <w:color w:val="auto"/>
          <w:szCs w:val="24"/>
        </w:rPr>
        <w:t xml:space="preserve">opracowuje i wdraża sformalizowany proces identyfikacji, pomiaru, </w:t>
      </w:r>
      <w:r w:rsidR="005267E6" w:rsidRPr="0028093A">
        <w:rPr>
          <w:rFonts w:ascii="Times New Roman" w:hAnsi="Times New Roman" w:cs="Times New Roman"/>
          <w:color w:val="auto"/>
          <w:szCs w:val="24"/>
        </w:rPr>
        <w:t xml:space="preserve">monitorowania, </w:t>
      </w:r>
      <w:r w:rsidRPr="0028093A">
        <w:rPr>
          <w:rFonts w:ascii="Times New Roman" w:hAnsi="Times New Roman" w:cs="Times New Roman"/>
          <w:color w:val="auto"/>
          <w:szCs w:val="24"/>
        </w:rPr>
        <w:t>limitowania, raportowania i kontroli podejmowanego ryzyka.</w:t>
      </w:r>
    </w:p>
    <w:p w14:paraId="59214570" w14:textId="77777777" w:rsidR="002C50F6" w:rsidRPr="0028093A" w:rsidRDefault="00E81BF6" w:rsidP="000D1C31">
      <w:pPr>
        <w:spacing w:after="47" w:line="276" w:lineRule="auto"/>
        <w:ind w:left="-15" w:right="8" w:firstLine="720"/>
        <w:contextualSpacing/>
        <w:rPr>
          <w:rFonts w:ascii="Times New Roman" w:hAnsi="Times New Roman" w:cs="Times New Roman"/>
          <w:color w:val="auto"/>
          <w:szCs w:val="24"/>
        </w:rPr>
      </w:pPr>
      <w:r w:rsidRPr="0028093A">
        <w:rPr>
          <w:rFonts w:ascii="Times New Roman" w:hAnsi="Times New Roman" w:cs="Times New Roman"/>
          <w:color w:val="auto"/>
          <w:szCs w:val="24"/>
        </w:rPr>
        <w:t xml:space="preserve">Zasady i mechanizmy tworzące system zarządzania ryzykiem są </w:t>
      </w:r>
      <w:r w:rsidR="00F1693A" w:rsidRPr="0028093A">
        <w:rPr>
          <w:rFonts w:ascii="Times New Roman" w:hAnsi="Times New Roman" w:cs="Times New Roman"/>
          <w:color w:val="auto"/>
          <w:szCs w:val="24"/>
        </w:rPr>
        <w:t>opracowywane i </w:t>
      </w:r>
      <w:r w:rsidRPr="0028093A">
        <w:rPr>
          <w:rFonts w:ascii="Times New Roman" w:hAnsi="Times New Roman" w:cs="Times New Roman"/>
          <w:color w:val="auto"/>
          <w:szCs w:val="24"/>
        </w:rPr>
        <w:t>uchwalane przez Zarząd Banku w formie polityk i procedur.</w:t>
      </w:r>
    </w:p>
    <w:p w14:paraId="6C71C642" w14:textId="77777777" w:rsidR="002C50F6" w:rsidRPr="0028093A" w:rsidRDefault="00E81BF6" w:rsidP="000D1C31">
      <w:pPr>
        <w:spacing w:after="385" w:line="276" w:lineRule="auto"/>
        <w:ind w:left="-15" w:right="8" w:firstLine="720"/>
        <w:contextualSpacing/>
        <w:rPr>
          <w:rFonts w:ascii="Times New Roman" w:hAnsi="Times New Roman" w:cs="Times New Roman"/>
          <w:color w:val="auto"/>
          <w:szCs w:val="24"/>
        </w:rPr>
      </w:pPr>
      <w:r w:rsidRPr="0028093A">
        <w:rPr>
          <w:rFonts w:ascii="Times New Roman" w:hAnsi="Times New Roman" w:cs="Times New Roman"/>
          <w:color w:val="auto"/>
          <w:szCs w:val="24"/>
        </w:rPr>
        <w:lastRenderedPageBreak/>
        <w:t>Rada Nadzorcza Banku sprawuje nadzór nad wprowadzeniem systemu zarządzania oraz ocenia adekwatność i skuteczność tego systemu, w tym ocenia e</w:t>
      </w:r>
      <w:r w:rsidR="00F1693A" w:rsidRPr="0028093A">
        <w:rPr>
          <w:rFonts w:ascii="Times New Roman" w:hAnsi="Times New Roman" w:cs="Times New Roman"/>
          <w:color w:val="auto"/>
          <w:szCs w:val="24"/>
        </w:rPr>
        <w:t>fektywność realizacji polityk i </w:t>
      </w:r>
      <w:r w:rsidRPr="0028093A">
        <w:rPr>
          <w:rFonts w:ascii="Times New Roman" w:hAnsi="Times New Roman" w:cs="Times New Roman"/>
          <w:color w:val="auto"/>
          <w:szCs w:val="24"/>
        </w:rPr>
        <w:t>procedur zarządzania ryzykiem.</w:t>
      </w:r>
    </w:p>
    <w:p w14:paraId="63CFB362" w14:textId="77777777" w:rsidR="006F6928" w:rsidRPr="0028093A" w:rsidRDefault="006F6928" w:rsidP="006F6928">
      <w:pPr>
        <w:spacing w:after="385" w:line="276" w:lineRule="auto"/>
        <w:ind w:left="-15" w:right="8" w:firstLine="720"/>
        <w:contextualSpacing/>
        <w:rPr>
          <w:rFonts w:ascii="Times New Roman" w:hAnsi="Times New Roman" w:cs="Times New Roman"/>
          <w:color w:val="auto"/>
          <w:szCs w:val="24"/>
        </w:rPr>
      </w:pPr>
      <w:r w:rsidRPr="0028093A">
        <w:rPr>
          <w:rFonts w:ascii="Times New Roman" w:hAnsi="Times New Roman" w:cs="Times New Roman"/>
          <w:color w:val="auto"/>
          <w:szCs w:val="24"/>
        </w:rPr>
        <w:t xml:space="preserve">Zgodnie z </w:t>
      </w:r>
      <w:r w:rsidR="00AB4E96" w:rsidRPr="0028093A">
        <w:rPr>
          <w:rFonts w:ascii="Times New Roman" w:hAnsi="Times New Roman" w:cs="Times New Roman"/>
          <w:color w:val="auto"/>
          <w:szCs w:val="24"/>
        </w:rPr>
        <w:t xml:space="preserve">przepisami Ustawy z dnia 11 maja 2017 r. o biegłych rewidentach, firmach audytorskich oraz nadzorze publicznym </w:t>
      </w:r>
      <w:r w:rsidRPr="0028093A">
        <w:rPr>
          <w:rFonts w:ascii="Times New Roman" w:hAnsi="Times New Roman" w:cs="Times New Roman"/>
          <w:color w:val="auto"/>
          <w:szCs w:val="24"/>
        </w:rPr>
        <w:t>Rada Nadzorcza Bank</w:t>
      </w:r>
      <w:r w:rsidR="00AB4E96" w:rsidRPr="0028093A">
        <w:rPr>
          <w:rFonts w:ascii="Times New Roman" w:hAnsi="Times New Roman" w:cs="Times New Roman"/>
          <w:color w:val="auto"/>
          <w:szCs w:val="24"/>
        </w:rPr>
        <w:t>u</w:t>
      </w:r>
      <w:r w:rsidRPr="0028093A">
        <w:rPr>
          <w:rFonts w:ascii="Times New Roman" w:hAnsi="Times New Roman" w:cs="Times New Roman"/>
          <w:color w:val="auto"/>
          <w:szCs w:val="24"/>
        </w:rPr>
        <w:t xml:space="preserve"> WMBS w dniu 19.10</w:t>
      </w:r>
      <w:r w:rsidR="00921F15" w:rsidRPr="0028093A">
        <w:rPr>
          <w:rFonts w:ascii="Times New Roman" w:hAnsi="Times New Roman" w:cs="Times New Roman"/>
          <w:color w:val="auto"/>
          <w:szCs w:val="24"/>
        </w:rPr>
        <w:t>.2017 r. powołała Komitet Audytu</w:t>
      </w:r>
      <w:r w:rsidRPr="0028093A">
        <w:rPr>
          <w:rFonts w:ascii="Times New Roman" w:hAnsi="Times New Roman" w:cs="Times New Roman"/>
          <w:color w:val="auto"/>
          <w:szCs w:val="24"/>
        </w:rPr>
        <w:t>, który jest niezależną komórką Rady Nadzorczej Banku.</w:t>
      </w:r>
    </w:p>
    <w:p w14:paraId="32219589" w14:textId="77777777" w:rsidR="006F6928" w:rsidRPr="0028093A" w:rsidRDefault="006F6928" w:rsidP="00516C26">
      <w:pPr>
        <w:spacing w:after="385" w:line="276" w:lineRule="auto"/>
        <w:ind w:left="-15" w:right="8" w:firstLine="720"/>
        <w:contextualSpacing/>
        <w:rPr>
          <w:rFonts w:ascii="Times New Roman" w:hAnsi="Times New Roman" w:cs="Times New Roman"/>
          <w:color w:val="auto"/>
          <w:szCs w:val="24"/>
        </w:rPr>
      </w:pPr>
      <w:r w:rsidRPr="0028093A">
        <w:rPr>
          <w:rFonts w:ascii="Times New Roman" w:hAnsi="Times New Roman" w:cs="Times New Roman"/>
          <w:color w:val="auto"/>
          <w:szCs w:val="24"/>
        </w:rPr>
        <w:t>Celem Komitetu Audytu jest wspieranie działania Rady Nadzorczej Banku poprzez przedstawianie Radzie Nadzorczej Banku swojego stanowiska, ocen lub rekomendacji, pozwalających na podjęcie stosownych decyzji w obszarach sprawozdawczości finansowej, systemu kontroli wewnętrznej i systemu zarządzania ryzykiem.</w:t>
      </w:r>
    </w:p>
    <w:p w14:paraId="4D7287EE" w14:textId="77777777" w:rsidR="006F6928" w:rsidRPr="0028093A" w:rsidRDefault="006F6928" w:rsidP="006F6928">
      <w:pPr>
        <w:spacing w:after="385" w:line="276" w:lineRule="auto"/>
        <w:ind w:left="-15" w:right="8" w:firstLine="720"/>
        <w:contextualSpacing/>
        <w:rPr>
          <w:rFonts w:ascii="Times New Roman" w:hAnsi="Times New Roman" w:cs="Times New Roman"/>
          <w:color w:val="auto"/>
          <w:szCs w:val="24"/>
        </w:rPr>
      </w:pPr>
      <w:r w:rsidRPr="0028093A">
        <w:rPr>
          <w:rFonts w:ascii="Times New Roman" w:hAnsi="Times New Roman" w:cs="Times New Roman"/>
          <w:color w:val="auto"/>
          <w:szCs w:val="24"/>
        </w:rPr>
        <w:t>Komitet Audytu współpracuje z Zarządem Banku, pracownikami Banku, doradcami zewnętrznymi i biegłymi rewidentami, w celu wypracowania własnego stanowiska, natomiast nie sprawuje bezpośredniej kontroli i nie zastępuje Rady Nadzorczej Banku w wykonywaniu jej czynności statutowych.</w:t>
      </w:r>
    </w:p>
    <w:p w14:paraId="3DD58329" w14:textId="77777777" w:rsidR="002C50F6" w:rsidRPr="0028093A" w:rsidRDefault="00E81BF6" w:rsidP="000D1C31">
      <w:pPr>
        <w:spacing w:line="276" w:lineRule="auto"/>
        <w:ind w:left="-5" w:right="8"/>
        <w:contextualSpacing/>
        <w:rPr>
          <w:rFonts w:ascii="Times New Roman" w:hAnsi="Times New Roman" w:cs="Times New Roman"/>
          <w:color w:val="auto"/>
          <w:szCs w:val="24"/>
        </w:rPr>
      </w:pPr>
      <w:r w:rsidRPr="0028093A">
        <w:rPr>
          <w:rFonts w:ascii="Times New Roman" w:hAnsi="Times New Roman" w:cs="Times New Roman"/>
          <w:color w:val="auto"/>
          <w:szCs w:val="24"/>
        </w:rPr>
        <w:t>Proces zarządzania ryzykiem w Banku obejmuje następujące działania:</w:t>
      </w:r>
    </w:p>
    <w:p w14:paraId="4315A398" w14:textId="77777777" w:rsidR="002C50F6" w:rsidRPr="0028093A" w:rsidRDefault="00E81BF6" w:rsidP="00FD5E9F">
      <w:pPr>
        <w:numPr>
          <w:ilvl w:val="0"/>
          <w:numId w:val="7"/>
        </w:numPr>
        <w:spacing w:after="63" w:line="276" w:lineRule="auto"/>
        <w:ind w:right="8" w:hanging="360"/>
        <w:contextualSpacing/>
        <w:rPr>
          <w:rFonts w:ascii="Times New Roman" w:hAnsi="Times New Roman" w:cs="Times New Roman"/>
          <w:color w:val="auto"/>
          <w:szCs w:val="24"/>
        </w:rPr>
      </w:pPr>
      <w:r w:rsidRPr="0028093A">
        <w:rPr>
          <w:rFonts w:ascii="Times New Roman" w:hAnsi="Times New Roman" w:cs="Times New Roman"/>
          <w:color w:val="auto"/>
          <w:szCs w:val="24"/>
        </w:rPr>
        <w:t>identyfikacja ryzyka – polega na rozpoznaniu aktualnych i potencjalnych źródeł zagrożeń związanych z ryzykiem oraz oszacowaniu wielkości potencjalnego wpływu danego rodzaju ryzyka na sytuację finansową Banku. W ramach identyfikacji ryzyka określane są te rodzaje ryzyka, które uznawane są za istotne w działalności Banku, a także sporządza się prognozy i plany uwzględniające przewidywany poziom ryzyka;</w:t>
      </w:r>
    </w:p>
    <w:p w14:paraId="3031E70B" w14:textId="77777777" w:rsidR="002C50F6" w:rsidRPr="0028093A" w:rsidRDefault="00E81BF6" w:rsidP="00FD5E9F">
      <w:pPr>
        <w:numPr>
          <w:ilvl w:val="0"/>
          <w:numId w:val="7"/>
        </w:numPr>
        <w:spacing w:after="63" w:line="276" w:lineRule="auto"/>
        <w:ind w:right="8" w:hanging="360"/>
        <w:contextualSpacing/>
        <w:rPr>
          <w:rFonts w:ascii="Times New Roman" w:hAnsi="Times New Roman" w:cs="Times New Roman"/>
          <w:color w:val="auto"/>
          <w:szCs w:val="24"/>
        </w:rPr>
      </w:pPr>
      <w:r w:rsidRPr="0028093A">
        <w:rPr>
          <w:rFonts w:ascii="Times New Roman" w:hAnsi="Times New Roman" w:cs="Times New Roman"/>
          <w:color w:val="auto"/>
          <w:szCs w:val="24"/>
        </w:rPr>
        <w:t>pomiar ryzyka – pomiar ryzyka obejmuje definiow</w:t>
      </w:r>
      <w:r w:rsidR="00F1693A" w:rsidRPr="0028093A">
        <w:rPr>
          <w:rFonts w:ascii="Times New Roman" w:hAnsi="Times New Roman" w:cs="Times New Roman"/>
          <w:color w:val="auto"/>
          <w:szCs w:val="24"/>
        </w:rPr>
        <w:t>anie miar ryzyka adekwatnych do </w:t>
      </w:r>
      <w:r w:rsidRPr="0028093A">
        <w:rPr>
          <w:rFonts w:ascii="Times New Roman" w:hAnsi="Times New Roman" w:cs="Times New Roman"/>
          <w:color w:val="auto"/>
          <w:szCs w:val="24"/>
        </w:rPr>
        <w:t>rodzaju, istotności ryzyka i dostępności danych oraz kwantyfikację ryzyka za pomocą ustalonych miar;</w:t>
      </w:r>
    </w:p>
    <w:p w14:paraId="05796F43" w14:textId="77777777" w:rsidR="002C50F6" w:rsidRPr="0028093A" w:rsidRDefault="00E81BF6" w:rsidP="00FD5E9F">
      <w:pPr>
        <w:numPr>
          <w:ilvl w:val="0"/>
          <w:numId w:val="7"/>
        </w:numPr>
        <w:spacing w:after="61" w:line="276" w:lineRule="auto"/>
        <w:ind w:right="8" w:hanging="360"/>
        <w:contextualSpacing/>
        <w:rPr>
          <w:rFonts w:ascii="Times New Roman" w:hAnsi="Times New Roman" w:cs="Times New Roman"/>
          <w:color w:val="auto"/>
          <w:szCs w:val="24"/>
        </w:rPr>
      </w:pPr>
      <w:r w:rsidRPr="0028093A">
        <w:rPr>
          <w:rFonts w:ascii="Times New Roman" w:hAnsi="Times New Roman" w:cs="Times New Roman"/>
          <w:color w:val="auto"/>
          <w:szCs w:val="24"/>
        </w:rPr>
        <w:t>ocena/szacowanie ryzyka - polega na określeniu siły wpływu lub zakresu ryzyka z punktu widzenia realizacji celów zarządzania ryzykiem – w ramach oceny ryzyka przeprowadza się testy warunków skrajnych na podstawie założeń zapewniających rzetelną ocenę ryzyka;</w:t>
      </w:r>
    </w:p>
    <w:p w14:paraId="1EADFDC9" w14:textId="77777777" w:rsidR="002C50F6" w:rsidRPr="0028093A" w:rsidRDefault="00E81BF6" w:rsidP="00FD5E9F">
      <w:pPr>
        <w:numPr>
          <w:ilvl w:val="0"/>
          <w:numId w:val="7"/>
        </w:numPr>
        <w:spacing w:after="63" w:line="276" w:lineRule="auto"/>
        <w:ind w:right="8" w:hanging="360"/>
        <w:contextualSpacing/>
        <w:rPr>
          <w:rFonts w:ascii="Times New Roman" w:hAnsi="Times New Roman" w:cs="Times New Roman"/>
          <w:color w:val="auto"/>
          <w:szCs w:val="24"/>
        </w:rPr>
      </w:pPr>
      <w:r w:rsidRPr="0028093A">
        <w:rPr>
          <w:rFonts w:ascii="Times New Roman" w:hAnsi="Times New Roman" w:cs="Times New Roman"/>
          <w:color w:val="auto"/>
          <w:szCs w:val="24"/>
        </w:rPr>
        <w:t>monitorowanie ryzyka – polega na monitorowaniu odchyleń realizacji od prognoz lub założonych punktów odniesienia (np. limitów, wartośc</w:t>
      </w:r>
      <w:r w:rsidR="00F1693A" w:rsidRPr="0028093A">
        <w:rPr>
          <w:rFonts w:ascii="Times New Roman" w:hAnsi="Times New Roman" w:cs="Times New Roman"/>
          <w:color w:val="auto"/>
          <w:szCs w:val="24"/>
        </w:rPr>
        <w:t>i progowych, planów, pomiarów z </w:t>
      </w:r>
      <w:r w:rsidRPr="0028093A">
        <w:rPr>
          <w:rFonts w:ascii="Times New Roman" w:hAnsi="Times New Roman" w:cs="Times New Roman"/>
          <w:color w:val="auto"/>
          <w:szCs w:val="24"/>
        </w:rPr>
        <w:t>poprzedniego okresu, wydanych rekomendacji i zaleceń) – monitorowanie ryzyka odbywa się z częstotliwością adekwatną do istotności danego rodzaju ryzyka oraz jego zmienności;</w:t>
      </w:r>
    </w:p>
    <w:p w14:paraId="13EDD473" w14:textId="77777777" w:rsidR="002C50F6" w:rsidRPr="0028093A" w:rsidRDefault="00E81BF6" w:rsidP="00FD5E9F">
      <w:pPr>
        <w:numPr>
          <w:ilvl w:val="0"/>
          <w:numId w:val="7"/>
        </w:numPr>
        <w:spacing w:after="63" w:line="276" w:lineRule="auto"/>
        <w:ind w:right="8" w:hanging="360"/>
        <w:contextualSpacing/>
        <w:rPr>
          <w:rFonts w:ascii="Times New Roman" w:hAnsi="Times New Roman" w:cs="Times New Roman"/>
          <w:color w:val="auto"/>
          <w:szCs w:val="24"/>
        </w:rPr>
      </w:pPr>
      <w:r w:rsidRPr="0028093A">
        <w:rPr>
          <w:rFonts w:ascii="Times New Roman" w:hAnsi="Times New Roman" w:cs="Times New Roman"/>
          <w:color w:val="auto"/>
          <w:szCs w:val="24"/>
        </w:rPr>
        <w:t>raportowanie ryzyka – polega na cyklicznym informowaniu organów Banku o wynikach pomiaru ryzyka, podjętych działaniach i rekomendacjach działań. Zakres, częstotli</w:t>
      </w:r>
      <w:r w:rsidR="005267E6" w:rsidRPr="0028093A">
        <w:rPr>
          <w:rFonts w:ascii="Times New Roman" w:hAnsi="Times New Roman" w:cs="Times New Roman"/>
          <w:color w:val="auto"/>
          <w:szCs w:val="24"/>
        </w:rPr>
        <w:t xml:space="preserve">wość oraz forma raportowania </w:t>
      </w:r>
      <w:r w:rsidRPr="0028093A">
        <w:rPr>
          <w:rFonts w:ascii="Times New Roman" w:hAnsi="Times New Roman" w:cs="Times New Roman"/>
          <w:color w:val="auto"/>
          <w:szCs w:val="24"/>
        </w:rPr>
        <w:t xml:space="preserve">dostosowane </w:t>
      </w:r>
      <w:r w:rsidR="005267E6" w:rsidRPr="0028093A">
        <w:rPr>
          <w:rFonts w:ascii="Times New Roman" w:hAnsi="Times New Roman" w:cs="Times New Roman"/>
          <w:color w:val="auto"/>
          <w:szCs w:val="24"/>
        </w:rPr>
        <w:t xml:space="preserve">są </w:t>
      </w:r>
      <w:r w:rsidRPr="0028093A">
        <w:rPr>
          <w:rFonts w:ascii="Times New Roman" w:hAnsi="Times New Roman" w:cs="Times New Roman"/>
          <w:color w:val="auto"/>
          <w:szCs w:val="24"/>
        </w:rPr>
        <w:t>do szczebla zarządczego odbiorców;</w:t>
      </w:r>
    </w:p>
    <w:p w14:paraId="25FBFDBF" w14:textId="41ED824C" w:rsidR="002C50F6" w:rsidRPr="0028093A" w:rsidRDefault="00E81BF6" w:rsidP="00F1693A">
      <w:pPr>
        <w:numPr>
          <w:ilvl w:val="0"/>
          <w:numId w:val="7"/>
        </w:numPr>
        <w:spacing w:after="0" w:line="276" w:lineRule="auto"/>
        <w:ind w:right="8" w:hanging="360"/>
        <w:contextualSpacing/>
        <w:rPr>
          <w:rFonts w:ascii="Times New Roman" w:hAnsi="Times New Roman" w:cs="Times New Roman"/>
          <w:color w:val="auto"/>
          <w:szCs w:val="24"/>
        </w:rPr>
      </w:pPr>
      <w:r w:rsidRPr="0028093A">
        <w:rPr>
          <w:rFonts w:ascii="Times New Roman" w:hAnsi="Times New Roman" w:cs="Times New Roman"/>
          <w:color w:val="auto"/>
          <w:szCs w:val="24"/>
        </w:rPr>
        <w:t>stosowanie mechanizmów kontrolujących i ograniczających ryzyko - zidentyfikowany, zmierzony lub oszacowany poziom ryzyka - polega w szczególności na przyjmowaniu regulacji wewnętrznych, określaniu poziomu tolerancji na ryzy</w:t>
      </w:r>
      <w:r w:rsidR="000E05E1" w:rsidRPr="0028093A">
        <w:rPr>
          <w:rFonts w:ascii="Times New Roman" w:hAnsi="Times New Roman" w:cs="Times New Roman"/>
          <w:color w:val="auto"/>
          <w:szCs w:val="24"/>
        </w:rPr>
        <w:t xml:space="preserve">ko, ustalaniu wysokości limitów i wartości progowych, </w:t>
      </w:r>
      <w:r w:rsidRPr="0028093A">
        <w:rPr>
          <w:rFonts w:ascii="Times New Roman" w:hAnsi="Times New Roman" w:cs="Times New Roman"/>
          <w:color w:val="auto"/>
          <w:szCs w:val="24"/>
        </w:rPr>
        <w:t>wydawaniu zaleceń, podejmowaniu decyzji</w:t>
      </w:r>
      <w:r w:rsidR="00F1693A" w:rsidRPr="0028093A">
        <w:rPr>
          <w:rFonts w:ascii="Times New Roman" w:hAnsi="Times New Roman" w:cs="Times New Roman"/>
          <w:color w:val="auto"/>
          <w:szCs w:val="24"/>
        </w:rPr>
        <w:t xml:space="preserve"> o </w:t>
      </w:r>
      <w:r w:rsidRPr="0028093A">
        <w:rPr>
          <w:rFonts w:ascii="Times New Roman" w:hAnsi="Times New Roman" w:cs="Times New Roman"/>
          <w:color w:val="auto"/>
          <w:szCs w:val="24"/>
        </w:rPr>
        <w:t xml:space="preserve">wykorzystywaniu narzędzi wspierających zarządzanie ryzykiem. </w:t>
      </w:r>
    </w:p>
    <w:p w14:paraId="4F42442E" w14:textId="77777777" w:rsidR="002C50F6" w:rsidRPr="0028093A" w:rsidRDefault="00AB4E96" w:rsidP="000D1C31">
      <w:pPr>
        <w:spacing w:after="63" w:line="276" w:lineRule="auto"/>
        <w:ind w:left="-5" w:right="8"/>
        <w:contextualSpacing/>
        <w:rPr>
          <w:rFonts w:ascii="Times New Roman" w:hAnsi="Times New Roman" w:cs="Times New Roman"/>
          <w:color w:val="auto"/>
          <w:szCs w:val="24"/>
        </w:rPr>
      </w:pPr>
      <w:r w:rsidRPr="0028093A">
        <w:rPr>
          <w:rFonts w:ascii="Times New Roman" w:hAnsi="Times New Roman" w:cs="Times New Roman"/>
          <w:color w:val="auto"/>
          <w:szCs w:val="24"/>
        </w:rPr>
        <w:lastRenderedPageBreak/>
        <w:t>Funkcjonujący w Banku system</w:t>
      </w:r>
      <w:r w:rsidR="00E81BF6" w:rsidRPr="0028093A">
        <w:rPr>
          <w:rFonts w:ascii="Times New Roman" w:hAnsi="Times New Roman" w:cs="Times New Roman"/>
          <w:color w:val="auto"/>
          <w:szCs w:val="24"/>
        </w:rPr>
        <w:t xml:space="preserve"> zarządzania </w:t>
      </w:r>
      <w:r w:rsidRPr="0028093A">
        <w:rPr>
          <w:rFonts w:ascii="Times New Roman" w:hAnsi="Times New Roman" w:cs="Times New Roman"/>
          <w:color w:val="auto"/>
          <w:szCs w:val="24"/>
        </w:rPr>
        <w:t>ryzykiem i system kontroli wewnętrznej</w:t>
      </w:r>
      <w:r w:rsidR="00E81BF6" w:rsidRPr="0028093A">
        <w:rPr>
          <w:rFonts w:ascii="Times New Roman" w:hAnsi="Times New Roman" w:cs="Times New Roman"/>
          <w:color w:val="auto"/>
          <w:szCs w:val="24"/>
        </w:rPr>
        <w:t xml:space="preserve"> jest realizowany w trzech, wzajemnie niezależnych liniach obrony:</w:t>
      </w:r>
    </w:p>
    <w:p w14:paraId="3C3E709A" w14:textId="77777777" w:rsidR="002C50F6" w:rsidRPr="0028093A" w:rsidRDefault="00E81BF6" w:rsidP="00FD5E9F">
      <w:pPr>
        <w:numPr>
          <w:ilvl w:val="0"/>
          <w:numId w:val="8"/>
        </w:numPr>
        <w:spacing w:after="63" w:line="276" w:lineRule="auto"/>
        <w:ind w:right="8" w:hanging="360"/>
        <w:contextualSpacing/>
        <w:rPr>
          <w:rFonts w:ascii="Times New Roman" w:hAnsi="Times New Roman" w:cs="Times New Roman"/>
          <w:color w:val="auto"/>
          <w:szCs w:val="24"/>
        </w:rPr>
      </w:pPr>
      <w:r w:rsidRPr="0028093A">
        <w:rPr>
          <w:rFonts w:ascii="Times New Roman" w:hAnsi="Times New Roman" w:cs="Times New Roman"/>
          <w:color w:val="auto"/>
          <w:szCs w:val="24"/>
        </w:rPr>
        <w:t>pierwsza linia obrony (zarządzanie ryzykiem na pierwszym poziomie) -  którą stanowi bieżące zarządzanie ryzykiem przez wszystkie jednostki i komórki organizacyjne Banku, zapewniające właściwe stosowanie mechanizmów kontroli ryzyka i bieżące zapewnianie zgodności działania z obowiązującymi przepisami prawa, a także regulacjami wewnętrznymi i standardami rynkowymi;</w:t>
      </w:r>
    </w:p>
    <w:p w14:paraId="4272A042" w14:textId="77777777" w:rsidR="002C50F6" w:rsidRPr="0028093A" w:rsidRDefault="00E81BF6" w:rsidP="00FD5E9F">
      <w:pPr>
        <w:numPr>
          <w:ilvl w:val="0"/>
          <w:numId w:val="8"/>
        </w:numPr>
        <w:spacing w:after="64" w:line="276" w:lineRule="auto"/>
        <w:ind w:right="8" w:hanging="360"/>
        <w:contextualSpacing/>
        <w:rPr>
          <w:rFonts w:ascii="Times New Roman" w:hAnsi="Times New Roman" w:cs="Times New Roman"/>
          <w:color w:val="auto"/>
          <w:szCs w:val="24"/>
        </w:rPr>
      </w:pPr>
      <w:r w:rsidRPr="0028093A">
        <w:rPr>
          <w:rFonts w:ascii="Times New Roman" w:hAnsi="Times New Roman" w:cs="Times New Roman"/>
          <w:color w:val="auto"/>
          <w:szCs w:val="24"/>
        </w:rPr>
        <w:t>druga linia obrony (zarządzanie ryzykiem na drugim poziomie) - którą stanowi działanie funkcji kontroli (ryzyka), mającej za zadanie zapewnienie przestrzegania mechanizmów kontrolnych dotyczących w szczególności zarządzania ryzykiem w Banku, która obejmuje stanowiska, grupy ludzi lub jednostki organizacyjne odpowiedzialne za realizację zadań przypisanych tej funkcji, a także komórka ds. zgodności;</w:t>
      </w:r>
    </w:p>
    <w:p w14:paraId="427AD56C" w14:textId="77777777" w:rsidR="002C50F6" w:rsidRPr="0028093A" w:rsidRDefault="00E81BF6" w:rsidP="00FD5E9F">
      <w:pPr>
        <w:numPr>
          <w:ilvl w:val="0"/>
          <w:numId w:val="8"/>
        </w:numPr>
        <w:spacing w:after="420" w:line="276" w:lineRule="auto"/>
        <w:ind w:right="8" w:hanging="360"/>
        <w:contextualSpacing/>
        <w:rPr>
          <w:rFonts w:ascii="Times New Roman" w:hAnsi="Times New Roman" w:cs="Times New Roman"/>
          <w:color w:val="auto"/>
          <w:szCs w:val="24"/>
        </w:rPr>
      </w:pPr>
      <w:r w:rsidRPr="0028093A">
        <w:rPr>
          <w:rFonts w:ascii="Times New Roman" w:hAnsi="Times New Roman" w:cs="Times New Roman"/>
          <w:color w:val="auto"/>
          <w:szCs w:val="24"/>
        </w:rPr>
        <w:t>trzecia linia obrony - którą stanowi audyt wewnętrzny.</w:t>
      </w:r>
    </w:p>
    <w:p w14:paraId="7D5A7B14" w14:textId="77777777" w:rsidR="002C50F6" w:rsidRPr="0028093A" w:rsidRDefault="00562E73" w:rsidP="000D1C31">
      <w:pPr>
        <w:spacing w:after="47" w:line="276" w:lineRule="auto"/>
        <w:ind w:left="-5" w:right="8"/>
        <w:contextualSpacing/>
        <w:rPr>
          <w:rFonts w:ascii="Times New Roman" w:hAnsi="Times New Roman" w:cs="Times New Roman"/>
          <w:color w:val="auto"/>
          <w:szCs w:val="24"/>
        </w:rPr>
      </w:pPr>
      <w:r w:rsidRPr="0028093A">
        <w:rPr>
          <w:rFonts w:ascii="Times New Roman" w:hAnsi="Times New Roman" w:cs="Times New Roman"/>
          <w:color w:val="auto"/>
          <w:szCs w:val="24"/>
        </w:rPr>
        <w:t>B</w:t>
      </w:r>
      <w:r w:rsidR="00E81BF6" w:rsidRPr="0028093A">
        <w:rPr>
          <w:rFonts w:ascii="Times New Roman" w:hAnsi="Times New Roman" w:cs="Times New Roman"/>
          <w:color w:val="auto"/>
          <w:szCs w:val="24"/>
        </w:rPr>
        <w:t>ank zarządza rodzajami ryzyka uznanymi za istotne, zgodnie z obowiązującymi wewnętrznymi regulacjami zarządzania tymi rodzajami ryzyka.</w:t>
      </w:r>
    </w:p>
    <w:p w14:paraId="1330AF38" w14:textId="77777777" w:rsidR="002C50F6" w:rsidRPr="0028093A" w:rsidRDefault="00E81BF6" w:rsidP="000D1C31">
      <w:pPr>
        <w:spacing w:line="276" w:lineRule="auto"/>
        <w:ind w:left="-5" w:right="8"/>
        <w:contextualSpacing/>
        <w:rPr>
          <w:rFonts w:ascii="Times New Roman" w:hAnsi="Times New Roman" w:cs="Times New Roman"/>
          <w:color w:val="auto"/>
          <w:szCs w:val="24"/>
        </w:rPr>
      </w:pPr>
      <w:r w:rsidRPr="0028093A">
        <w:rPr>
          <w:rFonts w:ascii="Times New Roman" w:hAnsi="Times New Roman" w:cs="Times New Roman"/>
          <w:color w:val="auto"/>
          <w:szCs w:val="24"/>
        </w:rPr>
        <w:t>Na system zarządzania każdym rodzajem ryzyka składają się:</w:t>
      </w:r>
    </w:p>
    <w:p w14:paraId="4DBEC20C" w14:textId="77777777" w:rsidR="002C50F6" w:rsidRPr="0028093A" w:rsidRDefault="00E81BF6" w:rsidP="000D1C31">
      <w:pPr>
        <w:numPr>
          <w:ilvl w:val="0"/>
          <w:numId w:val="5"/>
        </w:numPr>
        <w:spacing w:line="276" w:lineRule="auto"/>
        <w:ind w:right="8" w:hanging="360"/>
        <w:contextualSpacing/>
        <w:rPr>
          <w:rFonts w:ascii="Times New Roman" w:hAnsi="Times New Roman" w:cs="Times New Roman"/>
          <w:color w:val="auto"/>
          <w:szCs w:val="24"/>
        </w:rPr>
      </w:pPr>
      <w:r w:rsidRPr="0028093A">
        <w:rPr>
          <w:rFonts w:ascii="Times New Roman" w:hAnsi="Times New Roman" w:cs="Times New Roman"/>
          <w:color w:val="auto"/>
          <w:szCs w:val="24"/>
        </w:rPr>
        <w:t>procedury opisujące zasady zarządzania ryzykiem;</w:t>
      </w:r>
    </w:p>
    <w:p w14:paraId="2A2723DF" w14:textId="77777777" w:rsidR="002C50F6" w:rsidRPr="0028093A" w:rsidRDefault="00E81BF6" w:rsidP="000D1C31">
      <w:pPr>
        <w:numPr>
          <w:ilvl w:val="0"/>
          <w:numId w:val="5"/>
        </w:numPr>
        <w:spacing w:line="276" w:lineRule="auto"/>
        <w:ind w:right="8" w:hanging="360"/>
        <w:contextualSpacing/>
        <w:rPr>
          <w:rFonts w:ascii="Times New Roman" w:hAnsi="Times New Roman" w:cs="Times New Roman"/>
          <w:color w:val="auto"/>
          <w:szCs w:val="24"/>
        </w:rPr>
      </w:pPr>
      <w:r w:rsidRPr="0028093A">
        <w:rPr>
          <w:rFonts w:ascii="Times New Roman" w:hAnsi="Times New Roman" w:cs="Times New Roman"/>
          <w:color w:val="auto"/>
          <w:szCs w:val="24"/>
        </w:rPr>
        <w:t>identyfikacja, pomiar i monitorowanie;</w:t>
      </w:r>
    </w:p>
    <w:p w14:paraId="3A97EFDD" w14:textId="77777777" w:rsidR="002C50F6" w:rsidRPr="0028093A" w:rsidRDefault="00E81BF6" w:rsidP="000D1C31">
      <w:pPr>
        <w:numPr>
          <w:ilvl w:val="0"/>
          <w:numId w:val="5"/>
        </w:numPr>
        <w:spacing w:line="276" w:lineRule="auto"/>
        <w:ind w:right="8" w:hanging="360"/>
        <w:contextualSpacing/>
        <w:rPr>
          <w:rFonts w:ascii="Times New Roman" w:hAnsi="Times New Roman" w:cs="Times New Roman"/>
          <w:color w:val="auto"/>
          <w:szCs w:val="24"/>
        </w:rPr>
      </w:pPr>
      <w:r w:rsidRPr="0028093A">
        <w:rPr>
          <w:rFonts w:ascii="Times New Roman" w:hAnsi="Times New Roman" w:cs="Times New Roman"/>
          <w:color w:val="auto"/>
          <w:szCs w:val="24"/>
        </w:rPr>
        <w:t>system limitów ograniczających ryzyko;</w:t>
      </w:r>
    </w:p>
    <w:p w14:paraId="71D9C08E" w14:textId="77777777" w:rsidR="002C50F6" w:rsidRPr="0028093A" w:rsidRDefault="00E81BF6" w:rsidP="000D1C31">
      <w:pPr>
        <w:numPr>
          <w:ilvl w:val="0"/>
          <w:numId w:val="5"/>
        </w:numPr>
        <w:spacing w:line="276" w:lineRule="auto"/>
        <w:ind w:right="8" w:hanging="360"/>
        <w:contextualSpacing/>
        <w:rPr>
          <w:rFonts w:ascii="Times New Roman" w:hAnsi="Times New Roman" w:cs="Times New Roman"/>
          <w:color w:val="auto"/>
          <w:szCs w:val="24"/>
        </w:rPr>
      </w:pPr>
      <w:r w:rsidRPr="0028093A">
        <w:rPr>
          <w:rFonts w:ascii="Times New Roman" w:hAnsi="Times New Roman" w:cs="Times New Roman"/>
          <w:color w:val="auto"/>
          <w:szCs w:val="24"/>
        </w:rPr>
        <w:t>system informacji zarządczej;</w:t>
      </w:r>
    </w:p>
    <w:p w14:paraId="49BD0E88" w14:textId="77777777" w:rsidR="002C50F6" w:rsidRPr="0028093A" w:rsidRDefault="00E81BF6" w:rsidP="000D1C31">
      <w:pPr>
        <w:numPr>
          <w:ilvl w:val="0"/>
          <w:numId w:val="5"/>
        </w:numPr>
        <w:spacing w:line="276" w:lineRule="auto"/>
        <w:ind w:right="8" w:hanging="360"/>
        <w:contextualSpacing/>
        <w:rPr>
          <w:rFonts w:ascii="Times New Roman" w:hAnsi="Times New Roman" w:cs="Times New Roman"/>
          <w:color w:val="auto"/>
          <w:szCs w:val="24"/>
        </w:rPr>
      </w:pPr>
      <w:r w:rsidRPr="0028093A">
        <w:rPr>
          <w:rFonts w:ascii="Times New Roman" w:hAnsi="Times New Roman" w:cs="Times New Roman"/>
          <w:color w:val="auto"/>
          <w:szCs w:val="24"/>
        </w:rPr>
        <w:t>odpowiednio dostosowana organizacja procesu zarządzania.</w:t>
      </w:r>
    </w:p>
    <w:p w14:paraId="74E3567D" w14:textId="77777777" w:rsidR="002C50F6" w:rsidRPr="0028093A" w:rsidRDefault="00E81BF6" w:rsidP="000D1C31">
      <w:pPr>
        <w:spacing w:line="276" w:lineRule="auto"/>
        <w:ind w:left="-5" w:right="8"/>
        <w:contextualSpacing/>
        <w:rPr>
          <w:rFonts w:ascii="Times New Roman" w:hAnsi="Times New Roman" w:cs="Times New Roman"/>
          <w:color w:val="auto"/>
          <w:szCs w:val="24"/>
        </w:rPr>
      </w:pPr>
      <w:r w:rsidRPr="0028093A">
        <w:rPr>
          <w:rFonts w:ascii="Times New Roman" w:hAnsi="Times New Roman" w:cs="Times New Roman"/>
          <w:color w:val="auto"/>
          <w:szCs w:val="24"/>
        </w:rPr>
        <w:t>Zidentyfikowane ryzyka Bank klasyfikuje jako ryzyka istotne w następujących przypadkach:</w:t>
      </w:r>
    </w:p>
    <w:p w14:paraId="5079E681" w14:textId="77777777" w:rsidR="00AC3327" w:rsidRPr="0028093A" w:rsidRDefault="00E81BF6" w:rsidP="000D1C31">
      <w:pPr>
        <w:numPr>
          <w:ilvl w:val="0"/>
          <w:numId w:val="4"/>
        </w:numPr>
        <w:spacing w:after="63" w:line="276" w:lineRule="auto"/>
        <w:ind w:right="8" w:hanging="360"/>
        <w:contextualSpacing/>
        <w:rPr>
          <w:rFonts w:ascii="Times New Roman" w:hAnsi="Times New Roman" w:cs="Times New Roman"/>
          <w:color w:val="auto"/>
          <w:szCs w:val="24"/>
        </w:rPr>
      </w:pPr>
      <w:r w:rsidRPr="0028093A">
        <w:rPr>
          <w:rFonts w:ascii="Times New Roman" w:hAnsi="Times New Roman" w:cs="Times New Roman"/>
          <w:color w:val="auto"/>
          <w:szCs w:val="24"/>
        </w:rPr>
        <w:t>trwale uznawane za istotne, niezależnie od wielkości straty historycznej lub szacowanej p</w:t>
      </w:r>
      <w:r w:rsidR="00AC3327" w:rsidRPr="0028093A">
        <w:rPr>
          <w:rFonts w:ascii="Times New Roman" w:hAnsi="Times New Roman" w:cs="Times New Roman"/>
          <w:color w:val="auto"/>
          <w:szCs w:val="24"/>
        </w:rPr>
        <w:t xml:space="preserve">rzyszłej straty niespodziewanej </w:t>
      </w:r>
      <w:r w:rsidRPr="0028093A">
        <w:rPr>
          <w:rFonts w:ascii="Times New Roman" w:hAnsi="Times New Roman" w:cs="Times New Roman"/>
          <w:color w:val="auto"/>
          <w:szCs w:val="24"/>
        </w:rPr>
        <w:t xml:space="preserve">należące do grupy </w:t>
      </w:r>
      <w:proofErr w:type="spellStart"/>
      <w:r w:rsidRPr="0028093A">
        <w:rPr>
          <w:rFonts w:ascii="Times New Roman" w:hAnsi="Times New Roman" w:cs="Times New Roman"/>
          <w:color w:val="auto"/>
          <w:szCs w:val="24"/>
        </w:rPr>
        <w:t>ryzyk</w:t>
      </w:r>
      <w:proofErr w:type="spellEnd"/>
      <w:r w:rsidRPr="0028093A">
        <w:rPr>
          <w:rFonts w:ascii="Times New Roman" w:hAnsi="Times New Roman" w:cs="Times New Roman"/>
          <w:color w:val="auto"/>
          <w:szCs w:val="24"/>
        </w:rPr>
        <w:t xml:space="preserve"> objętych wymogami regulacyjnymi zgodnie z art. 92 </w:t>
      </w:r>
      <w:r w:rsidRPr="0028093A">
        <w:rPr>
          <w:rFonts w:ascii="Times New Roman" w:hAnsi="Times New Roman" w:cs="Times New Roman"/>
          <w:i/>
          <w:color w:val="auto"/>
          <w:szCs w:val="24"/>
        </w:rPr>
        <w:t>Rozporządzenia CRR</w:t>
      </w:r>
      <w:r w:rsidRPr="0028093A">
        <w:rPr>
          <w:rFonts w:ascii="Times New Roman" w:hAnsi="Times New Roman" w:cs="Times New Roman"/>
          <w:color w:val="auto"/>
          <w:szCs w:val="24"/>
        </w:rPr>
        <w:t xml:space="preserve"> oraz wymienione w art. 79, 81, 83, 84, 85 i 86 </w:t>
      </w:r>
      <w:r w:rsidRPr="0028093A">
        <w:rPr>
          <w:rFonts w:ascii="Times New Roman" w:hAnsi="Times New Roman" w:cs="Times New Roman"/>
          <w:i/>
          <w:color w:val="auto"/>
          <w:szCs w:val="24"/>
        </w:rPr>
        <w:t>Dyrektywy CRD IV</w:t>
      </w:r>
      <w:r w:rsidRPr="0028093A">
        <w:rPr>
          <w:rFonts w:ascii="Times New Roman" w:hAnsi="Times New Roman" w:cs="Times New Roman"/>
          <w:color w:val="auto"/>
          <w:szCs w:val="24"/>
        </w:rPr>
        <w:t xml:space="preserve"> – ryzyka wymienione w art. 92 Rozporządzenia CRR są podstawowymi dla działalności Banku, stanowią podstawę do wyliczania kapitału regulacyjnego, określającego podstawową prawną normę ostrożnościową</w:t>
      </w:r>
      <w:r w:rsidR="00705968" w:rsidRPr="0028093A">
        <w:rPr>
          <w:rFonts w:ascii="Times New Roman" w:hAnsi="Times New Roman" w:cs="Times New Roman"/>
          <w:color w:val="auto"/>
          <w:szCs w:val="24"/>
        </w:rPr>
        <w:t>,</w:t>
      </w:r>
      <w:r w:rsidRPr="0028093A">
        <w:rPr>
          <w:rFonts w:ascii="Times New Roman" w:hAnsi="Times New Roman" w:cs="Times New Roman"/>
          <w:color w:val="auto"/>
          <w:szCs w:val="24"/>
        </w:rPr>
        <w:t xml:space="preserve"> ogran</w:t>
      </w:r>
      <w:r w:rsidR="00705968" w:rsidRPr="0028093A">
        <w:rPr>
          <w:rFonts w:ascii="Times New Roman" w:hAnsi="Times New Roman" w:cs="Times New Roman"/>
          <w:color w:val="auto"/>
          <w:szCs w:val="24"/>
        </w:rPr>
        <w:t>iczającą ryzyko działania Banku.</w:t>
      </w:r>
      <w:r w:rsidRPr="0028093A">
        <w:rPr>
          <w:rFonts w:ascii="Times New Roman" w:hAnsi="Times New Roman" w:cs="Times New Roman"/>
          <w:color w:val="auto"/>
          <w:szCs w:val="24"/>
        </w:rPr>
        <w:t xml:space="preserve"> </w:t>
      </w:r>
      <w:r w:rsidR="00705968" w:rsidRPr="0028093A">
        <w:rPr>
          <w:rFonts w:ascii="Times New Roman" w:hAnsi="Times New Roman" w:cs="Times New Roman"/>
          <w:color w:val="auto"/>
          <w:szCs w:val="24"/>
        </w:rPr>
        <w:t>R</w:t>
      </w:r>
      <w:r w:rsidRPr="0028093A">
        <w:rPr>
          <w:rFonts w:ascii="Times New Roman" w:hAnsi="Times New Roman" w:cs="Times New Roman"/>
          <w:color w:val="auto"/>
          <w:szCs w:val="24"/>
        </w:rPr>
        <w:t>yzyka podstawowe</w:t>
      </w:r>
      <w:r w:rsidR="00705968" w:rsidRPr="0028093A">
        <w:rPr>
          <w:rFonts w:ascii="Times New Roman" w:hAnsi="Times New Roman" w:cs="Times New Roman"/>
          <w:color w:val="auto"/>
          <w:szCs w:val="24"/>
        </w:rPr>
        <w:t>,</w:t>
      </w:r>
      <w:r w:rsidRPr="0028093A">
        <w:rPr>
          <w:rFonts w:ascii="Times New Roman" w:hAnsi="Times New Roman" w:cs="Times New Roman"/>
          <w:color w:val="auto"/>
          <w:szCs w:val="24"/>
        </w:rPr>
        <w:t xml:space="preserve"> z uwagi na potencjalny duży poziom ryzyka nieodłącznego</w:t>
      </w:r>
      <w:r w:rsidR="00705968" w:rsidRPr="0028093A">
        <w:rPr>
          <w:rFonts w:ascii="Times New Roman" w:hAnsi="Times New Roman" w:cs="Times New Roman"/>
          <w:color w:val="auto"/>
          <w:szCs w:val="24"/>
        </w:rPr>
        <w:t>,</w:t>
      </w:r>
      <w:r w:rsidRPr="0028093A">
        <w:rPr>
          <w:rFonts w:ascii="Times New Roman" w:hAnsi="Times New Roman" w:cs="Times New Roman"/>
          <w:color w:val="auto"/>
          <w:szCs w:val="24"/>
        </w:rPr>
        <w:t xml:space="preserve"> w sytuacjach nagłej zmiany warunków działania mogą stanowić źródł</w:t>
      </w:r>
      <w:r w:rsidR="00927EB8" w:rsidRPr="0028093A">
        <w:rPr>
          <w:rFonts w:ascii="Times New Roman" w:hAnsi="Times New Roman" w:cs="Times New Roman"/>
          <w:color w:val="auto"/>
          <w:szCs w:val="24"/>
        </w:rPr>
        <w:t>o</w:t>
      </w:r>
      <w:r w:rsidR="00705968" w:rsidRPr="0028093A">
        <w:rPr>
          <w:rFonts w:ascii="Times New Roman" w:hAnsi="Times New Roman" w:cs="Times New Roman"/>
          <w:color w:val="auto"/>
          <w:szCs w:val="24"/>
        </w:rPr>
        <w:t xml:space="preserve"> dużych strat niespodziewanych;</w:t>
      </w:r>
    </w:p>
    <w:p w14:paraId="6F8CCEAF" w14:textId="4FBE74B2" w:rsidR="002C50F6" w:rsidRPr="0028093A" w:rsidRDefault="00927EB8" w:rsidP="000D1C31">
      <w:pPr>
        <w:numPr>
          <w:ilvl w:val="0"/>
          <w:numId w:val="4"/>
        </w:numPr>
        <w:spacing w:after="63" w:line="276" w:lineRule="auto"/>
        <w:ind w:right="8" w:hanging="360"/>
        <w:contextualSpacing/>
        <w:rPr>
          <w:rFonts w:ascii="Times New Roman" w:hAnsi="Times New Roman" w:cs="Times New Roman"/>
          <w:color w:val="auto"/>
          <w:szCs w:val="24"/>
        </w:rPr>
      </w:pPr>
      <w:r w:rsidRPr="0028093A">
        <w:rPr>
          <w:rFonts w:ascii="Times New Roman" w:hAnsi="Times New Roman" w:cs="Times New Roman"/>
          <w:color w:val="auto"/>
          <w:szCs w:val="24"/>
        </w:rPr>
        <w:t>W Banku</w:t>
      </w:r>
      <w:r w:rsidR="00705968" w:rsidRPr="0028093A">
        <w:rPr>
          <w:rFonts w:ascii="Times New Roman" w:hAnsi="Times New Roman" w:cs="Times New Roman"/>
          <w:color w:val="auto"/>
          <w:szCs w:val="24"/>
        </w:rPr>
        <w:t>,</w:t>
      </w:r>
      <w:r w:rsidRPr="0028093A">
        <w:rPr>
          <w:rFonts w:ascii="Times New Roman" w:hAnsi="Times New Roman" w:cs="Times New Roman"/>
          <w:color w:val="auto"/>
          <w:szCs w:val="24"/>
        </w:rPr>
        <w:t xml:space="preserve"> zgodnie ze Strategią zarządzania </w:t>
      </w:r>
      <w:proofErr w:type="spellStart"/>
      <w:r w:rsidRPr="0028093A">
        <w:rPr>
          <w:rFonts w:ascii="Times New Roman" w:hAnsi="Times New Roman" w:cs="Times New Roman"/>
          <w:color w:val="auto"/>
          <w:szCs w:val="24"/>
        </w:rPr>
        <w:t>ryzykami</w:t>
      </w:r>
      <w:proofErr w:type="spellEnd"/>
      <w:r w:rsidR="00705968" w:rsidRPr="0028093A">
        <w:rPr>
          <w:rFonts w:ascii="Times New Roman" w:hAnsi="Times New Roman" w:cs="Times New Roman"/>
          <w:color w:val="auto"/>
          <w:szCs w:val="24"/>
        </w:rPr>
        <w:t>,</w:t>
      </w:r>
      <w:r w:rsidRPr="0028093A">
        <w:rPr>
          <w:rFonts w:ascii="Times New Roman" w:hAnsi="Times New Roman" w:cs="Times New Roman"/>
          <w:color w:val="auto"/>
          <w:szCs w:val="24"/>
        </w:rPr>
        <w:t xml:space="preserve"> jako ryzyka istotne uznaje się: ryzyko kredytowe, rynkowe</w:t>
      </w:r>
      <w:r w:rsidR="00EB2430" w:rsidRPr="0028093A">
        <w:rPr>
          <w:rFonts w:ascii="Times New Roman" w:hAnsi="Times New Roman" w:cs="Times New Roman"/>
          <w:color w:val="auto"/>
          <w:szCs w:val="24"/>
        </w:rPr>
        <w:t xml:space="preserve"> (walutowe)</w:t>
      </w:r>
      <w:r w:rsidRPr="0028093A">
        <w:rPr>
          <w:rFonts w:ascii="Times New Roman" w:hAnsi="Times New Roman" w:cs="Times New Roman"/>
          <w:color w:val="auto"/>
          <w:szCs w:val="24"/>
        </w:rPr>
        <w:t>, operacyjne, koncentracj</w:t>
      </w:r>
      <w:r w:rsidR="00705968" w:rsidRPr="0028093A">
        <w:rPr>
          <w:rFonts w:ascii="Times New Roman" w:hAnsi="Times New Roman" w:cs="Times New Roman"/>
          <w:color w:val="auto"/>
          <w:szCs w:val="24"/>
        </w:rPr>
        <w:t>i, płynności, stopy procentowej</w:t>
      </w:r>
      <w:r w:rsidR="00743463" w:rsidRPr="0028093A">
        <w:rPr>
          <w:rFonts w:ascii="Times New Roman" w:hAnsi="Times New Roman" w:cs="Times New Roman"/>
          <w:color w:val="auto"/>
          <w:szCs w:val="24"/>
        </w:rPr>
        <w:t>, braku zgodności</w:t>
      </w:r>
      <w:r w:rsidRPr="0028093A">
        <w:rPr>
          <w:rFonts w:ascii="Times New Roman" w:hAnsi="Times New Roman" w:cs="Times New Roman"/>
          <w:color w:val="auto"/>
          <w:szCs w:val="24"/>
        </w:rPr>
        <w:t xml:space="preserve"> oraz inne ryzyka, które spełniły przyjęte w Instrukcji funkcjonowania procesu oceny adekwatności poziomu kapitału wewnętrznego (ICAAP)</w:t>
      </w:r>
      <w:r w:rsidR="005267E6" w:rsidRPr="0028093A">
        <w:rPr>
          <w:rFonts w:ascii="Times New Roman" w:hAnsi="Times New Roman" w:cs="Times New Roman"/>
          <w:color w:val="auto"/>
          <w:szCs w:val="24"/>
        </w:rPr>
        <w:t>,</w:t>
      </w:r>
      <w:r w:rsidRPr="0028093A">
        <w:rPr>
          <w:rFonts w:ascii="Times New Roman" w:hAnsi="Times New Roman" w:cs="Times New Roman"/>
          <w:color w:val="auto"/>
          <w:szCs w:val="24"/>
        </w:rPr>
        <w:t xml:space="preserve"> kryterium istotności.</w:t>
      </w:r>
    </w:p>
    <w:p w14:paraId="07E1F807" w14:textId="77777777" w:rsidR="00AC3327" w:rsidRPr="0028093A" w:rsidRDefault="00AC3327" w:rsidP="00F373F0">
      <w:pPr>
        <w:spacing w:after="63" w:line="276" w:lineRule="auto"/>
        <w:ind w:left="0" w:right="8" w:firstLine="0"/>
        <w:contextualSpacing/>
        <w:rPr>
          <w:rFonts w:ascii="Times New Roman" w:hAnsi="Times New Roman" w:cs="Times New Roman"/>
          <w:color w:val="auto"/>
          <w:szCs w:val="24"/>
        </w:rPr>
      </w:pPr>
      <w:r w:rsidRPr="0028093A">
        <w:rPr>
          <w:rFonts w:ascii="Times New Roman" w:hAnsi="Times New Roman" w:cs="Times New Roman"/>
          <w:color w:val="auto"/>
          <w:szCs w:val="24"/>
        </w:rPr>
        <w:t>Przy wyliczaniu kapitału wewnętrznego identyfikowane są następujące rodzaje ryzyka występujące w działalności Banku:</w:t>
      </w:r>
    </w:p>
    <w:p w14:paraId="0C3BF492" w14:textId="4B26FB38" w:rsidR="00F373F0" w:rsidRPr="00A10043" w:rsidRDefault="00AC3327" w:rsidP="00F373F0">
      <w:p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1)</w:t>
      </w:r>
      <w:r w:rsidRPr="00A10043">
        <w:rPr>
          <w:rFonts w:ascii="Times New Roman" w:hAnsi="Times New Roman" w:cs="Times New Roman"/>
          <w:color w:val="auto"/>
          <w:szCs w:val="24"/>
        </w:rPr>
        <w:tab/>
      </w:r>
      <w:r w:rsidR="00F373F0" w:rsidRPr="00A10043">
        <w:rPr>
          <w:rFonts w:ascii="Times New Roman" w:hAnsi="Times New Roman" w:cs="Times New Roman"/>
          <w:color w:val="auto"/>
          <w:szCs w:val="24"/>
        </w:rPr>
        <w:t>ryzyko kredytowe;</w:t>
      </w:r>
    </w:p>
    <w:p w14:paraId="73223BF5" w14:textId="77777777" w:rsidR="00F373F0" w:rsidRPr="00A10043" w:rsidRDefault="00F373F0" w:rsidP="00F373F0">
      <w:p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2)</w:t>
      </w:r>
      <w:r w:rsidRPr="00A10043">
        <w:rPr>
          <w:rFonts w:ascii="Times New Roman" w:hAnsi="Times New Roman" w:cs="Times New Roman"/>
          <w:color w:val="auto"/>
          <w:szCs w:val="24"/>
        </w:rPr>
        <w:tab/>
        <w:t xml:space="preserve">ryzyko operacyjne; </w:t>
      </w:r>
    </w:p>
    <w:p w14:paraId="03632BAE" w14:textId="77777777" w:rsidR="00F373F0" w:rsidRPr="00A10043" w:rsidRDefault="00F373F0" w:rsidP="00F373F0">
      <w:p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lastRenderedPageBreak/>
        <w:t>3)</w:t>
      </w:r>
      <w:r w:rsidRPr="00A10043">
        <w:rPr>
          <w:rFonts w:ascii="Times New Roman" w:hAnsi="Times New Roman" w:cs="Times New Roman"/>
          <w:color w:val="auto"/>
          <w:szCs w:val="24"/>
        </w:rPr>
        <w:tab/>
        <w:t>ryzyko rynkowe;</w:t>
      </w:r>
    </w:p>
    <w:p w14:paraId="0E8F677D" w14:textId="77777777" w:rsidR="00F373F0" w:rsidRPr="00A10043" w:rsidRDefault="00F373F0" w:rsidP="00F373F0">
      <w:p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4)</w:t>
      </w:r>
      <w:r w:rsidRPr="00A10043">
        <w:rPr>
          <w:rFonts w:ascii="Times New Roman" w:hAnsi="Times New Roman" w:cs="Times New Roman"/>
          <w:color w:val="auto"/>
          <w:szCs w:val="24"/>
        </w:rPr>
        <w:tab/>
        <w:t>ryzyko koncentracji;</w:t>
      </w:r>
    </w:p>
    <w:p w14:paraId="2E81DF82" w14:textId="77777777" w:rsidR="00F373F0" w:rsidRPr="00A10043" w:rsidRDefault="00F373F0" w:rsidP="00F373F0">
      <w:p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5)</w:t>
      </w:r>
      <w:r w:rsidRPr="00A10043">
        <w:rPr>
          <w:rFonts w:ascii="Times New Roman" w:hAnsi="Times New Roman" w:cs="Times New Roman"/>
          <w:color w:val="auto"/>
          <w:szCs w:val="24"/>
        </w:rPr>
        <w:tab/>
        <w:t xml:space="preserve">ryzyko koncentracji znacznych </w:t>
      </w:r>
      <w:proofErr w:type="spellStart"/>
      <w:r w:rsidRPr="00A10043">
        <w:rPr>
          <w:rFonts w:ascii="Times New Roman" w:hAnsi="Times New Roman" w:cs="Times New Roman"/>
          <w:color w:val="auto"/>
          <w:szCs w:val="24"/>
        </w:rPr>
        <w:t>zaangażowań</w:t>
      </w:r>
      <w:proofErr w:type="spellEnd"/>
      <w:r w:rsidRPr="00A10043">
        <w:rPr>
          <w:rFonts w:ascii="Times New Roman" w:hAnsi="Times New Roman" w:cs="Times New Roman"/>
          <w:color w:val="auto"/>
          <w:szCs w:val="24"/>
        </w:rPr>
        <w:t xml:space="preserve"> kapitałowych;</w:t>
      </w:r>
    </w:p>
    <w:p w14:paraId="47684170" w14:textId="77777777" w:rsidR="00F373F0" w:rsidRPr="00A10043" w:rsidRDefault="00F373F0" w:rsidP="00F373F0">
      <w:p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6)</w:t>
      </w:r>
      <w:r w:rsidRPr="00A10043">
        <w:rPr>
          <w:rFonts w:ascii="Times New Roman" w:hAnsi="Times New Roman" w:cs="Times New Roman"/>
          <w:color w:val="auto"/>
          <w:szCs w:val="24"/>
        </w:rPr>
        <w:tab/>
        <w:t xml:space="preserve">ryzyko stopy procentowej w księdze bankowej; </w:t>
      </w:r>
    </w:p>
    <w:p w14:paraId="05A33CE8" w14:textId="77777777" w:rsidR="00F373F0" w:rsidRPr="00A10043" w:rsidRDefault="00F373F0" w:rsidP="00F373F0">
      <w:p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7)</w:t>
      </w:r>
      <w:r w:rsidRPr="00A10043">
        <w:rPr>
          <w:rFonts w:ascii="Times New Roman" w:hAnsi="Times New Roman" w:cs="Times New Roman"/>
          <w:color w:val="auto"/>
          <w:szCs w:val="24"/>
        </w:rPr>
        <w:tab/>
        <w:t>ryzyko płynności wraz z ryzykiem finansowania;</w:t>
      </w:r>
    </w:p>
    <w:p w14:paraId="6264543D" w14:textId="77777777" w:rsidR="00F373F0" w:rsidRPr="00A10043" w:rsidRDefault="00F373F0" w:rsidP="00F373F0">
      <w:p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8)</w:t>
      </w:r>
      <w:r w:rsidRPr="00A10043">
        <w:rPr>
          <w:rFonts w:ascii="Times New Roman" w:hAnsi="Times New Roman" w:cs="Times New Roman"/>
          <w:color w:val="auto"/>
          <w:szCs w:val="24"/>
        </w:rPr>
        <w:tab/>
        <w:t>ryzyko cyklu gospodarczego;</w:t>
      </w:r>
    </w:p>
    <w:p w14:paraId="3E009EB2" w14:textId="77777777" w:rsidR="00F373F0" w:rsidRPr="00A10043" w:rsidRDefault="00F373F0" w:rsidP="00F373F0">
      <w:p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9)</w:t>
      </w:r>
      <w:r w:rsidRPr="00A10043">
        <w:rPr>
          <w:rFonts w:ascii="Times New Roman" w:hAnsi="Times New Roman" w:cs="Times New Roman"/>
          <w:color w:val="auto"/>
          <w:szCs w:val="24"/>
        </w:rPr>
        <w:tab/>
        <w:t>ryzyko wyniku finansowego;</w:t>
      </w:r>
    </w:p>
    <w:p w14:paraId="38D4FA24" w14:textId="77777777" w:rsidR="00F373F0" w:rsidRPr="00A10043" w:rsidRDefault="00F373F0" w:rsidP="00F373F0">
      <w:p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10)</w:t>
      </w:r>
      <w:r w:rsidRPr="00A10043">
        <w:rPr>
          <w:rFonts w:ascii="Times New Roman" w:hAnsi="Times New Roman" w:cs="Times New Roman"/>
          <w:color w:val="auto"/>
          <w:szCs w:val="24"/>
        </w:rPr>
        <w:tab/>
        <w:t>ryzyko kapitałowe;</w:t>
      </w:r>
    </w:p>
    <w:p w14:paraId="5D8D0AFF" w14:textId="77777777" w:rsidR="00F373F0" w:rsidRPr="00A10043" w:rsidRDefault="00F373F0" w:rsidP="00F373F0">
      <w:p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11)</w:t>
      </w:r>
      <w:r w:rsidRPr="00A10043">
        <w:rPr>
          <w:rFonts w:ascii="Times New Roman" w:hAnsi="Times New Roman" w:cs="Times New Roman"/>
          <w:color w:val="auto"/>
          <w:szCs w:val="24"/>
        </w:rPr>
        <w:tab/>
        <w:t>ryzyko strategiczne;</w:t>
      </w:r>
    </w:p>
    <w:p w14:paraId="76FD4D56" w14:textId="6E8CC417" w:rsidR="00EB2430" w:rsidRPr="00A10043" w:rsidRDefault="00EB2430" w:rsidP="00EB2430">
      <w:p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12)</w:t>
      </w:r>
      <w:r w:rsidRPr="00A10043">
        <w:rPr>
          <w:rFonts w:ascii="Times New Roman" w:hAnsi="Times New Roman" w:cs="Times New Roman"/>
          <w:color w:val="auto"/>
          <w:szCs w:val="24"/>
        </w:rPr>
        <w:tab/>
        <w:t xml:space="preserve">ryzyko </w:t>
      </w:r>
      <w:r w:rsidR="00F373F0" w:rsidRPr="00A10043">
        <w:rPr>
          <w:rFonts w:ascii="Times New Roman" w:hAnsi="Times New Roman" w:cs="Times New Roman"/>
          <w:color w:val="auto"/>
          <w:szCs w:val="24"/>
        </w:rPr>
        <w:t>reputacji;</w:t>
      </w:r>
    </w:p>
    <w:p w14:paraId="294B9D45" w14:textId="20009A5D" w:rsidR="00EB2430" w:rsidRPr="00A10043" w:rsidRDefault="00EB2430" w:rsidP="00EB2430">
      <w:p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13)   ryzyko inwestycji finansowych;</w:t>
      </w:r>
    </w:p>
    <w:p w14:paraId="1DAEA707" w14:textId="6387F5D3" w:rsidR="00F373F0" w:rsidRPr="00A10043" w:rsidRDefault="00EB2430" w:rsidP="00F373F0">
      <w:p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14</w:t>
      </w:r>
      <w:r w:rsidR="00F373F0" w:rsidRPr="00A10043">
        <w:rPr>
          <w:rFonts w:ascii="Times New Roman" w:hAnsi="Times New Roman" w:cs="Times New Roman"/>
          <w:color w:val="auto"/>
          <w:szCs w:val="24"/>
        </w:rPr>
        <w:t>)</w:t>
      </w:r>
      <w:r w:rsidR="00F373F0" w:rsidRPr="00A10043">
        <w:rPr>
          <w:rFonts w:ascii="Times New Roman" w:hAnsi="Times New Roman" w:cs="Times New Roman"/>
          <w:color w:val="auto"/>
          <w:szCs w:val="24"/>
        </w:rPr>
        <w:tab/>
        <w:t>ryzyko transferowe;</w:t>
      </w:r>
    </w:p>
    <w:p w14:paraId="504A682C" w14:textId="673E6B58" w:rsidR="00F373F0" w:rsidRPr="00A10043" w:rsidRDefault="00EB2430" w:rsidP="00F373F0">
      <w:p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15</w:t>
      </w:r>
      <w:r w:rsidR="00F373F0" w:rsidRPr="00A10043">
        <w:rPr>
          <w:rFonts w:ascii="Times New Roman" w:hAnsi="Times New Roman" w:cs="Times New Roman"/>
          <w:color w:val="auto"/>
          <w:szCs w:val="24"/>
        </w:rPr>
        <w:t>)</w:t>
      </w:r>
      <w:r w:rsidR="00F373F0" w:rsidRPr="00A10043">
        <w:rPr>
          <w:rFonts w:ascii="Times New Roman" w:hAnsi="Times New Roman" w:cs="Times New Roman"/>
          <w:color w:val="auto"/>
          <w:szCs w:val="24"/>
        </w:rPr>
        <w:tab/>
        <w:t>ryzyko rezydualne;</w:t>
      </w:r>
    </w:p>
    <w:p w14:paraId="518B3567" w14:textId="4FAF688E" w:rsidR="00F373F0" w:rsidRPr="00A10043" w:rsidRDefault="00EB2430" w:rsidP="00F373F0">
      <w:p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16</w:t>
      </w:r>
      <w:r w:rsidR="00F373F0" w:rsidRPr="00A10043">
        <w:rPr>
          <w:rFonts w:ascii="Times New Roman" w:hAnsi="Times New Roman" w:cs="Times New Roman"/>
          <w:color w:val="auto"/>
          <w:szCs w:val="24"/>
        </w:rPr>
        <w:t>)</w:t>
      </w:r>
      <w:r w:rsidR="00F373F0" w:rsidRPr="00A10043">
        <w:rPr>
          <w:rFonts w:ascii="Times New Roman" w:hAnsi="Times New Roman" w:cs="Times New Roman"/>
          <w:color w:val="auto"/>
          <w:szCs w:val="24"/>
        </w:rPr>
        <w:tab/>
        <w:t>ryzyko prawne;</w:t>
      </w:r>
    </w:p>
    <w:p w14:paraId="174AE47C" w14:textId="20D9CB51" w:rsidR="00EB2430" w:rsidRPr="00A10043" w:rsidRDefault="00EB2430" w:rsidP="00F373F0">
      <w:p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17)   ryzyko IT:</w:t>
      </w:r>
    </w:p>
    <w:p w14:paraId="648C8CF4" w14:textId="03CA2053" w:rsidR="00F373F0" w:rsidRPr="00A10043" w:rsidRDefault="00EB2430" w:rsidP="00F373F0">
      <w:p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18</w:t>
      </w:r>
      <w:r w:rsidR="00F373F0" w:rsidRPr="00A10043">
        <w:rPr>
          <w:rFonts w:ascii="Times New Roman" w:hAnsi="Times New Roman" w:cs="Times New Roman"/>
          <w:color w:val="auto"/>
          <w:szCs w:val="24"/>
        </w:rPr>
        <w:t>)</w:t>
      </w:r>
      <w:r w:rsidR="00F373F0" w:rsidRPr="00A10043">
        <w:rPr>
          <w:rFonts w:ascii="Times New Roman" w:hAnsi="Times New Roman" w:cs="Times New Roman"/>
          <w:color w:val="auto"/>
          <w:szCs w:val="24"/>
        </w:rPr>
        <w:tab/>
        <w:t>ryzyko mode</w:t>
      </w:r>
      <w:r w:rsidRPr="00A10043">
        <w:rPr>
          <w:rFonts w:ascii="Times New Roman" w:hAnsi="Times New Roman" w:cs="Times New Roman"/>
          <w:color w:val="auto"/>
          <w:szCs w:val="24"/>
        </w:rPr>
        <w:t>lu</w:t>
      </w:r>
      <w:r w:rsidR="00F373F0" w:rsidRPr="00A10043">
        <w:rPr>
          <w:rFonts w:ascii="Times New Roman" w:hAnsi="Times New Roman" w:cs="Times New Roman"/>
          <w:color w:val="auto"/>
          <w:szCs w:val="24"/>
        </w:rPr>
        <w:t>;</w:t>
      </w:r>
    </w:p>
    <w:p w14:paraId="7F0852FD" w14:textId="4058F9D8" w:rsidR="00F373F0" w:rsidRPr="00A10043" w:rsidRDefault="00EB2430" w:rsidP="00F373F0">
      <w:p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19</w:t>
      </w:r>
      <w:r w:rsidR="00F373F0" w:rsidRPr="00A10043">
        <w:rPr>
          <w:rFonts w:ascii="Times New Roman" w:hAnsi="Times New Roman" w:cs="Times New Roman"/>
          <w:color w:val="auto"/>
          <w:szCs w:val="24"/>
        </w:rPr>
        <w:t>)</w:t>
      </w:r>
      <w:r w:rsidR="00F373F0" w:rsidRPr="00A10043">
        <w:rPr>
          <w:rFonts w:ascii="Times New Roman" w:hAnsi="Times New Roman" w:cs="Times New Roman"/>
          <w:color w:val="auto"/>
          <w:szCs w:val="24"/>
        </w:rPr>
        <w:tab/>
        <w:t>ryzyko braku zgodności;</w:t>
      </w:r>
    </w:p>
    <w:p w14:paraId="6147DE18" w14:textId="77777777" w:rsidR="00A10043" w:rsidRPr="00A10043" w:rsidRDefault="00EB2430" w:rsidP="00F373F0">
      <w:p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20</w:t>
      </w:r>
      <w:r w:rsidR="00F373F0" w:rsidRPr="00A10043">
        <w:rPr>
          <w:rFonts w:ascii="Times New Roman" w:hAnsi="Times New Roman" w:cs="Times New Roman"/>
          <w:color w:val="auto"/>
          <w:szCs w:val="24"/>
        </w:rPr>
        <w:t>)</w:t>
      </w:r>
      <w:r w:rsidR="00F373F0" w:rsidRPr="00A10043">
        <w:rPr>
          <w:rFonts w:ascii="Times New Roman" w:hAnsi="Times New Roman" w:cs="Times New Roman"/>
          <w:color w:val="auto"/>
          <w:szCs w:val="24"/>
        </w:rPr>
        <w:tab/>
        <w:t>ryzyko nadmiernej dźwigni</w:t>
      </w:r>
      <w:r w:rsidR="00A10043" w:rsidRPr="00A10043">
        <w:rPr>
          <w:rFonts w:ascii="Times New Roman" w:hAnsi="Times New Roman" w:cs="Times New Roman"/>
          <w:color w:val="auto"/>
          <w:szCs w:val="24"/>
        </w:rPr>
        <w:t>,</w:t>
      </w:r>
    </w:p>
    <w:p w14:paraId="1C10C644" w14:textId="6C3DC3A1" w:rsidR="00F373F0" w:rsidRPr="00A10043" w:rsidRDefault="00A10043" w:rsidP="00F373F0">
      <w:p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21)   ryzyko inwestycji kapitałowych</w:t>
      </w:r>
      <w:r w:rsidR="00F373F0" w:rsidRPr="00A10043">
        <w:rPr>
          <w:rFonts w:ascii="Times New Roman" w:hAnsi="Times New Roman" w:cs="Times New Roman"/>
          <w:color w:val="auto"/>
          <w:szCs w:val="24"/>
        </w:rPr>
        <w:t>.</w:t>
      </w:r>
    </w:p>
    <w:p w14:paraId="41A5B58B" w14:textId="0A2D658A" w:rsidR="002C50F6" w:rsidRPr="00A10043" w:rsidRDefault="00E81BF6" w:rsidP="00F373F0">
      <w:pPr>
        <w:spacing w:after="63" w:line="276" w:lineRule="auto"/>
        <w:ind w:left="0" w:right="8" w:firstLine="0"/>
        <w:contextualSpacing/>
        <w:rPr>
          <w:rFonts w:ascii="Times New Roman" w:hAnsi="Times New Roman" w:cs="Times New Roman"/>
          <w:color w:val="auto"/>
          <w:szCs w:val="24"/>
        </w:rPr>
      </w:pPr>
      <w:r w:rsidRPr="00A10043">
        <w:rPr>
          <w:rFonts w:ascii="Times New Roman" w:hAnsi="Times New Roman" w:cs="Times New Roman"/>
          <w:color w:val="auto"/>
          <w:szCs w:val="24"/>
        </w:rPr>
        <w:t>Procedury zarządzania poszczególnymi rodzajami</w:t>
      </w:r>
      <w:r w:rsidR="00705968" w:rsidRPr="00A10043">
        <w:rPr>
          <w:rFonts w:ascii="Times New Roman" w:hAnsi="Times New Roman" w:cs="Times New Roman"/>
          <w:color w:val="auto"/>
          <w:szCs w:val="24"/>
        </w:rPr>
        <w:t xml:space="preserve"> ryzyka podlegają przeglądowi i </w:t>
      </w:r>
      <w:r w:rsidRPr="00A10043">
        <w:rPr>
          <w:rFonts w:ascii="Times New Roman" w:hAnsi="Times New Roman" w:cs="Times New Roman"/>
          <w:color w:val="auto"/>
          <w:szCs w:val="24"/>
        </w:rPr>
        <w:t>aktualizacji w</w:t>
      </w:r>
      <w:r w:rsidR="00A068AD" w:rsidRPr="00A10043">
        <w:rPr>
          <w:rFonts w:ascii="Times New Roman" w:hAnsi="Times New Roman" w:cs="Times New Roman"/>
          <w:color w:val="auto"/>
          <w:szCs w:val="24"/>
        </w:rPr>
        <w:t> </w:t>
      </w:r>
      <w:r w:rsidRPr="00A10043">
        <w:rPr>
          <w:rFonts w:ascii="Times New Roman" w:hAnsi="Times New Roman" w:cs="Times New Roman"/>
          <w:color w:val="auto"/>
          <w:szCs w:val="24"/>
        </w:rPr>
        <w:t xml:space="preserve">cyklach rocznych pod względem dostosowania ich do aktualnych przepisów prawa, przy uwzględnieniu zmian w skali działalności Banku oraz zmian organizacyjnych. Wnioski z przeglądu prezentowane są </w:t>
      </w:r>
      <w:r w:rsidR="00516C26" w:rsidRPr="00A10043">
        <w:rPr>
          <w:rFonts w:ascii="Times New Roman" w:hAnsi="Times New Roman" w:cs="Times New Roman"/>
          <w:color w:val="auto"/>
          <w:szCs w:val="24"/>
        </w:rPr>
        <w:t xml:space="preserve">odpowiednio Zarządowi Banku </w:t>
      </w:r>
      <w:r w:rsidR="00A068AD" w:rsidRPr="00A10043">
        <w:rPr>
          <w:rFonts w:ascii="Times New Roman" w:hAnsi="Times New Roman" w:cs="Times New Roman"/>
          <w:color w:val="auto"/>
          <w:szCs w:val="24"/>
        </w:rPr>
        <w:t xml:space="preserve">i </w:t>
      </w:r>
      <w:r w:rsidRPr="00A10043">
        <w:rPr>
          <w:rFonts w:ascii="Times New Roman" w:hAnsi="Times New Roman" w:cs="Times New Roman"/>
          <w:color w:val="auto"/>
          <w:szCs w:val="24"/>
        </w:rPr>
        <w:t xml:space="preserve">Radzie Nadzorczej Banku </w:t>
      </w:r>
      <w:r w:rsidR="00516C26" w:rsidRPr="00A10043">
        <w:rPr>
          <w:rFonts w:ascii="Times New Roman" w:hAnsi="Times New Roman" w:cs="Times New Roman"/>
          <w:color w:val="auto"/>
          <w:szCs w:val="24"/>
        </w:rPr>
        <w:t xml:space="preserve">(za pośrednictwem Komitetu Audytu) </w:t>
      </w:r>
      <w:r w:rsidRPr="00A10043">
        <w:rPr>
          <w:rFonts w:ascii="Times New Roman" w:hAnsi="Times New Roman" w:cs="Times New Roman"/>
          <w:color w:val="auto"/>
          <w:szCs w:val="24"/>
        </w:rPr>
        <w:t>oraz przekazywane do odpowiednich komórek organizacyjnych Banku, celem ewentualnego uaktualnienia zasad zarządzania poszczególnymi rodzajami ryzyka.</w:t>
      </w:r>
    </w:p>
    <w:p w14:paraId="0D325A35" w14:textId="77777777" w:rsidR="002C50F6" w:rsidRPr="00A10043" w:rsidRDefault="00E81BF6" w:rsidP="000D1C31">
      <w:pPr>
        <w:spacing w:line="276" w:lineRule="auto"/>
        <w:ind w:left="-5" w:right="8"/>
        <w:contextualSpacing/>
        <w:rPr>
          <w:rFonts w:ascii="Times New Roman" w:hAnsi="Times New Roman" w:cs="Times New Roman"/>
          <w:color w:val="auto"/>
          <w:szCs w:val="24"/>
        </w:rPr>
      </w:pPr>
      <w:r w:rsidRPr="00A10043">
        <w:rPr>
          <w:rFonts w:ascii="Times New Roman" w:hAnsi="Times New Roman" w:cs="Times New Roman"/>
          <w:color w:val="auto"/>
          <w:szCs w:val="24"/>
        </w:rPr>
        <w:t>W procesie zarządzania poszczególnymi rodzajami ryzyka uczestniczą:</w:t>
      </w:r>
    </w:p>
    <w:p w14:paraId="5FBB6C62" w14:textId="77777777" w:rsidR="002C50F6" w:rsidRPr="00A10043" w:rsidRDefault="00E81BF6" w:rsidP="00FD5E9F">
      <w:pPr>
        <w:numPr>
          <w:ilvl w:val="0"/>
          <w:numId w:val="9"/>
        </w:numPr>
        <w:spacing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Rada Nadzorcza Banku;</w:t>
      </w:r>
    </w:p>
    <w:p w14:paraId="3439D03B" w14:textId="77777777" w:rsidR="002C50F6" w:rsidRPr="00A10043" w:rsidRDefault="00E81BF6" w:rsidP="00FD5E9F">
      <w:pPr>
        <w:numPr>
          <w:ilvl w:val="0"/>
          <w:numId w:val="9"/>
        </w:numPr>
        <w:spacing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Zarząd Banku;</w:t>
      </w:r>
    </w:p>
    <w:p w14:paraId="28F63F1A" w14:textId="77777777" w:rsidR="002C50F6" w:rsidRPr="00A10043" w:rsidRDefault="00E81BF6" w:rsidP="00FD5E9F">
      <w:pPr>
        <w:numPr>
          <w:ilvl w:val="0"/>
          <w:numId w:val="9"/>
        </w:numPr>
        <w:spacing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pozostałe komórki organizacyjne odpowiedzialne za:</w:t>
      </w:r>
    </w:p>
    <w:p w14:paraId="09DF8FDB" w14:textId="77777777" w:rsidR="002C50F6" w:rsidRPr="00A10043" w:rsidRDefault="00E81BF6" w:rsidP="00FD5E9F">
      <w:pPr>
        <w:numPr>
          <w:ilvl w:val="1"/>
          <w:numId w:val="9"/>
        </w:numPr>
        <w:spacing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wypełnianie obowiązków sprawozdawczych dla odbiorców zewnętrznych;</w:t>
      </w:r>
    </w:p>
    <w:p w14:paraId="609E7C01" w14:textId="77777777" w:rsidR="002C50F6" w:rsidRPr="00A10043" w:rsidRDefault="00E81BF6" w:rsidP="00FD5E9F">
      <w:pPr>
        <w:numPr>
          <w:ilvl w:val="1"/>
          <w:numId w:val="9"/>
        </w:numPr>
        <w:spacing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sprzedaż produktów bankowych;</w:t>
      </w:r>
    </w:p>
    <w:p w14:paraId="3B081C16" w14:textId="77777777" w:rsidR="002C50F6" w:rsidRPr="00A10043" w:rsidRDefault="00E81BF6" w:rsidP="00FD5E9F">
      <w:pPr>
        <w:numPr>
          <w:ilvl w:val="1"/>
          <w:numId w:val="9"/>
        </w:numPr>
        <w:spacing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zarządzanie nadwyżkami środków;</w:t>
      </w:r>
    </w:p>
    <w:p w14:paraId="412A5D25" w14:textId="77777777" w:rsidR="002C50F6" w:rsidRPr="00A10043" w:rsidRDefault="00E81BF6" w:rsidP="00FD5E9F">
      <w:pPr>
        <w:numPr>
          <w:ilvl w:val="1"/>
          <w:numId w:val="9"/>
        </w:numPr>
        <w:spacing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identyfikację i akceptację ryzyka kredytowego dla pojedynczych transakcji;</w:t>
      </w:r>
    </w:p>
    <w:p w14:paraId="11443687" w14:textId="77777777" w:rsidR="002C50F6" w:rsidRPr="00A10043" w:rsidRDefault="00E81BF6" w:rsidP="00FD5E9F">
      <w:pPr>
        <w:numPr>
          <w:ilvl w:val="1"/>
          <w:numId w:val="9"/>
        </w:numPr>
        <w:spacing w:after="254"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pomiar, monitorowanie i kontrolę poszczególnych rodzajów ryzyka bankowego.</w:t>
      </w:r>
    </w:p>
    <w:p w14:paraId="00EC839B" w14:textId="77777777" w:rsidR="002C50F6" w:rsidRPr="00A10043" w:rsidRDefault="00E81BF6" w:rsidP="000D1C31">
      <w:pPr>
        <w:spacing w:after="47" w:line="276" w:lineRule="auto"/>
        <w:ind w:left="-5" w:right="8"/>
        <w:contextualSpacing/>
        <w:rPr>
          <w:rFonts w:ascii="Times New Roman" w:hAnsi="Times New Roman" w:cs="Times New Roman"/>
          <w:color w:val="auto"/>
          <w:szCs w:val="24"/>
        </w:rPr>
      </w:pPr>
      <w:r w:rsidRPr="00A10043">
        <w:rPr>
          <w:rFonts w:ascii="Times New Roman" w:hAnsi="Times New Roman" w:cs="Times New Roman"/>
          <w:color w:val="auto"/>
          <w:szCs w:val="24"/>
        </w:rPr>
        <w:t>Rada Nadzorcza Banku i Zarząd Banku</w:t>
      </w:r>
      <w:r w:rsidR="00705968" w:rsidRPr="00A10043">
        <w:rPr>
          <w:rFonts w:ascii="Times New Roman" w:hAnsi="Times New Roman" w:cs="Times New Roman"/>
          <w:color w:val="auto"/>
          <w:szCs w:val="24"/>
        </w:rPr>
        <w:t>,</w:t>
      </w:r>
      <w:r w:rsidRPr="00A10043">
        <w:rPr>
          <w:rFonts w:ascii="Times New Roman" w:hAnsi="Times New Roman" w:cs="Times New Roman"/>
          <w:color w:val="auto"/>
          <w:szCs w:val="24"/>
        </w:rPr>
        <w:t xml:space="preserve"> jako organy kolegialne</w:t>
      </w:r>
      <w:r w:rsidR="00705968" w:rsidRPr="00A10043">
        <w:rPr>
          <w:rFonts w:ascii="Times New Roman" w:hAnsi="Times New Roman" w:cs="Times New Roman"/>
          <w:color w:val="auto"/>
          <w:szCs w:val="24"/>
        </w:rPr>
        <w:t>,</w:t>
      </w:r>
      <w:r w:rsidRPr="00A10043">
        <w:rPr>
          <w:rFonts w:ascii="Times New Roman" w:hAnsi="Times New Roman" w:cs="Times New Roman"/>
          <w:color w:val="auto"/>
          <w:szCs w:val="24"/>
        </w:rPr>
        <w:t xml:space="preserve"> dają rękojmię właściwego zarządzania ryzykiem, a ogólny skład organów Banku odzwierciedla odpowiednio szeroki zakres kompetenc</w:t>
      </w:r>
      <w:r w:rsidR="00705968" w:rsidRPr="00A10043">
        <w:rPr>
          <w:rFonts w:ascii="Times New Roman" w:hAnsi="Times New Roman" w:cs="Times New Roman"/>
          <w:color w:val="auto"/>
          <w:szCs w:val="24"/>
        </w:rPr>
        <w:t>ji (wyszkolenia, doświadczenia)</w:t>
      </w:r>
      <w:r w:rsidRPr="00A10043">
        <w:rPr>
          <w:rFonts w:ascii="Times New Roman" w:hAnsi="Times New Roman" w:cs="Times New Roman"/>
          <w:color w:val="auto"/>
          <w:szCs w:val="24"/>
        </w:rPr>
        <w:t xml:space="preserve"> tak</w:t>
      </w:r>
      <w:r w:rsidR="00705968" w:rsidRPr="00A10043">
        <w:rPr>
          <w:rFonts w:ascii="Times New Roman" w:hAnsi="Times New Roman" w:cs="Times New Roman"/>
          <w:color w:val="auto"/>
          <w:szCs w:val="24"/>
        </w:rPr>
        <w:t>,</w:t>
      </w:r>
      <w:r w:rsidRPr="00A10043">
        <w:rPr>
          <w:rFonts w:ascii="Times New Roman" w:hAnsi="Times New Roman" w:cs="Times New Roman"/>
          <w:color w:val="auto"/>
          <w:szCs w:val="24"/>
        </w:rPr>
        <w:t xml:space="preserve"> aby mo</w:t>
      </w:r>
      <w:r w:rsidR="00705968" w:rsidRPr="00A10043">
        <w:rPr>
          <w:rFonts w:ascii="Times New Roman" w:hAnsi="Times New Roman" w:cs="Times New Roman"/>
          <w:color w:val="auto"/>
          <w:szCs w:val="24"/>
        </w:rPr>
        <w:t>żliwy był odpowiedni nadzór nad </w:t>
      </w:r>
      <w:r w:rsidRPr="00A10043">
        <w:rPr>
          <w:rFonts w:ascii="Times New Roman" w:hAnsi="Times New Roman" w:cs="Times New Roman"/>
          <w:color w:val="auto"/>
          <w:szCs w:val="24"/>
        </w:rPr>
        <w:t>ryzykiem.</w:t>
      </w:r>
    </w:p>
    <w:p w14:paraId="0C818B62" w14:textId="0461A13D" w:rsidR="002C50F6" w:rsidRPr="00A10043" w:rsidRDefault="00E81BF6" w:rsidP="000D1C31">
      <w:pPr>
        <w:spacing w:after="48" w:line="276" w:lineRule="auto"/>
        <w:ind w:left="-5" w:right="8"/>
        <w:contextualSpacing/>
        <w:rPr>
          <w:rFonts w:ascii="Times New Roman" w:hAnsi="Times New Roman" w:cs="Times New Roman"/>
          <w:color w:val="auto"/>
          <w:szCs w:val="24"/>
        </w:rPr>
      </w:pPr>
      <w:r w:rsidRPr="00A10043">
        <w:rPr>
          <w:rFonts w:ascii="Times New Roman" w:hAnsi="Times New Roman" w:cs="Times New Roman"/>
          <w:color w:val="auto"/>
          <w:szCs w:val="24"/>
        </w:rPr>
        <w:lastRenderedPageBreak/>
        <w:t xml:space="preserve">Wszyscy członkowie organów poświęcają wystarczająco dużo czasu </w:t>
      </w:r>
      <w:r w:rsidR="006D2231" w:rsidRPr="00A10043">
        <w:rPr>
          <w:rFonts w:ascii="Times New Roman" w:hAnsi="Times New Roman" w:cs="Times New Roman"/>
          <w:color w:val="auto"/>
          <w:szCs w:val="24"/>
        </w:rPr>
        <w:t xml:space="preserve">na </w:t>
      </w:r>
      <w:r w:rsidRPr="00A10043">
        <w:rPr>
          <w:rFonts w:ascii="Times New Roman" w:hAnsi="Times New Roman" w:cs="Times New Roman"/>
          <w:color w:val="auto"/>
          <w:szCs w:val="24"/>
        </w:rPr>
        <w:t>wykon</w:t>
      </w:r>
      <w:r w:rsidR="006D2231" w:rsidRPr="00A10043">
        <w:rPr>
          <w:rFonts w:ascii="Times New Roman" w:hAnsi="Times New Roman" w:cs="Times New Roman"/>
          <w:color w:val="auto"/>
          <w:szCs w:val="24"/>
        </w:rPr>
        <w:t>ywanie</w:t>
      </w:r>
      <w:r w:rsidR="005267E6" w:rsidRPr="00A10043">
        <w:rPr>
          <w:rFonts w:ascii="Times New Roman" w:hAnsi="Times New Roman" w:cs="Times New Roman"/>
          <w:color w:val="auto"/>
          <w:szCs w:val="24"/>
        </w:rPr>
        <w:t xml:space="preserve"> swoich funkcji w Banku, w</w:t>
      </w:r>
      <w:r w:rsidRPr="00A10043">
        <w:rPr>
          <w:rFonts w:ascii="Times New Roman" w:hAnsi="Times New Roman" w:cs="Times New Roman"/>
          <w:color w:val="auto"/>
          <w:szCs w:val="24"/>
        </w:rPr>
        <w:t xml:space="preserve"> </w:t>
      </w:r>
      <w:r w:rsidR="005267E6" w:rsidRPr="00A10043">
        <w:rPr>
          <w:rFonts w:ascii="Times New Roman" w:hAnsi="Times New Roman" w:cs="Times New Roman"/>
          <w:color w:val="auto"/>
          <w:szCs w:val="24"/>
        </w:rPr>
        <w:t>tym</w:t>
      </w:r>
      <w:r w:rsidRPr="00A10043">
        <w:rPr>
          <w:rFonts w:ascii="Times New Roman" w:hAnsi="Times New Roman" w:cs="Times New Roman"/>
          <w:color w:val="auto"/>
          <w:szCs w:val="24"/>
        </w:rPr>
        <w:t xml:space="preserve"> analizom ryzyka. </w:t>
      </w:r>
    </w:p>
    <w:p w14:paraId="60CCD94F" w14:textId="77777777" w:rsidR="002C50F6" w:rsidRPr="00A10043" w:rsidRDefault="00E81BF6" w:rsidP="000D1C31">
      <w:pPr>
        <w:spacing w:after="385" w:line="276" w:lineRule="auto"/>
        <w:ind w:left="-5" w:right="8"/>
        <w:contextualSpacing/>
        <w:rPr>
          <w:rFonts w:ascii="Times New Roman" w:hAnsi="Times New Roman" w:cs="Times New Roman"/>
          <w:color w:val="auto"/>
          <w:szCs w:val="24"/>
        </w:rPr>
      </w:pPr>
      <w:r w:rsidRPr="00A10043">
        <w:rPr>
          <w:rFonts w:ascii="Times New Roman" w:hAnsi="Times New Roman" w:cs="Times New Roman"/>
          <w:color w:val="auto"/>
          <w:szCs w:val="24"/>
        </w:rPr>
        <w:t>Organy Banku biorą czynny udział w zarządzaniu wszystkim</w:t>
      </w:r>
      <w:r w:rsidR="00705968" w:rsidRPr="00A10043">
        <w:rPr>
          <w:rFonts w:ascii="Times New Roman" w:hAnsi="Times New Roman" w:cs="Times New Roman"/>
          <w:color w:val="auto"/>
          <w:szCs w:val="24"/>
        </w:rPr>
        <w:t>i rodzajami istotnego ryzyka, o </w:t>
      </w:r>
      <w:r w:rsidRPr="00A10043">
        <w:rPr>
          <w:rFonts w:ascii="Times New Roman" w:hAnsi="Times New Roman" w:cs="Times New Roman"/>
          <w:color w:val="auto"/>
          <w:szCs w:val="24"/>
        </w:rPr>
        <w:t xml:space="preserve">których mowa w przepisach rangi ustawowej i w </w:t>
      </w:r>
      <w:r w:rsidRPr="00A10043">
        <w:rPr>
          <w:rFonts w:ascii="Times New Roman" w:hAnsi="Times New Roman" w:cs="Times New Roman"/>
          <w:i/>
          <w:color w:val="auto"/>
          <w:szCs w:val="24"/>
        </w:rPr>
        <w:t>Rozporządzeniu CRR</w:t>
      </w:r>
      <w:r w:rsidRPr="00A10043">
        <w:rPr>
          <w:rFonts w:ascii="Times New Roman" w:hAnsi="Times New Roman" w:cs="Times New Roman"/>
          <w:color w:val="auto"/>
          <w:szCs w:val="24"/>
        </w:rPr>
        <w:t xml:space="preserve">, </w:t>
      </w:r>
      <w:r w:rsidR="00705968" w:rsidRPr="00A10043">
        <w:rPr>
          <w:rFonts w:ascii="Times New Roman" w:hAnsi="Times New Roman" w:cs="Times New Roman"/>
          <w:color w:val="auto"/>
          <w:szCs w:val="24"/>
        </w:rPr>
        <w:t xml:space="preserve">co </w:t>
      </w:r>
      <w:r w:rsidRPr="00A10043">
        <w:rPr>
          <w:rFonts w:ascii="Times New Roman" w:hAnsi="Times New Roman" w:cs="Times New Roman"/>
          <w:color w:val="auto"/>
          <w:szCs w:val="24"/>
        </w:rPr>
        <w:t>oznacza regularne omawianie zagadnień ryzyka na posiedzeniach organów.</w:t>
      </w:r>
    </w:p>
    <w:p w14:paraId="2DB9A592" w14:textId="77777777" w:rsidR="002C50F6" w:rsidRPr="00A10043" w:rsidRDefault="00E81BF6" w:rsidP="000D1C31">
      <w:pPr>
        <w:spacing w:after="47" w:line="276" w:lineRule="auto"/>
        <w:ind w:left="-5" w:right="8"/>
        <w:contextualSpacing/>
        <w:rPr>
          <w:rFonts w:ascii="Times New Roman" w:hAnsi="Times New Roman" w:cs="Times New Roman"/>
          <w:color w:val="auto"/>
          <w:szCs w:val="24"/>
        </w:rPr>
      </w:pPr>
      <w:r w:rsidRPr="00A10043">
        <w:rPr>
          <w:rFonts w:ascii="Times New Roman" w:hAnsi="Times New Roman" w:cs="Times New Roman"/>
          <w:color w:val="auto"/>
          <w:szCs w:val="24"/>
        </w:rPr>
        <w:t xml:space="preserve">Zarządzanie ryzykiem jest zorganizowane w sposób umożliwiający zapobieganie konfliktom </w:t>
      </w:r>
      <w:r w:rsidR="00705968" w:rsidRPr="00A10043">
        <w:rPr>
          <w:rFonts w:ascii="Times New Roman" w:hAnsi="Times New Roman" w:cs="Times New Roman"/>
          <w:color w:val="auto"/>
          <w:szCs w:val="24"/>
        </w:rPr>
        <w:t>interesów pomiędzy pracownikami</w:t>
      </w:r>
      <w:r w:rsidRPr="00A10043">
        <w:rPr>
          <w:rFonts w:ascii="Times New Roman" w:hAnsi="Times New Roman" w:cs="Times New Roman"/>
          <w:color w:val="auto"/>
          <w:szCs w:val="24"/>
        </w:rPr>
        <w:t xml:space="preserve"> czy też jednostkami organizacyjnymi Banku.</w:t>
      </w:r>
    </w:p>
    <w:p w14:paraId="4611A98E" w14:textId="77777777" w:rsidR="002C50F6" w:rsidRPr="00A10043" w:rsidRDefault="00E81BF6" w:rsidP="000D1C31">
      <w:pPr>
        <w:spacing w:after="47" w:line="276" w:lineRule="auto"/>
        <w:ind w:left="-5" w:right="8"/>
        <w:contextualSpacing/>
        <w:rPr>
          <w:rFonts w:ascii="Times New Roman" w:hAnsi="Times New Roman" w:cs="Times New Roman"/>
          <w:color w:val="auto"/>
          <w:szCs w:val="24"/>
        </w:rPr>
      </w:pPr>
      <w:r w:rsidRPr="00A10043">
        <w:rPr>
          <w:rFonts w:ascii="Times New Roman" w:hAnsi="Times New Roman" w:cs="Times New Roman"/>
          <w:color w:val="auto"/>
          <w:szCs w:val="24"/>
        </w:rPr>
        <w:t xml:space="preserve">Komórki organizacyjne Banku biorą udział w procesie zarządzania ryzykiem poprzez realizację celów zawartych w </w:t>
      </w:r>
      <w:r w:rsidR="00D6326F" w:rsidRPr="00A10043">
        <w:rPr>
          <w:rFonts w:ascii="Times New Roman" w:hAnsi="Times New Roman" w:cs="Times New Roman"/>
          <w:color w:val="auto"/>
          <w:szCs w:val="24"/>
        </w:rPr>
        <w:t>s</w:t>
      </w:r>
      <w:r w:rsidRPr="00A10043">
        <w:rPr>
          <w:rFonts w:ascii="Times New Roman" w:hAnsi="Times New Roman" w:cs="Times New Roman"/>
          <w:color w:val="auto"/>
          <w:szCs w:val="24"/>
        </w:rPr>
        <w:t>trategii</w:t>
      </w:r>
      <w:r w:rsidR="00D6326F" w:rsidRPr="00A10043">
        <w:rPr>
          <w:rFonts w:ascii="Times New Roman" w:hAnsi="Times New Roman" w:cs="Times New Roman"/>
          <w:color w:val="auto"/>
          <w:szCs w:val="24"/>
        </w:rPr>
        <w:t>/polityce</w:t>
      </w:r>
      <w:r w:rsidRPr="00A10043">
        <w:rPr>
          <w:rFonts w:ascii="Times New Roman" w:hAnsi="Times New Roman" w:cs="Times New Roman"/>
          <w:color w:val="auto"/>
          <w:szCs w:val="24"/>
        </w:rPr>
        <w:t xml:space="preserve"> zarządzania poszczególnymi rodzajami ryzyka</w:t>
      </w:r>
      <w:r w:rsidRPr="00A10043">
        <w:rPr>
          <w:rFonts w:ascii="Times New Roman" w:hAnsi="Times New Roman" w:cs="Times New Roman"/>
          <w:i/>
          <w:color w:val="auto"/>
          <w:szCs w:val="24"/>
        </w:rPr>
        <w:t xml:space="preserve">, </w:t>
      </w:r>
      <w:r w:rsidR="00705968" w:rsidRPr="00A10043">
        <w:rPr>
          <w:rFonts w:ascii="Times New Roman" w:hAnsi="Times New Roman" w:cs="Times New Roman"/>
          <w:color w:val="auto"/>
          <w:szCs w:val="24"/>
        </w:rPr>
        <w:t>zgodnie z </w:t>
      </w:r>
      <w:r w:rsidRPr="00A10043">
        <w:rPr>
          <w:rFonts w:ascii="Times New Roman" w:hAnsi="Times New Roman" w:cs="Times New Roman"/>
          <w:i/>
          <w:color w:val="auto"/>
          <w:szCs w:val="24"/>
        </w:rPr>
        <w:t>Regulaminem organizacyjnym Banku</w:t>
      </w:r>
      <w:r w:rsidRPr="00A10043">
        <w:rPr>
          <w:rFonts w:ascii="Times New Roman" w:hAnsi="Times New Roman" w:cs="Times New Roman"/>
          <w:color w:val="auto"/>
          <w:szCs w:val="24"/>
        </w:rPr>
        <w:t>.</w:t>
      </w:r>
    </w:p>
    <w:p w14:paraId="2EA28C6C" w14:textId="77777777" w:rsidR="002C50F6" w:rsidRPr="00A10043" w:rsidRDefault="00E81BF6" w:rsidP="000D1C31">
      <w:pPr>
        <w:spacing w:after="385" w:line="276" w:lineRule="auto"/>
        <w:ind w:left="-5" w:right="8"/>
        <w:contextualSpacing/>
        <w:rPr>
          <w:rFonts w:ascii="Times New Roman" w:hAnsi="Times New Roman" w:cs="Times New Roman"/>
          <w:color w:val="auto"/>
          <w:szCs w:val="24"/>
        </w:rPr>
      </w:pPr>
      <w:r w:rsidRPr="00A10043">
        <w:rPr>
          <w:rFonts w:ascii="Times New Roman" w:hAnsi="Times New Roman" w:cs="Times New Roman"/>
          <w:color w:val="auto"/>
          <w:szCs w:val="24"/>
        </w:rPr>
        <w:t>Komórki organizacyjne uczestniczą w procesie zarządzania ryzykiem w ramach przypisanych im zadań w strukturze organizacyjnej Banku oraz w procedurach wewnętrznych, dotyczących zarządzania poszczególnymi rodzajami ryzyka.</w:t>
      </w:r>
    </w:p>
    <w:p w14:paraId="2CF1CAED" w14:textId="77777777" w:rsidR="002C50F6" w:rsidRPr="00A10043" w:rsidRDefault="00E81BF6" w:rsidP="000D1C31">
      <w:pPr>
        <w:spacing w:line="276" w:lineRule="auto"/>
        <w:ind w:left="-5" w:right="8"/>
        <w:contextualSpacing/>
        <w:rPr>
          <w:rFonts w:ascii="Times New Roman" w:hAnsi="Times New Roman" w:cs="Times New Roman"/>
          <w:color w:val="auto"/>
          <w:szCs w:val="24"/>
        </w:rPr>
      </w:pPr>
      <w:r w:rsidRPr="00A10043">
        <w:rPr>
          <w:rFonts w:ascii="Times New Roman" w:hAnsi="Times New Roman" w:cs="Times New Roman"/>
          <w:color w:val="auto"/>
          <w:szCs w:val="24"/>
        </w:rPr>
        <w:t>W procesie zarządzania poszczególnymi rodzajami ryzyka Rada Nadzorcza Banku:</w:t>
      </w:r>
    </w:p>
    <w:p w14:paraId="5302A8B5" w14:textId="53FE4DD8" w:rsidR="002C50F6" w:rsidRPr="00A10043" w:rsidRDefault="00E81BF6" w:rsidP="00FD5E9F">
      <w:pPr>
        <w:numPr>
          <w:ilvl w:val="0"/>
          <w:numId w:val="10"/>
        </w:numPr>
        <w:spacing w:after="192" w:line="276" w:lineRule="auto"/>
        <w:ind w:left="730"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 xml:space="preserve">zatwierdza </w:t>
      </w:r>
      <w:r w:rsidRPr="00A10043">
        <w:rPr>
          <w:rFonts w:ascii="Times New Roman" w:hAnsi="Times New Roman" w:cs="Times New Roman"/>
          <w:i/>
          <w:color w:val="auto"/>
          <w:szCs w:val="24"/>
        </w:rPr>
        <w:t xml:space="preserve">Strategię </w:t>
      </w:r>
      <w:r w:rsidR="00B91835" w:rsidRPr="00A10043">
        <w:rPr>
          <w:rFonts w:ascii="Times New Roman" w:hAnsi="Times New Roman" w:cs="Times New Roman"/>
          <w:i/>
          <w:color w:val="auto"/>
          <w:szCs w:val="24"/>
        </w:rPr>
        <w:t>zarządzania Bankiem</w:t>
      </w:r>
      <w:r w:rsidRPr="00A10043">
        <w:rPr>
          <w:rFonts w:ascii="Times New Roman" w:hAnsi="Times New Roman" w:cs="Times New Roman"/>
          <w:color w:val="auto"/>
          <w:szCs w:val="24"/>
        </w:rPr>
        <w:t xml:space="preserve"> oraz zasady ostrożnego i stabilnego zarządzania</w:t>
      </w:r>
      <w:r w:rsidR="00DC3D4C" w:rsidRPr="00A10043">
        <w:rPr>
          <w:rFonts w:ascii="Times New Roman" w:hAnsi="Times New Roman" w:cs="Times New Roman"/>
          <w:color w:val="auto"/>
          <w:szCs w:val="24"/>
        </w:rPr>
        <w:t xml:space="preserve"> </w:t>
      </w:r>
      <w:r w:rsidRPr="00A10043">
        <w:rPr>
          <w:rFonts w:ascii="Times New Roman" w:hAnsi="Times New Roman" w:cs="Times New Roman"/>
          <w:color w:val="auto"/>
          <w:szCs w:val="24"/>
        </w:rPr>
        <w:t>Bankiem, obejmujące m.in. możliwy do zaakceptowania ogólny poziom ryzyka</w:t>
      </w:r>
      <w:r w:rsidR="00DC3D4C" w:rsidRPr="00A10043">
        <w:rPr>
          <w:rFonts w:ascii="Times New Roman" w:hAnsi="Times New Roman" w:cs="Times New Roman"/>
          <w:color w:val="auto"/>
          <w:szCs w:val="24"/>
        </w:rPr>
        <w:t xml:space="preserve"> </w:t>
      </w:r>
      <w:r w:rsidRPr="00A10043">
        <w:rPr>
          <w:rFonts w:ascii="Times New Roman" w:hAnsi="Times New Roman" w:cs="Times New Roman"/>
          <w:color w:val="auto"/>
          <w:szCs w:val="24"/>
        </w:rPr>
        <w:t>Banku (apetyt / tolerancję na ryzyko);</w:t>
      </w:r>
    </w:p>
    <w:p w14:paraId="280F13F4" w14:textId="77777777" w:rsidR="002C50F6" w:rsidRPr="00A10043" w:rsidRDefault="00E81BF6" w:rsidP="00FD5E9F">
      <w:pPr>
        <w:numPr>
          <w:ilvl w:val="0"/>
          <w:numId w:val="10"/>
        </w:numPr>
        <w:spacing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zatwierdza procedury dotyczące procesów:</w:t>
      </w:r>
    </w:p>
    <w:p w14:paraId="657D3634" w14:textId="77777777" w:rsidR="002C50F6" w:rsidRPr="00A10043" w:rsidRDefault="00E81BF6" w:rsidP="00FD5E9F">
      <w:pPr>
        <w:numPr>
          <w:ilvl w:val="1"/>
          <w:numId w:val="10"/>
        </w:numPr>
        <w:spacing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szacowania kapitału wewnętrznego;</w:t>
      </w:r>
    </w:p>
    <w:p w14:paraId="0F955C6F" w14:textId="77777777" w:rsidR="002C50F6" w:rsidRPr="00A10043" w:rsidRDefault="00E81BF6" w:rsidP="00FD5E9F">
      <w:pPr>
        <w:numPr>
          <w:ilvl w:val="1"/>
          <w:numId w:val="10"/>
        </w:numPr>
        <w:spacing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planowania i zarządzania kapitałowego;</w:t>
      </w:r>
    </w:p>
    <w:p w14:paraId="7007C53E" w14:textId="77777777" w:rsidR="002C50F6" w:rsidRPr="00A10043" w:rsidRDefault="00E81BF6" w:rsidP="00FD5E9F">
      <w:pPr>
        <w:numPr>
          <w:ilvl w:val="0"/>
          <w:numId w:val="10"/>
        </w:numPr>
        <w:spacing w:after="63"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 xml:space="preserve">zatwierdza strukturę organizacyjną Banku, zawartą w </w:t>
      </w:r>
      <w:r w:rsidRPr="00A10043">
        <w:rPr>
          <w:rFonts w:ascii="Times New Roman" w:hAnsi="Times New Roman" w:cs="Times New Roman"/>
          <w:i/>
          <w:color w:val="auto"/>
          <w:szCs w:val="24"/>
        </w:rPr>
        <w:t>Regulaminie organizacyjnym</w:t>
      </w:r>
      <w:r w:rsidRPr="00A10043">
        <w:rPr>
          <w:rFonts w:ascii="Times New Roman" w:hAnsi="Times New Roman" w:cs="Times New Roman"/>
          <w:color w:val="auto"/>
          <w:szCs w:val="24"/>
        </w:rPr>
        <w:t>, dostosowaną do wielkości i profilu ponoszonego ryzyka;</w:t>
      </w:r>
    </w:p>
    <w:p w14:paraId="7526E131" w14:textId="77777777" w:rsidR="002C50F6" w:rsidRPr="00A10043" w:rsidRDefault="00452695" w:rsidP="00AB4E96">
      <w:pPr>
        <w:numPr>
          <w:ilvl w:val="0"/>
          <w:numId w:val="10"/>
        </w:numPr>
        <w:spacing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zatwierdza ogólne zasady polityki wynagrodzeń oraz zmienn</w:t>
      </w:r>
      <w:r w:rsidR="00AB4E96" w:rsidRPr="00A10043">
        <w:rPr>
          <w:rFonts w:ascii="Times New Roman" w:hAnsi="Times New Roman" w:cs="Times New Roman"/>
          <w:color w:val="auto"/>
          <w:szCs w:val="24"/>
        </w:rPr>
        <w:t>ych składników wynagrodzeń osób, których działalność zawodowa ma istotny wpływ na profil ryzyka w Banku oraz dokonuje okresowych przeglądów tych zasad;</w:t>
      </w:r>
    </w:p>
    <w:p w14:paraId="6F9A16CC" w14:textId="77777777" w:rsidR="002C50F6" w:rsidRPr="00A10043" w:rsidRDefault="00E81BF6" w:rsidP="00FD5E9F">
      <w:pPr>
        <w:numPr>
          <w:ilvl w:val="0"/>
          <w:numId w:val="10"/>
        </w:numPr>
        <w:spacing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zatwierdza plan pozyskania i utrzymania środków obcych stabilnych;</w:t>
      </w:r>
    </w:p>
    <w:p w14:paraId="05699603" w14:textId="77777777" w:rsidR="002C50F6" w:rsidRPr="00A10043" w:rsidRDefault="00E81BF6" w:rsidP="00FD5E9F">
      <w:pPr>
        <w:numPr>
          <w:ilvl w:val="0"/>
          <w:numId w:val="10"/>
        </w:numPr>
        <w:spacing w:after="63"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 xml:space="preserve">zatwierdza ogólne zasady przeprowadzania testów warunków skrajnych w odniesieniu do </w:t>
      </w:r>
      <w:r w:rsidR="00BB4CFA" w:rsidRPr="00A10043">
        <w:rPr>
          <w:rFonts w:ascii="Times New Roman" w:hAnsi="Times New Roman" w:cs="Times New Roman"/>
          <w:color w:val="auto"/>
          <w:szCs w:val="24"/>
        </w:rPr>
        <w:t> </w:t>
      </w:r>
      <w:r w:rsidRPr="00A10043">
        <w:rPr>
          <w:rFonts w:ascii="Times New Roman" w:hAnsi="Times New Roman" w:cs="Times New Roman"/>
          <w:color w:val="auto"/>
          <w:szCs w:val="24"/>
        </w:rPr>
        <w:t>rodzajów ryzyka;</w:t>
      </w:r>
    </w:p>
    <w:p w14:paraId="3EAC94FB" w14:textId="77777777" w:rsidR="002C50F6" w:rsidRPr="00A10043" w:rsidRDefault="00E81BF6" w:rsidP="00FD5E9F">
      <w:pPr>
        <w:numPr>
          <w:ilvl w:val="0"/>
          <w:numId w:val="10"/>
        </w:numPr>
        <w:spacing w:after="63"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sprawuje nadzór nad zarządzaniem ryzykiem braku zgodności, a także zatwierdza założenia polityki Banku w zakresie ryzyka braku zgodności i ocenia efektywność zarządzania tym ryzykiem;</w:t>
      </w:r>
    </w:p>
    <w:p w14:paraId="7DDC3B3E" w14:textId="1C713764" w:rsidR="002C50F6" w:rsidRPr="00A10043" w:rsidRDefault="00E81BF6" w:rsidP="00FD5E9F">
      <w:pPr>
        <w:numPr>
          <w:ilvl w:val="0"/>
          <w:numId w:val="10"/>
        </w:numPr>
        <w:spacing w:after="63"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 xml:space="preserve">sprawuje nadzór nad zgodnością polityki Banku w </w:t>
      </w:r>
      <w:r w:rsidR="00BB4CFA" w:rsidRPr="00A10043">
        <w:rPr>
          <w:rFonts w:ascii="Times New Roman" w:hAnsi="Times New Roman" w:cs="Times New Roman"/>
          <w:color w:val="auto"/>
          <w:szCs w:val="24"/>
        </w:rPr>
        <w:t>zakresie podejmowania ryzyka ze </w:t>
      </w:r>
      <w:r w:rsidR="00B91835" w:rsidRPr="00A10043">
        <w:rPr>
          <w:rFonts w:ascii="Times New Roman" w:hAnsi="Times New Roman" w:cs="Times New Roman"/>
          <w:i/>
          <w:color w:val="auto"/>
          <w:szCs w:val="24"/>
        </w:rPr>
        <w:t xml:space="preserve">Strategią zarządzania Bankiem </w:t>
      </w:r>
      <w:r w:rsidRPr="00A10043">
        <w:rPr>
          <w:rFonts w:ascii="Times New Roman" w:hAnsi="Times New Roman" w:cs="Times New Roman"/>
          <w:color w:val="auto"/>
          <w:szCs w:val="24"/>
        </w:rPr>
        <w:t>i planem finansowym Banku;</w:t>
      </w:r>
    </w:p>
    <w:p w14:paraId="04D9C678" w14:textId="77777777" w:rsidR="002C50F6" w:rsidRPr="00A10043" w:rsidRDefault="00E81BF6" w:rsidP="00FD5E9F">
      <w:pPr>
        <w:numPr>
          <w:ilvl w:val="0"/>
          <w:numId w:val="10"/>
        </w:numPr>
        <w:spacing w:after="48"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zapewnia wybór członków Zarządu Banku posiadając</w:t>
      </w:r>
      <w:r w:rsidR="00BB4CFA" w:rsidRPr="00A10043">
        <w:rPr>
          <w:rFonts w:ascii="Times New Roman" w:hAnsi="Times New Roman" w:cs="Times New Roman"/>
          <w:color w:val="auto"/>
          <w:szCs w:val="24"/>
        </w:rPr>
        <w:t>ych odpowiednie kwalifikacje do </w:t>
      </w:r>
      <w:r w:rsidRPr="00A10043">
        <w:rPr>
          <w:rFonts w:ascii="Times New Roman" w:hAnsi="Times New Roman" w:cs="Times New Roman"/>
          <w:color w:val="auto"/>
          <w:szCs w:val="24"/>
        </w:rPr>
        <w:t>sprawowania wyznaczonych im funkcji;</w:t>
      </w:r>
    </w:p>
    <w:p w14:paraId="319F9055" w14:textId="77777777" w:rsidR="00DC3D4C" w:rsidRPr="00A10043" w:rsidRDefault="00E81BF6" w:rsidP="000D1C31">
      <w:pPr>
        <w:spacing w:after="384" w:line="276" w:lineRule="auto"/>
        <w:ind w:left="720"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10)</w:t>
      </w:r>
      <w:r w:rsidR="00BB4CFA" w:rsidRPr="00A10043">
        <w:rPr>
          <w:rFonts w:ascii="Times New Roman" w:hAnsi="Times New Roman" w:cs="Times New Roman"/>
          <w:color w:val="auto"/>
          <w:szCs w:val="24"/>
        </w:rPr>
        <w:t xml:space="preserve"> </w:t>
      </w:r>
      <w:r w:rsidRPr="00A10043">
        <w:rPr>
          <w:rFonts w:ascii="Times New Roman" w:hAnsi="Times New Roman" w:cs="Times New Roman"/>
          <w:color w:val="auto"/>
          <w:szCs w:val="24"/>
        </w:rPr>
        <w:t>sprawuje nadzór nad wprowadzeniem systemu zarz</w:t>
      </w:r>
      <w:r w:rsidR="00BB4CFA" w:rsidRPr="00A10043">
        <w:rPr>
          <w:rFonts w:ascii="Times New Roman" w:hAnsi="Times New Roman" w:cs="Times New Roman"/>
          <w:color w:val="auto"/>
          <w:szCs w:val="24"/>
        </w:rPr>
        <w:t>ądzania ryzykiem występującym w </w:t>
      </w:r>
      <w:r w:rsidRPr="00A10043">
        <w:rPr>
          <w:rFonts w:ascii="Times New Roman" w:hAnsi="Times New Roman" w:cs="Times New Roman"/>
          <w:color w:val="auto"/>
          <w:szCs w:val="24"/>
        </w:rPr>
        <w:t>działalności Banku oraz ocenia adekwatność i skuteczność tego systemu, głównie poprzez zapoznawanie się z raportami i sprawozdaniami dotyczącymi oceny narażenia Banku na poszczególne rodzaje ryzyka (w tym ryzyka braku zgodności) i na ich podstawie dokon</w:t>
      </w:r>
      <w:r w:rsidR="00BB4CFA" w:rsidRPr="00A10043">
        <w:rPr>
          <w:rFonts w:ascii="Times New Roman" w:hAnsi="Times New Roman" w:cs="Times New Roman"/>
          <w:color w:val="auto"/>
          <w:szCs w:val="24"/>
        </w:rPr>
        <w:t>uje oceny stopnia efektywności oraz</w:t>
      </w:r>
      <w:r w:rsidRPr="00A10043">
        <w:rPr>
          <w:rFonts w:ascii="Times New Roman" w:hAnsi="Times New Roman" w:cs="Times New Roman"/>
          <w:color w:val="auto"/>
          <w:szCs w:val="24"/>
        </w:rPr>
        <w:t xml:space="preserve"> adekwatności zarządzania ryzykiem; </w:t>
      </w:r>
    </w:p>
    <w:p w14:paraId="5170E332" w14:textId="77777777" w:rsidR="004866A0" w:rsidRPr="00A10043" w:rsidRDefault="00E81BF6" w:rsidP="000D1C31">
      <w:pPr>
        <w:spacing w:after="384" w:line="276" w:lineRule="auto"/>
        <w:ind w:left="720"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lastRenderedPageBreak/>
        <w:t>11)</w:t>
      </w:r>
      <w:r w:rsidR="006B4951" w:rsidRPr="00A10043">
        <w:rPr>
          <w:rFonts w:ascii="Times New Roman" w:hAnsi="Times New Roman" w:cs="Times New Roman"/>
          <w:color w:val="auto"/>
          <w:szCs w:val="24"/>
        </w:rPr>
        <w:t xml:space="preserve"> </w:t>
      </w:r>
      <w:r w:rsidR="00BB4CFA" w:rsidRPr="00A10043">
        <w:rPr>
          <w:rFonts w:ascii="Times New Roman" w:hAnsi="Times New Roman" w:cs="Times New Roman"/>
          <w:color w:val="auto"/>
          <w:szCs w:val="24"/>
        </w:rPr>
        <w:t>ocenia</w:t>
      </w:r>
      <w:r w:rsidRPr="00A10043">
        <w:rPr>
          <w:rFonts w:ascii="Times New Roman" w:hAnsi="Times New Roman" w:cs="Times New Roman"/>
          <w:color w:val="auto"/>
          <w:szCs w:val="24"/>
        </w:rPr>
        <w:t xml:space="preserve"> czy działania Zarządu Banku w zakresie kontroli nad działalnością Banku są skuteczne i zgodne z polityką Rady Nadzorczej Banku</w:t>
      </w:r>
      <w:r w:rsidR="004866A0" w:rsidRPr="00A10043">
        <w:rPr>
          <w:rFonts w:ascii="Times New Roman" w:hAnsi="Times New Roman" w:cs="Times New Roman"/>
          <w:color w:val="auto"/>
          <w:szCs w:val="24"/>
        </w:rPr>
        <w:t>;</w:t>
      </w:r>
    </w:p>
    <w:p w14:paraId="72C8D897" w14:textId="77777777" w:rsidR="002C50F6" w:rsidRPr="00A10043" w:rsidRDefault="004866A0" w:rsidP="000D1C31">
      <w:pPr>
        <w:spacing w:after="384" w:line="276" w:lineRule="auto"/>
        <w:ind w:left="720"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 xml:space="preserve">12) </w:t>
      </w:r>
      <w:r w:rsidR="00452695" w:rsidRPr="00A10043">
        <w:rPr>
          <w:rFonts w:ascii="Times New Roman" w:hAnsi="Times New Roman" w:cs="Times New Roman"/>
          <w:color w:val="auto"/>
          <w:szCs w:val="24"/>
        </w:rPr>
        <w:t>dokonuje wyboru podmiotu uprawnionego do badania sprawozdania finansowego</w:t>
      </w:r>
      <w:r w:rsidR="00E81BF6" w:rsidRPr="00A10043">
        <w:rPr>
          <w:rFonts w:ascii="Times New Roman" w:hAnsi="Times New Roman" w:cs="Times New Roman"/>
          <w:color w:val="auto"/>
          <w:szCs w:val="24"/>
        </w:rPr>
        <w:t>.</w:t>
      </w:r>
    </w:p>
    <w:p w14:paraId="1E2A1A7C" w14:textId="77777777" w:rsidR="002C50F6" w:rsidRPr="00A10043" w:rsidRDefault="00E81BF6" w:rsidP="000D1C31">
      <w:pPr>
        <w:spacing w:line="276" w:lineRule="auto"/>
        <w:ind w:left="-5" w:right="8"/>
        <w:contextualSpacing/>
        <w:rPr>
          <w:rFonts w:ascii="Times New Roman" w:hAnsi="Times New Roman" w:cs="Times New Roman"/>
          <w:color w:val="auto"/>
          <w:szCs w:val="24"/>
        </w:rPr>
      </w:pPr>
      <w:r w:rsidRPr="00A10043">
        <w:rPr>
          <w:rFonts w:ascii="Times New Roman" w:hAnsi="Times New Roman" w:cs="Times New Roman"/>
          <w:color w:val="auto"/>
          <w:szCs w:val="24"/>
        </w:rPr>
        <w:t>W procesie zarządzania poszczególnymi rodzajami ryzyka Zarząd Banku:</w:t>
      </w:r>
    </w:p>
    <w:p w14:paraId="5046C3D0" w14:textId="77777777" w:rsidR="002C50F6" w:rsidRPr="00A10043" w:rsidRDefault="00E81BF6" w:rsidP="00FD5E9F">
      <w:pPr>
        <w:numPr>
          <w:ilvl w:val="0"/>
          <w:numId w:val="11"/>
        </w:num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 xml:space="preserve">odpowiada za opracowanie, wprowadzenie </w:t>
      </w:r>
      <w:r w:rsidR="00BB4CFA" w:rsidRPr="00A10043">
        <w:rPr>
          <w:rFonts w:ascii="Times New Roman" w:hAnsi="Times New Roman" w:cs="Times New Roman"/>
          <w:color w:val="auto"/>
          <w:szCs w:val="24"/>
        </w:rPr>
        <w:t>i</w:t>
      </w:r>
      <w:r w:rsidRPr="00A10043">
        <w:rPr>
          <w:rFonts w:ascii="Times New Roman" w:hAnsi="Times New Roman" w:cs="Times New Roman"/>
          <w:color w:val="auto"/>
          <w:szCs w:val="24"/>
        </w:rPr>
        <w:t xml:space="preserve"> aktualizację pisemnych strategii oraz procedur dotyczących identyfikacji, pomiaru, monitorowania i k</w:t>
      </w:r>
      <w:r w:rsidR="00BB4CFA" w:rsidRPr="00A10043">
        <w:rPr>
          <w:rFonts w:ascii="Times New Roman" w:hAnsi="Times New Roman" w:cs="Times New Roman"/>
          <w:color w:val="auto"/>
          <w:szCs w:val="24"/>
        </w:rPr>
        <w:t>ontroli ryzyka w </w:t>
      </w:r>
      <w:r w:rsidRPr="00A10043">
        <w:rPr>
          <w:rFonts w:ascii="Times New Roman" w:hAnsi="Times New Roman" w:cs="Times New Roman"/>
          <w:color w:val="auto"/>
          <w:szCs w:val="24"/>
        </w:rPr>
        <w:t xml:space="preserve">zakresie: </w:t>
      </w:r>
    </w:p>
    <w:p w14:paraId="45D2E851" w14:textId="77777777" w:rsidR="002C50F6" w:rsidRPr="00A10043" w:rsidRDefault="00E81BF6" w:rsidP="003B3DA4">
      <w:pPr>
        <w:pStyle w:val="Akapitzlist"/>
        <w:numPr>
          <w:ilvl w:val="0"/>
          <w:numId w:val="62"/>
        </w:numPr>
        <w:spacing w:line="276" w:lineRule="auto"/>
        <w:ind w:left="1134" w:right="6"/>
        <w:rPr>
          <w:sz w:val="24"/>
          <w:szCs w:val="24"/>
        </w:rPr>
      </w:pPr>
      <w:r w:rsidRPr="00A10043">
        <w:rPr>
          <w:sz w:val="24"/>
          <w:szCs w:val="24"/>
        </w:rPr>
        <w:t>systemu za</w:t>
      </w:r>
      <w:r w:rsidR="00BB4CFA" w:rsidRPr="00A10043">
        <w:rPr>
          <w:sz w:val="24"/>
          <w:szCs w:val="24"/>
        </w:rPr>
        <w:t>rządzania ryzykiem, w tym ryzykiem</w:t>
      </w:r>
      <w:r w:rsidRPr="00A10043">
        <w:rPr>
          <w:sz w:val="24"/>
          <w:szCs w:val="24"/>
        </w:rPr>
        <w:t xml:space="preserve"> braku zgodności;</w:t>
      </w:r>
    </w:p>
    <w:p w14:paraId="47273887" w14:textId="77777777" w:rsidR="002C50F6" w:rsidRPr="00A10043" w:rsidRDefault="00E81BF6" w:rsidP="003B3DA4">
      <w:pPr>
        <w:pStyle w:val="Akapitzlist"/>
        <w:numPr>
          <w:ilvl w:val="0"/>
          <w:numId w:val="62"/>
        </w:numPr>
        <w:spacing w:line="276" w:lineRule="auto"/>
        <w:ind w:left="1134" w:right="6"/>
        <w:rPr>
          <w:sz w:val="24"/>
          <w:szCs w:val="24"/>
        </w:rPr>
      </w:pPr>
      <w:r w:rsidRPr="00A10043">
        <w:rPr>
          <w:sz w:val="24"/>
          <w:szCs w:val="24"/>
        </w:rPr>
        <w:t>systemu kontroli wewnętrznej;</w:t>
      </w:r>
    </w:p>
    <w:p w14:paraId="46B0695C" w14:textId="77777777" w:rsidR="002C50F6" w:rsidRPr="00A10043" w:rsidRDefault="00E81BF6" w:rsidP="003B3DA4">
      <w:pPr>
        <w:pStyle w:val="Akapitzlist"/>
        <w:numPr>
          <w:ilvl w:val="0"/>
          <w:numId w:val="62"/>
        </w:numPr>
        <w:spacing w:line="276" w:lineRule="auto"/>
        <w:ind w:left="1134" w:right="6"/>
        <w:rPr>
          <w:sz w:val="24"/>
          <w:szCs w:val="24"/>
        </w:rPr>
      </w:pPr>
      <w:r w:rsidRPr="00A10043">
        <w:rPr>
          <w:sz w:val="24"/>
          <w:szCs w:val="24"/>
        </w:rPr>
        <w:t>szacowania kapitału wewnętrznego, zarządzania i planowania kapitałowego;</w:t>
      </w:r>
    </w:p>
    <w:p w14:paraId="78C6D1D9" w14:textId="77777777" w:rsidR="002C50F6" w:rsidRPr="00A10043" w:rsidRDefault="00E81BF6" w:rsidP="003B3DA4">
      <w:pPr>
        <w:pStyle w:val="Akapitzlist"/>
        <w:numPr>
          <w:ilvl w:val="0"/>
          <w:numId w:val="62"/>
        </w:numPr>
        <w:spacing w:line="276" w:lineRule="auto"/>
        <w:ind w:left="1134" w:right="6"/>
        <w:jc w:val="both"/>
        <w:rPr>
          <w:sz w:val="24"/>
          <w:szCs w:val="24"/>
        </w:rPr>
      </w:pPr>
      <w:r w:rsidRPr="00A10043">
        <w:rPr>
          <w:sz w:val="24"/>
          <w:szCs w:val="24"/>
        </w:rPr>
        <w:t>dokonywania przeglądów procesu szacowania i utrzymywania kapitału</w:t>
      </w:r>
      <w:r w:rsidR="00BB4CFA" w:rsidRPr="00A10043">
        <w:rPr>
          <w:sz w:val="24"/>
          <w:szCs w:val="24"/>
        </w:rPr>
        <w:t xml:space="preserve"> </w:t>
      </w:r>
      <w:r w:rsidRPr="00A10043">
        <w:rPr>
          <w:sz w:val="24"/>
          <w:szCs w:val="24"/>
        </w:rPr>
        <w:t>wewnętrznego;</w:t>
      </w:r>
    </w:p>
    <w:p w14:paraId="7E6D7374" w14:textId="77777777" w:rsidR="002C50F6" w:rsidRPr="00A10043" w:rsidRDefault="00E81BF6" w:rsidP="00FD5E9F">
      <w:pPr>
        <w:numPr>
          <w:ilvl w:val="0"/>
          <w:numId w:val="11"/>
        </w:num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odpowiada za skuteczność systemu za</w:t>
      </w:r>
      <w:r w:rsidR="00BB4CFA" w:rsidRPr="00A10043">
        <w:rPr>
          <w:rFonts w:ascii="Times New Roman" w:hAnsi="Times New Roman" w:cs="Times New Roman"/>
          <w:color w:val="auto"/>
          <w:szCs w:val="24"/>
        </w:rPr>
        <w:t>rządzania ryzykiem, w tym ryzykiem</w:t>
      </w:r>
      <w:r w:rsidRPr="00A10043">
        <w:rPr>
          <w:rFonts w:ascii="Times New Roman" w:hAnsi="Times New Roman" w:cs="Times New Roman"/>
          <w:color w:val="auto"/>
          <w:szCs w:val="24"/>
        </w:rPr>
        <w:t xml:space="preserve"> braku zgodności, systemu kontroli wewnętrznej, procesu sza</w:t>
      </w:r>
      <w:r w:rsidR="00BB4CFA" w:rsidRPr="00A10043">
        <w:rPr>
          <w:rFonts w:ascii="Times New Roman" w:hAnsi="Times New Roman" w:cs="Times New Roman"/>
          <w:color w:val="auto"/>
          <w:szCs w:val="24"/>
        </w:rPr>
        <w:t>cowania kapitału wewnętrznego i </w:t>
      </w:r>
      <w:r w:rsidRPr="00A10043">
        <w:rPr>
          <w:rFonts w:ascii="Times New Roman" w:hAnsi="Times New Roman" w:cs="Times New Roman"/>
          <w:color w:val="auto"/>
          <w:szCs w:val="24"/>
        </w:rPr>
        <w:t>dokonywania przeglądów procesu szacowania i utrzymywania kapitału wewnętrznego oraz za nadzór nad efektywnością tych procesów;</w:t>
      </w:r>
    </w:p>
    <w:p w14:paraId="47F332A2" w14:textId="77777777" w:rsidR="002C50F6" w:rsidRPr="00A10043" w:rsidRDefault="00E81BF6" w:rsidP="00FD5E9F">
      <w:pPr>
        <w:numPr>
          <w:ilvl w:val="0"/>
          <w:numId w:val="11"/>
        </w:num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odpowiada za zorganizowanie skutecznego procesu o</w:t>
      </w:r>
      <w:r w:rsidR="00BB4CFA" w:rsidRPr="00A10043">
        <w:rPr>
          <w:rFonts w:ascii="Times New Roman" w:hAnsi="Times New Roman" w:cs="Times New Roman"/>
          <w:color w:val="auto"/>
          <w:szCs w:val="24"/>
        </w:rPr>
        <w:t>ceny adekwatności kapitałowej i </w:t>
      </w:r>
      <w:r w:rsidRPr="00A10043">
        <w:rPr>
          <w:rFonts w:ascii="Times New Roman" w:hAnsi="Times New Roman" w:cs="Times New Roman"/>
          <w:color w:val="auto"/>
          <w:szCs w:val="24"/>
        </w:rPr>
        <w:t>utrzymywania kapitału wewnętrznego oraz nadzór nad jego efektywnością, wprowadzając w razie potrzeby niezbędne korekty i udoskonalenia;</w:t>
      </w:r>
    </w:p>
    <w:p w14:paraId="57EA56AE" w14:textId="77777777" w:rsidR="002C50F6" w:rsidRPr="00A10043" w:rsidRDefault="00E81BF6" w:rsidP="00FD5E9F">
      <w:pPr>
        <w:numPr>
          <w:ilvl w:val="0"/>
          <w:numId w:val="11"/>
        </w:num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wprowadza zatwierdzoną przez Radę Nadzorczą Banku strukturę organizacyjną, dostosowaną do wielkości i profilu ponoszonego ryzyka;</w:t>
      </w:r>
    </w:p>
    <w:p w14:paraId="540C2548" w14:textId="77777777" w:rsidR="002C50F6" w:rsidRPr="00A10043" w:rsidRDefault="00E81BF6" w:rsidP="00FD5E9F">
      <w:pPr>
        <w:numPr>
          <w:ilvl w:val="0"/>
          <w:numId w:val="11"/>
        </w:numPr>
        <w:spacing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wprowadza podział zadań realizowanych w Banku, który zapewnia niezależność funkcji pomiaru, monitorowania i kontrolowania ryzyka od działalności operacyjnej skutkującej podejmowaniem ryzyka przez Bank;</w:t>
      </w:r>
    </w:p>
    <w:p w14:paraId="70FF0D5A" w14:textId="77777777" w:rsidR="002C50F6" w:rsidRPr="00A10043" w:rsidRDefault="00E81BF6" w:rsidP="00FD5E9F">
      <w:pPr>
        <w:numPr>
          <w:ilvl w:val="0"/>
          <w:numId w:val="11"/>
        </w:num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zatwierdza limity wewnętrzne oraz ich wysokość dostosowaną do akceptowanego przez Radę Nadzorczą Banku ogólnego poziomu ryzyka Banku;</w:t>
      </w:r>
    </w:p>
    <w:p w14:paraId="03B01981" w14:textId="77777777" w:rsidR="002C50F6" w:rsidRPr="00A10043" w:rsidRDefault="00E81BF6" w:rsidP="00FD5E9F">
      <w:pPr>
        <w:numPr>
          <w:ilvl w:val="0"/>
          <w:numId w:val="11"/>
        </w:numPr>
        <w:spacing w:after="63"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odpowiada za przejrzystość działań Banku, w szczególn</w:t>
      </w:r>
      <w:r w:rsidR="00BB4CFA" w:rsidRPr="00A10043">
        <w:rPr>
          <w:rFonts w:ascii="Times New Roman" w:hAnsi="Times New Roman" w:cs="Times New Roman"/>
          <w:color w:val="auto"/>
          <w:szCs w:val="24"/>
        </w:rPr>
        <w:t>ości za politykę informacyjną w </w:t>
      </w:r>
      <w:r w:rsidRPr="00A10043">
        <w:rPr>
          <w:rFonts w:ascii="Times New Roman" w:hAnsi="Times New Roman" w:cs="Times New Roman"/>
          <w:color w:val="auto"/>
          <w:szCs w:val="24"/>
        </w:rPr>
        <w:t>zakresie działalności Banku, pozwalającą na ocenę skuteczności działania Rady Nadzorczej Banku i Zarządu Banku w zakresie zarządzania Bankiem, monitorowania stanu bezpieczeństwa działalności Banku i za ocenę sytuacji finansowej Banku;</w:t>
      </w:r>
    </w:p>
    <w:p w14:paraId="15CF1B3E" w14:textId="77777777" w:rsidR="002C50F6" w:rsidRPr="00A10043" w:rsidRDefault="00E81BF6" w:rsidP="00FD5E9F">
      <w:pPr>
        <w:numPr>
          <w:ilvl w:val="0"/>
          <w:numId w:val="11"/>
        </w:numPr>
        <w:spacing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zapewnia zgodność działania Banku z obowiązującymi przepisami prawa;</w:t>
      </w:r>
    </w:p>
    <w:p w14:paraId="4554E7E6" w14:textId="77777777" w:rsidR="002C50F6" w:rsidRPr="00A10043" w:rsidRDefault="00E81BF6" w:rsidP="00FD5E9F">
      <w:pPr>
        <w:numPr>
          <w:ilvl w:val="0"/>
          <w:numId w:val="11"/>
        </w:numPr>
        <w:spacing w:after="47"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zapewnienia, że Bank prowadzi politykę służącą zarządzaniu wszystkimi istotnymi rodzajami ryzyka w działalności Banku i posiada procedury w tym zakresie;</w:t>
      </w:r>
    </w:p>
    <w:p w14:paraId="65513C3E" w14:textId="77777777" w:rsidR="002C50F6" w:rsidRPr="00A10043" w:rsidRDefault="00E81BF6" w:rsidP="000D1C31">
      <w:pPr>
        <w:spacing w:after="48"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10)</w:t>
      </w:r>
      <w:r w:rsidR="00BB4CFA" w:rsidRPr="00A10043">
        <w:rPr>
          <w:rFonts w:ascii="Times New Roman" w:hAnsi="Times New Roman" w:cs="Times New Roman"/>
          <w:color w:val="auto"/>
          <w:szCs w:val="24"/>
        </w:rPr>
        <w:t xml:space="preserve"> </w:t>
      </w:r>
      <w:r w:rsidR="00452695" w:rsidRPr="00A10043">
        <w:rPr>
          <w:rFonts w:ascii="Times New Roman" w:hAnsi="Times New Roman" w:cs="Times New Roman"/>
          <w:color w:val="auto"/>
          <w:szCs w:val="24"/>
        </w:rPr>
        <w:t xml:space="preserve"> </w:t>
      </w:r>
      <w:r w:rsidRPr="00A10043">
        <w:rPr>
          <w:rFonts w:ascii="Times New Roman" w:hAnsi="Times New Roman" w:cs="Times New Roman"/>
          <w:color w:val="auto"/>
          <w:szCs w:val="24"/>
        </w:rPr>
        <w:t xml:space="preserve">odpowiada za opracowanie, wprowadzenie oraz aktualizację </w:t>
      </w:r>
      <w:r w:rsidR="00452695" w:rsidRPr="00A10043">
        <w:rPr>
          <w:rFonts w:ascii="Times New Roman" w:hAnsi="Times New Roman" w:cs="Times New Roman"/>
          <w:color w:val="auto"/>
          <w:szCs w:val="24"/>
        </w:rPr>
        <w:t xml:space="preserve">polityki wynagrodzeń </w:t>
      </w:r>
      <w:r w:rsidR="005267E6" w:rsidRPr="00A10043">
        <w:rPr>
          <w:rFonts w:ascii="Times New Roman" w:hAnsi="Times New Roman" w:cs="Times New Roman"/>
          <w:color w:val="auto"/>
          <w:szCs w:val="24"/>
        </w:rPr>
        <w:t>oraz zmiennych składników wynagrodzeń osób, których działalność zawodowa ma istotny wpływ na profil ryzyka w Banku</w:t>
      </w:r>
      <w:r w:rsidRPr="00A10043">
        <w:rPr>
          <w:rFonts w:ascii="Times New Roman" w:hAnsi="Times New Roman" w:cs="Times New Roman"/>
          <w:color w:val="auto"/>
          <w:szCs w:val="24"/>
        </w:rPr>
        <w:t>;</w:t>
      </w:r>
    </w:p>
    <w:p w14:paraId="7881009E" w14:textId="77777777" w:rsidR="002C50F6" w:rsidRPr="00A10043" w:rsidRDefault="00E81BF6" w:rsidP="000D1C31">
      <w:pPr>
        <w:spacing w:after="47"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11)</w:t>
      </w:r>
      <w:r w:rsidR="000D1C31" w:rsidRPr="00A10043">
        <w:rPr>
          <w:rFonts w:ascii="Times New Roman" w:hAnsi="Times New Roman" w:cs="Times New Roman"/>
          <w:color w:val="auto"/>
          <w:szCs w:val="24"/>
        </w:rPr>
        <w:t xml:space="preserve"> </w:t>
      </w:r>
      <w:r w:rsidRPr="00A10043">
        <w:rPr>
          <w:rFonts w:ascii="Times New Roman" w:hAnsi="Times New Roman" w:cs="Times New Roman"/>
          <w:color w:val="auto"/>
          <w:szCs w:val="24"/>
        </w:rPr>
        <w:t>uwzględnia rezultaty badań prowadzonych przez audyt wewnętrzny oraz biegłych rewidentów przy podejmowaniu decyzji w ramach zarządzania Bankiem;</w:t>
      </w:r>
    </w:p>
    <w:p w14:paraId="0801B566" w14:textId="77777777" w:rsidR="002C50F6" w:rsidRPr="00A10043" w:rsidRDefault="00E81BF6" w:rsidP="000D1C31">
      <w:pPr>
        <w:spacing w:after="386" w:line="276" w:lineRule="auto"/>
        <w:ind w:left="851" w:right="8" w:hanging="491"/>
        <w:contextualSpacing/>
        <w:rPr>
          <w:rFonts w:ascii="Times New Roman" w:hAnsi="Times New Roman" w:cs="Times New Roman"/>
          <w:color w:val="auto"/>
          <w:szCs w:val="24"/>
        </w:rPr>
      </w:pPr>
      <w:r w:rsidRPr="00A10043">
        <w:rPr>
          <w:rFonts w:ascii="Times New Roman" w:hAnsi="Times New Roman" w:cs="Times New Roman"/>
          <w:color w:val="auto"/>
          <w:szCs w:val="24"/>
        </w:rPr>
        <w:t>12)</w:t>
      </w:r>
      <w:r w:rsidR="000D1C31" w:rsidRPr="00A10043">
        <w:rPr>
          <w:rFonts w:ascii="Times New Roman" w:hAnsi="Times New Roman" w:cs="Times New Roman"/>
          <w:color w:val="auto"/>
          <w:szCs w:val="24"/>
        </w:rPr>
        <w:t xml:space="preserve"> </w:t>
      </w:r>
      <w:r w:rsidRPr="00A10043">
        <w:rPr>
          <w:rFonts w:ascii="Times New Roman" w:hAnsi="Times New Roman" w:cs="Times New Roman"/>
          <w:color w:val="auto"/>
          <w:szCs w:val="24"/>
        </w:rPr>
        <w:t>przekazuje Radzie Nadzorczej Banku okresowe informacje przedstawiające w sposób rzetelny, przejrzysty i syntetyczny rodzaje i wielkość ryzyka w działalności Banku.</w:t>
      </w:r>
    </w:p>
    <w:p w14:paraId="4498B13E" w14:textId="77777777" w:rsidR="002C50F6" w:rsidRPr="00A10043" w:rsidRDefault="00E81BF6" w:rsidP="000D1C31">
      <w:pPr>
        <w:spacing w:after="47" w:line="276" w:lineRule="auto"/>
        <w:ind w:left="-15" w:right="8" w:firstLine="720"/>
        <w:contextualSpacing/>
        <w:rPr>
          <w:rFonts w:ascii="Times New Roman" w:hAnsi="Times New Roman" w:cs="Times New Roman"/>
          <w:color w:val="auto"/>
          <w:szCs w:val="24"/>
        </w:rPr>
      </w:pPr>
      <w:r w:rsidRPr="00A10043">
        <w:rPr>
          <w:rFonts w:ascii="Times New Roman" w:hAnsi="Times New Roman" w:cs="Times New Roman"/>
          <w:color w:val="auto"/>
          <w:szCs w:val="24"/>
        </w:rPr>
        <w:lastRenderedPageBreak/>
        <w:t>Bank stosuje metody identyfikowania i pomiaru ryzyka związanego z jego działalnością dostosowane do profilu, skali i złożoności ryzyka. W przypadku wątpliwości w zakresie poziomu ryzyka stosuje się podejście z zachowaniem maksymalnego stopnia ostrożności.</w:t>
      </w:r>
    </w:p>
    <w:p w14:paraId="30D4714A" w14:textId="77777777" w:rsidR="002C50F6" w:rsidRPr="00A10043" w:rsidRDefault="00E81BF6" w:rsidP="000D1C31">
      <w:pPr>
        <w:spacing w:after="47" w:line="276" w:lineRule="auto"/>
        <w:ind w:left="-15" w:right="8" w:firstLine="720"/>
        <w:contextualSpacing/>
        <w:rPr>
          <w:rFonts w:ascii="Times New Roman" w:hAnsi="Times New Roman" w:cs="Times New Roman"/>
          <w:color w:val="auto"/>
          <w:szCs w:val="24"/>
        </w:rPr>
      </w:pPr>
      <w:r w:rsidRPr="00A10043">
        <w:rPr>
          <w:rFonts w:ascii="Times New Roman" w:hAnsi="Times New Roman" w:cs="Times New Roman"/>
          <w:color w:val="auto"/>
          <w:szCs w:val="24"/>
        </w:rPr>
        <w:t>Częstotliwość pomiaru ryzyka dostosowana jest do wielkości oraz charakteru poszczególnych rodzajów ryzyka w działalności Banku.</w:t>
      </w:r>
    </w:p>
    <w:p w14:paraId="610AEE96" w14:textId="77777777" w:rsidR="002C50F6" w:rsidRPr="00A10043" w:rsidRDefault="00E81BF6" w:rsidP="000D1C31">
      <w:pPr>
        <w:spacing w:after="48" w:line="276" w:lineRule="auto"/>
        <w:ind w:left="-15" w:right="8" w:firstLine="720"/>
        <w:contextualSpacing/>
        <w:rPr>
          <w:rFonts w:ascii="Times New Roman" w:hAnsi="Times New Roman" w:cs="Times New Roman"/>
          <w:color w:val="auto"/>
          <w:szCs w:val="24"/>
        </w:rPr>
      </w:pPr>
      <w:r w:rsidRPr="00A10043">
        <w:rPr>
          <w:rFonts w:ascii="Times New Roman" w:hAnsi="Times New Roman" w:cs="Times New Roman"/>
          <w:color w:val="auto"/>
          <w:szCs w:val="24"/>
        </w:rPr>
        <w:t>Metody lub systemy pomiaru ryzyka, a w szczególności ich założenia, są poddawane okresowej ocenie uwzględniającej testowanie i weryfikację historyczną.</w:t>
      </w:r>
    </w:p>
    <w:p w14:paraId="7B6FCE00" w14:textId="77777777" w:rsidR="002C50F6" w:rsidRPr="00A10043" w:rsidRDefault="00E81BF6" w:rsidP="000D1C31">
      <w:pPr>
        <w:spacing w:line="276" w:lineRule="auto"/>
        <w:ind w:left="-15" w:right="8" w:firstLine="720"/>
        <w:contextualSpacing/>
        <w:rPr>
          <w:rFonts w:ascii="Times New Roman" w:hAnsi="Times New Roman" w:cs="Times New Roman"/>
          <w:color w:val="auto"/>
          <w:szCs w:val="24"/>
        </w:rPr>
      </w:pPr>
      <w:r w:rsidRPr="00A10043">
        <w:rPr>
          <w:rFonts w:ascii="Times New Roman" w:hAnsi="Times New Roman" w:cs="Times New Roman"/>
          <w:color w:val="auto"/>
          <w:szCs w:val="24"/>
        </w:rPr>
        <w:t xml:space="preserve">Przegląd i aktualizacja metod lub systemów pomiaru ryzyka przeprowadzane są </w:t>
      </w:r>
      <w:r w:rsidR="00BB4CFA" w:rsidRPr="00A10043">
        <w:rPr>
          <w:rFonts w:ascii="Times New Roman" w:hAnsi="Times New Roman" w:cs="Times New Roman"/>
          <w:color w:val="auto"/>
          <w:szCs w:val="24"/>
        </w:rPr>
        <w:t>wraz z </w:t>
      </w:r>
      <w:r w:rsidRPr="00A10043">
        <w:rPr>
          <w:rFonts w:ascii="Times New Roman" w:hAnsi="Times New Roman" w:cs="Times New Roman"/>
          <w:color w:val="auto"/>
          <w:szCs w:val="24"/>
        </w:rPr>
        <w:t>przeglądem procedur dotyczących zarządzania ryzykiem.</w:t>
      </w:r>
    </w:p>
    <w:p w14:paraId="0B3ECA38" w14:textId="77777777" w:rsidR="002C50F6" w:rsidRPr="00A10043" w:rsidRDefault="00E81BF6" w:rsidP="000D1C31">
      <w:pPr>
        <w:spacing w:after="47" w:line="276" w:lineRule="auto"/>
        <w:ind w:left="-15" w:right="8" w:firstLine="720"/>
        <w:contextualSpacing/>
        <w:rPr>
          <w:rFonts w:ascii="Times New Roman" w:hAnsi="Times New Roman" w:cs="Times New Roman"/>
          <w:color w:val="auto"/>
          <w:szCs w:val="24"/>
        </w:rPr>
      </w:pPr>
      <w:r w:rsidRPr="00A10043">
        <w:rPr>
          <w:rFonts w:ascii="Times New Roman" w:hAnsi="Times New Roman" w:cs="Times New Roman"/>
          <w:color w:val="auto"/>
          <w:szCs w:val="24"/>
        </w:rPr>
        <w:t xml:space="preserve">Bank wprowadza odpowiednie do skali i złożoności działalności limity wewnętrzne ograniczające poziom ryzyka występującego w poszczególnych obszarach działania Banku. </w:t>
      </w:r>
    </w:p>
    <w:p w14:paraId="02E06F55" w14:textId="77777777" w:rsidR="002C50F6" w:rsidRPr="00A10043" w:rsidRDefault="00E81BF6" w:rsidP="000D1C31">
      <w:pPr>
        <w:spacing w:after="48" w:line="276" w:lineRule="auto"/>
        <w:ind w:left="-5" w:right="8"/>
        <w:contextualSpacing/>
        <w:rPr>
          <w:rFonts w:ascii="Times New Roman" w:hAnsi="Times New Roman" w:cs="Times New Roman"/>
          <w:color w:val="auto"/>
          <w:szCs w:val="24"/>
        </w:rPr>
      </w:pPr>
      <w:r w:rsidRPr="00A10043">
        <w:rPr>
          <w:rFonts w:ascii="Times New Roman" w:hAnsi="Times New Roman" w:cs="Times New Roman"/>
          <w:color w:val="auto"/>
          <w:szCs w:val="24"/>
        </w:rPr>
        <w:t>Procedury wewnętrzne określają zasady ustalania i aktual</w:t>
      </w:r>
      <w:r w:rsidR="00BB4CFA" w:rsidRPr="00A10043">
        <w:rPr>
          <w:rFonts w:ascii="Times New Roman" w:hAnsi="Times New Roman" w:cs="Times New Roman"/>
          <w:color w:val="auto"/>
          <w:szCs w:val="24"/>
        </w:rPr>
        <w:t>izowania wysokości limitów oraz </w:t>
      </w:r>
      <w:r w:rsidRPr="00A10043">
        <w:rPr>
          <w:rFonts w:ascii="Times New Roman" w:hAnsi="Times New Roman" w:cs="Times New Roman"/>
          <w:color w:val="auto"/>
          <w:szCs w:val="24"/>
        </w:rPr>
        <w:t>częstotliwość monitorowania ich przestrzegania i raportowania.</w:t>
      </w:r>
    </w:p>
    <w:p w14:paraId="771BD110" w14:textId="77777777" w:rsidR="002C50F6" w:rsidRPr="00A10043" w:rsidRDefault="00E81BF6" w:rsidP="000D1C31">
      <w:pPr>
        <w:spacing w:after="47" w:line="276" w:lineRule="auto"/>
        <w:ind w:left="-5" w:right="8"/>
        <w:contextualSpacing/>
        <w:rPr>
          <w:rFonts w:ascii="Times New Roman" w:hAnsi="Times New Roman" w:cs="Times New Roman"/>
          <w:color w:val="auto"/>
          <w:szCs w:val="24"/>
        </w:rPr>
      </w:pPr>
      <w:r w:rsidRPr="00A10043">
        <w:rPr>
          <w:rFonts w:ascii="Times New Roman" w:hAnsi="Times New Roman" w:cs="Times New Roman"/>
          <w:color w:val="auto"/>
          <w:szCs w:val="24"/>
        </w:rPr>
        <w:t>Poziom limitów wewnętrznych jest dostosowany do akceptowanego przez Radę Nadzorczą Banku ogólnego poziomu ryzyka Banku.</w:t>
      </w:r>
    </w:p>
    <w:p w14:paraId="01305412" w14:textId="77777777" w:rsidR="002C50F6" w:rsidRPr="00A10043" w:rsidRDefault="00E81BF6" w:rsidP="000D1C31">
      <w:pPr>
        <w:spacing w:after="48" w:line="276" w:lineRule="auto"/>
        <w:ind w:left="-5" w:right="8"/>
        <w:contextualSpacing/>
        <w:rPr>
          <w:rFonts w:ascii="Times New Roman" w:hAnsi="Times New Roman" w:cs="Times New Roman"/>
          <w:color w:val="auto"/>
          <w:szCs w:val="24"/>
        </w:rPr>
      </w:pPr>
      <w:r w:rsidRPr="00A10043">
        <w:rPr>
          <w:rFonts w:ascii="Times New Roman" w:hAnsi="Times New Roman" w:cs="Times New Roman"/>
          <w:color w:val="auto"/>
          <w:szCs w:val="24"/>
        </w:rPr>
        <w:t>Analizy będące podstawą do określenia wysokości limitó</w:t>
      </w:r>
      <w:r w:rsidR="00BB4CFA" w:rsidRPr="00A10043">
        <w:rPr>
          <w:rFonts w:ascii="Times New Roman" w:hAnsi="Times New Roman" w:cs="Times New Roman"/>
          <w:color w:val="auto"/>
          <w:szCs w:val="24"/>
        </w:rPr>
        <w:t>w wewnętrznych są sporządzane w </w:t>
      </w:r>
      <w:r w:rsidRPr="00A10043">
        <w:rPr>
          <w:rFonts w:ascii="Times New Roman" w:hAnsi="Times New Roman" w:cs="Times New Roman"/>
          <w:color w:val="auto"/>
          <w:szCs w:val="24"/>
        </w:rPr>
        <w:t>formie pisemnej.</w:t>
      </w:r>
    </w:p>
    <w:p w14:paraId="3615E751" w14:textId="77777777" w:rsidR="002C50F6" w:rsidRPr="00A10043" w:rsidRDefault="00E81BF6" w:rsidP="000D1C31">
      <w:pPr>
        <w:spacing w:after="63" w:line="276" w:lineRule="auto"/>
        <w:ind w:left="-5" w:right="8"/>
        <w:contextualSpacing/>
        <w:rPr>
          <w:rFonts w:ascii="Times New Roman" w:hAnsi="Times New Roman" w:cs="Times New Roman"/>
          <w:color w:val="auto"/>
          <w:szCs w:val="24"/>
        </w:rPr>
      </w:pPr>
      <w:r w:rsidRPr="00A10043">
        <w:rPr>
          <w:rFonts w:ascii="Times New Roman" w:hAnsi="Times New Roman" w:cs="Times New Roman"/>
          <w:color w:val="auto"/>
          <w:szCs w:val="24"/>
        </w:rPr>
        <w:t>Bank określa wysokość limitów (w zależności od rodzaju ryzyka lub charakteru limitu) w oparciu o następujące przesłanki:</w:t>
      </w:r>
    </w:p>
    <w:p w14:paraId="0157F1C9" w14:textId="77777777" w:rsidR="002C50F6" w:rsidRPr="00A10043" w:rsidRDefault="00E81BF6" w:rsidP="00FD5E9F">
      <w:pPr>
        <w:numPr>
          <w:ilvl w:val="0"/>
          <w:numId w:val="12"/>
        </w:numPr>
        <w:spacing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analizę historyczną stopnia wykorzystania limitu;</w:t>
      </w:r>
    </w:p>
    <w:p w14:paraId="25E3656B" w14:textId="77777777" w:rsidR="002C50F6" w:rsidRPr="00A10043" w:rsidRDefault="00E81BF6" w:rsidP="00FD5E9F">
      <w:pPr>
        <w:numPr>
          <w:ilvl w:val="0"/>
          <w:numId w:val="12"/>
        </w:numPr>
        <w:spacing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apetyt na ryzyko określony przez Radę Nadzorczą;</w:t>
      </w:r>
    </w:p>
    <w:p w14:paraId="1FB67298" w14:textId="77777777" w:rsidR="002C50F6" w:rsidRPr="00A10043" w:rsidRDefault="00E81BF6" w:rsidP="00FD5E9F">
      <w:pPr>
        <w:numPr>
          <w:ilvl w:val="0"/>
          <w:numId w:val="12"/>
        </w:numPr>
        <w:spacing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wysokość ryzyka, którym jest obciążona pozycja objęta limitem;</w:t>
      </w:r>
    </w:p>
    <w:p w14:paraId="35570374" w14:textId="77777777" w:rsidR="002C50F6" w:rsidRPr="00A10043" w:rsidRDefault="00E81BF6" w:rsidP="00BB4CFA">
      <w:pPr>
        <w:numPr>
          <w:ilvl w:val="0"/>
          <w:numId w:val="12"/>
        </w:numPr>
        <w:spacing w:after="192"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wynik testów warunków skrajnych, przeprowadzanych w ramach zarządzania</w:t>
      </w:r>
      <w:r w:rsidR="00BB4CFA" w:rsidRPr="00A10043">
        <w:rPr>
          <w:rFonts w:ascii="Times New Roman" w:hAnsi="Times New Roman" w:cs="Times New Roman"/>
          <w:color w:val="auto"/>
          <w:szCs w:val="24"/>
        </w:rPr>
        <w:t xml:space="preserve"> </w:t>
      </w:r>
      <w:r w:rsidRPr="00A10043">
        <w:rPr>
          <w:rFonts w:ascii="Times New Roman" w:hAnsi="Times New Roman" w:cs="Times New Roman"/>
          <w:color w:val="auto"/>
          <w:szCs w:val="24"/>
        </w:rPr>
        <w:t>poszczególnymi rodzajami ryzyka.</w:t>
      </w:r>
    </w:p>
    <w:p w14:paraId="662C4D3F" w14:textId="77777777" w:rsidR="002C50F6" w:rsidRPr="00A10043" w:rsidRDefault="00E81BF6" w:rsidP="000D1C31">
      <w:pPr>
        <w:spacing w:after="48" w:line="276" w:lineRule="auto"/>
        <w:ind w:left="-5" w:right="8"/>
        <w:contextualSpacing/>
        <w:rPr>
          <w:rFonts w:ascii="Times New Roman" w:hAnsi="Times New Roman" w:cs="Times New Roman"/>
          <w:color w:val="auto"/>
          <w:szCs w:val="24"/>
        </w:rPr>
      </w:pPr>
      <w:r w:rsidRPr="00A10043">
        <w:rPr>
          <w:rFonts w:ascii="Times New Roman" w:hAnsi="Times New Roman" w:cs="Times New Roman"/>
          <w:color w:val="auto"/>
          <w:szCs w:val="24"/>
        </w:rPr>
        <w:t xml:space="preserve">Z zachowaniem limitów określonych w </w:t>
      </w:r>
      <w:r w:rsidRPr="00A10043">
        <w:rPr>
          <w:rFonts w:ascii="Times New Roman" w:hAnsi="Times New Roman" w:cs="Times New Roman"/>
          <w:i/>
          <w:color w:val="auto"/>
          <w:szCs w:val="24"/>
        </w:rPr>
        <w:t>ustawie Prawo bankowe</w:t>
      </w:r>
      <w:r w:rsidRPr="00A10043">
        <w:rPr>
          <w:rFonts w:ascii="Times New Roman" w:hAnsi="Times New Roman" w:cs="Times New Roman"/>
          <w:color w:val="auto"/>
          <w:szCs w:val="24"/>
        </w:rPr>
        <w:t>, Bank ustalił i weryfikuje wewnętrzne limity koncentracji ekspozycji.</w:t>
      </w:r>
    </w:p>
    <w:p w14:paraId="4C9C52C0" w14:textId="77777777" w:rsidR="002C50F6" w:rsidRPr="00A10043" w:rsidRDefault="00E81BF6" w:rsidP="000D1C31">
      <w:pPr>
        <w:spacing w:after="47" w:line="276" w:lineRule="auto"/>
        <w:ind w:left="-5" w:right="8"/>
        <w:contextualSpacing/>
        <w:rPr>
          <w:rFonts w:ascii="Times New Roman" w:hAnsi="Times New Roman" w:cs="Times New Roman"/>
          <w:color w:val="auto"/>
          <w:szCs w:val="24"/>
        </w:rPr>
      </w:pPr>
      <w:r w:rsidRPr="00A10043">
        <w:rPr>
          <w:rFonts w:ascii="Times New Roman" w:hAnsi="Times New Roman" w:cs="Times New Roman"/>
          <w:color w:val="auto"/>
          <w:szCs w:val="24"/>
        </w:rPr>
        <w:t xml:space="preserve">Procedury wewnętrzne dotyczące zarządzania ryzykiem </w:t>
      </w:r>
      <w:r w:rsidR="005267E6" w:rsidRPr="00A10043">
        <w:rPr>
          <w:rFonts w:ascii="Times New Roman" w:hAnsi="Times New Roman" w:cs="Times New Roman"/>
          <w:color w:val="auto"/>
          <w:szCs w:val="24"/>
        </w:rPr>
        <w:t>wskazują</w:t>
      </w:r>
      <w:r w:rsidRPr="00A10043">
        <w:rPr>
          <w:rFonts w:ascii="Times New Roman" w:hAnsi="Times New Roman" w:cs="Times New Roman"/>
          <w:color w:val="auto"/>
          <w:szCs w:val="24"/>
        </w:rPr>
        <w:t xml:space="preserve"> sytuacje, w których dopuszczalne jest przekroczenie limitów wewnętrznych, warunki akceptacji przekroczeń oraz sposób postępowania w przypadku przekroczenia limitów wewnętrznych.</w:t>
      </w:r>
    </w:p>
    <w:p w14:paraId="241F5E47" w14:textId="77777777" w:rsidR="002C50F6" w:rsidRPr="00A10043" w:rsidRDefault="00E81BF6" w:rsidP="000D1C31">
      <w:pPr>
        <w:spacing w:line="276" w:lineRule="auto"/>
        <w:ind w:left="-5" w:right="8"/>
        <w:contextualSpacing/>
        <w:rPr>
          <w:rFonts w:ascii="Times New Roman" w:hAnsi="Times New Roman" w:cs="Times New Roman"/>
          <w:color w:val="auto"/>
          <w:szCs w:val="24"/>
        </w:rPr>
      </w:pPr>
      <w:r w:rsidRPr="00A10043">
        <w:rPr>
          <w:rFonts w:ascii="Times New Roman" w:hAnsi="Times New Roman" w:cs="Times New Roman"/>
          <w:color w:val="auto"/>
          <w:szCs w:val="24"/>
        </w:rPr>
        <w:t>Przyjęte rodzaje limitów wewnętrznych, dotyczących poszczególnych rodzajów ryzyka oraz ich wysokość</w:t>
      </w:r>
      <w:r w:rsidR="00BB4CFA" w:rsidRPr="00A10043">
        <w:rPr>
          <w:rFonts w:ascii="Times New Roman" w:hAnsi="Times New Roman" w:cs="Times New Roman"/>
          <w:color w:val="auto"/>
          <w:szCs w:val="24"/>
        </w:rPr>
        <w:t xml:space="preserve"> </w:t>
      </w:r>
      <w:r w:rsidRPr="00A10043">
        <w:rPr>
          <w:rFonts w:ascii="Times New Roman" w:hAnsi="Times New Roman" w:cs="Times New Roman"/>
          <w:color w:val="auto"/>
          <w:szCs w:val="24"/>
        </w:rPr>
        <w:t>zatwierdza Zarząd Banku.</w:t>
      </w:r>
    </w:p>
    <w:p w14:paraId="62708B0E" w14:textId="77777777" w:rsidR="002C50F6" w:rsidRPr="00A10043" w:rsidRDefault="00E81BF6" w:rsidP="000D1C31">
      <w:pPr>
        <w:spacing w:after="47" w:line="276" w:lineRule="auto"/>
        <w:ind w:left="-5" w:right="8"/>
        <w:contextualSpacing/>
        <w:rPr>
          <w:rFonts w:ascii="Times New Roman" w:hAnsi="Times New Roman" w:cs="Times New Roman"/>
          <w:color w:val="auto"/>
          <w:szCs w:val="24"/>
        </w:rPr>
      </w:pPr>
      <w:r w:rsidRPr="00A10043">
        <w:rPr>
          <w:rFonts w:ascii="Times New Roman" w:hAnsi="Times New Roman" w:cs="Times New Roman"/>
          <w:color w:val="auto"/>
          <w:szCs w:val="24"/>
        </w:rPr>
        <w:t>Przekroczenia limitów wewnętrznych są monitorowane i poddawane szczegółowej analizie – zadania te wykonują komórki organizacyjne wskazane w procedurach szczegółowych dotyczących zarządzania poszczególnymi rodzajami ryzyka.</w:t>
      </w:r>
    </w:p>
    <w:p w14:paraId="129379F2" w14:textId="77777777" w:rsidR="002C50F6" w:rsidRPr="00A10043" w:rsidRDefault="00E81BF6" w:rsidP="000D1C31">
      <w:pPr>
        <w:spacing w:after="47" w:line="276" w:lineRule="auto"/>
        <w:ind w:left="-15" w:right="8" w:firstLine="720"/>
        <w:contextualSpacing/>
        <w:rPr>
          <w:rFonts w:ascii="Times New Roman" w:hAnsi="Times New Roman" w:cs="Times New Roman"/>
          <w:color w:val="auto"/>
          <w:szCs w:val="24"/>
        </w:rPr>
      </w:pPr>
      <w:r w:rsidRPr="00A10043">
        <w:rPr>
          <w:rFonts w:ascii="Times New Roman" w:hAnsi="Times New Roman" w:cs="Times New Roman"/>
          <w:color w:val="auto"/>
          <w:szCs w:val="24"/>
        </w:rPr>
        <w:t>Podstawę monitorowania procesu zarządzania ryzykiem w Banku stanowi formalnie ustanowiony system informacji zarządczej.</w:t>
      </w:r>
    </w:p>
    <w:p w14:paraId="3EB9F4EF" w14:textId="77777777" w:rsidR="002C50F6" w:rsidRPr="00A10043" w:rsidRDefault="00E81BF6" w:rsidP="000D1C31">
      <w:pPr>
        <w:spacing w:line="276" w:lineRule="auto"/>
        <w:ind w:left="-5" w:right="8"/>
        <w:contextualSpacing/>
        <w:rPr>
          <w:rFonts w:ascii="Times New Roman" w:hAnsi="Times New Roman" w:cs="Times New Roman"/>
          <w:color w:val="auto"/>
          <w:szCs w:val="24"/>
        </w:rPr>
      </w:pPr>
      <w:r w:rsidRPr="00A10043">
        <w:rPr>
          <w:rFonts w:ascii="Times New Roman" w:hAnsi="Times New Roman" w:cs="Times New Roman"/>
          <w:color w:val="auto"/>
          <w:szCs w:val="24"/>
        </w:rPr>
        <w:t>System informacji zarządczej dostarcza informacji na temat:</w:t>
      </w:r>
    </w:p>
    <w:p w14:paraId="7EF63B41" w14:textId="77777777" w:rsidR="002C50F6" w:rsidRPr="00A10043" w:rsidRDefault="00E81BF6" w:rsidP="00FD5E9F">
      <w:pPr>
        <w:numPr>
          <w:ilvl w:val="0"/>
          <w:numId w:val="13"/>
        </w:numPr>
        <w:spacing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rodzajów i wielkości ryzyka w działalności Banku;</w:t>
      </w:r>
    </w:p>
    <w:p w14:paraId="474C22ED" w14:textId="77777777" w:rsidR="002C50F6" w:rsidRPr="00A10043" w:rsidRDefault="00E81BF6" w:rsidP="00FD5E9F">
      <w:pPr>
        <w:numPr>
          <w:ilvl w:val="0"/>
          <w:numId w:val="13"/>
        </w:numPr>
        <w:spacing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profilu ryzyka;</w:t>
      </w:r>
    </w:p>
    <w:p w14:paraId="4EE4B0BE" w14:textId="77777777" w:rsidR="002C50F6" w:rsidRPr="00A10043" w:rsidRDefault="00E81BF6" w:rsidP="00FD5E9F">
      <w:pPr>
        <w:numPr>
          <w:ilvl w:val="0"/>
          <w:numId w:val="13"/>
        </w:numPr>
        <w:spacing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stopnia wykorzystania limitów wewnętrznych;</w:t>
      </w:r>
    </w:p>
    <w:p w14:paraId="365D5047" w14:textId="77777777" w:rsidR="002C50F6" w:rsidRPr="00A10043" w:rsidRDefault="00E81BF6" w:rsidP="00FD5E9F">
      <w:pPr>
        <w:numPr>
          <w:ilvl w:val="0"/>
          <w:numId w:val="13"/>
        </w:numPr>
        <w:spacing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lastRenderedPageBreak/>
        <w:t>wyników testów warunków skrajnych;</w:t>
      </w:r>
    </w:p>
    <w:p w14:paraId="34DD72CF" w14:textId="77777777" w:rsidR="002C50F6" w:rsidRPr="00A10043" w:rsidRDefault="00E81BF6" w:rsidP="00FD5E9F">
      <w:pPr>
        <w:numPr>
          <w:ilvl w:val="0"/>
          <w:numId w:val="13"/>
        </w:numPr>
        <w:spacing w:line="276" w:lineRule="auto"/>
        <w:ind w:right="8" w:hanging="360"/>
        <w:contextualSpacing/>
        <w:rPr>
          <w:rFonts w:ascii="Times New Roman" w:hAnsi="Times New Roman" w:cs="Times New Roman"/>
          <w:color w:val="auto"/>
          <w:szCs w:val="24"/>
        </w:rPr>
      </w:pPr>
      <w:r w:rsidRPr="00A10043">
        <w:rPr>
          <w:rFonts w:ascii="Times New Roman" w:hAnsi="Times New Roman" w:cs="Times New Roman"/>
          <w:color w:val="auto"/>
          <w:szCs w:val="24"/>
        </w:rPr>
        <w:t>skutków decyzji w zakresie zarządzania ryzykiem.</w:t>
      </w:r>
    </w:p>
    <w:p w14:paraId="2E8A3FD3" w14:textId="77777777" w:rsidR="002C50F6" w:rsidRPr="00A10043" w:rsidRDefault="00E81BF6" w:rsidP="000D1C31">
      <w:pPr>
        <w:spacing w:after="48" w:line="276" w:lineRule="auto"/>
        <w:ind w:left="-5" w:right="8"/>
        <w:contextualSpacing/>
        <w:rPr>
          <w:rFonts w:ascii="Times New Roman" w:hAnsi="Times New Roman" w:cs="Times New Roman"/>
          <w:color w:val="auto"/>
          <w:szCs w:val="24"/>
        </w:rPr>
      </w:pPr>
      <w:r w:rsidRPr="00A10043">
        <w:rPr>
          <w:rFonts w:ascii="Times New Roman" w:hAnsi="Times New Roman" w:cs="Times New Roman"/>
          <w:color w:val="auto"/>
          <w:szCs w:val="24"/>
        </w:rPr>
        <w:t>Monitorowanie ryzyka odbywa się z częstotliwością umożliwi</w:t>
      </w:r>
      <w:r w:rsidR="00BB4CFA" w:rsidRPr="00A10043">
        <w:rPr>
          <w:rFonts w:ascii="Times New Roman" w:hAnsi="Times New Roman" w:cs="Times New Roman"/>
          <w:color w:val="auto"/>
          <w:szCs w:val="24"/>
        </w:rPr>
        <w:t>ającą dostarczenie informacji o </w:t>
      </w:r>
      <w:r w:rsidRPr="00A10043">
        <w:rPr>
          <w:rFonts w:ascii="Times New Roman" w:hAnsi="Times New Roman" w:cs="Times New Roman"/>
          <w:color w:val="auto"/>
          <w:szCs w:val="24"/>
        </w:rPr>
        <w:t>zmianach profilu ryzyka Banku.</w:t>
      </w:r>
    </w:p>
    <w:p w14:paraId="08BF4637" w14:textId="77777777" w:rsidR="002C50F6" w:rsidRPr="00A10043" w:rsidRDefault="00E81BF6" w:rsidP="00BB4CFA">
      <w:pPr>
        <w:spacing w:after="192" w:line="276" w:lineRule="auto"/>
        <w:ind w:left="-5" w:right="8"/>
        <w:contextualSpacing/>
        <w:rPr>
          <w:rFonts w:ascii="Times New Roman" w:hAnsi="Times New Roman" w:cs="Times New Roman"/>
          <w:color w:val="auto"/>
          <w:szCs w:val="24"/>
        </w:rPr>
      </w:pPr>
      <w:r w:rsidRPr="00A10043">
        <w:rPr>
          <w:rFonts w:ascii="Times New Roman" w:hAnsi="Times New Roman" w:cs="Times New Roman"/>
          <w:color w:val="auto"/>
          <w:szCs w:val="24"/>
        </w:rPr>
        <w:t>Zakres oraz szczegółowość sprawozdań wewnętrznych są dostosowane do rodzaju</w:t>
      </w:r>
      <w:r w:rsidR="00BB4CFA" w:rsidRPr="00A10043">
        <w:rPr>
          <w:rFonts w:ascii="Times New Roman" w:hAnsi="Times New Roman" w:cs="Times New Roman"/>
          <w:color w:val="auto"/>
          <w:szCs w:val="24"/>
        </w:rPr>
        <w:t xml:space="preserve"> </w:t>
      </w:r>
      <w:r w:rsidRPr="00A10043">
        <w:rPr>
          <w:rFonts w:ascii="Times New Roman" w:hAnsi="Times New Roman" w:cs="Times New Roman"/>
          <w:color w:val="auto"/>
          <w:szCs w:val="24"/>
        </w:rPr>
        <w:t>raportowanego ryzyka oraz odbiorców informacji.</w:t>
      </w:r>
    </w:p>
    <w:p w14:paraId="2CF5672D" w14:textId="77777777" w:rsidR="002C50F6" w:rsidRPr="00A10043" w:rsidRDefault="00E81BF6" w:rsidP="000D1C31">
      <w:pPr>
        <w:spacing w:after="48" w:line="276" w:lineRule="auto"/>
        <w:ind w:left="-5" w:right="8"/>
        <w:contextualSpacing/>
        <w:rPr>
          <w:rFonts w:ascii="Times New Roman" w:hAnsi="Times New Roman" w:cs="Times New Roman"/>
          <w:color w:val="auto"/>
          <w:szCs w:val="24"/>
        </w:rPr>
      </w:pPr>
      <w:r w:rsidRPr="00A10043">
        <w:rPr>
          <w:rFonts w:ascii="Times New Roman" w:hAnsi="Times New Roman" w:cs="Times New Roman"/>
          <w:color w:val="auto"/>
          <w:szCs w:val="24"/>
        </w:rPr>
        <w:t>Rzetelność, dokładność oraz aktualność dostarczanych in</w:t>
      </w:r>
      <w:r w:rsidR="00BB4CFA" w:rsidRPr="00A10043">
        <w:rPr>
          <w:rFonts w:ascii="Times New Roman" w:hAnsi="Times New Roman" w:cs="Times New Roman"/>
          <w:color w:val="auto"/>
          <w:szCs w:val="24"/>
        </w:rPr>
        <w:t>formacji zapewnia wprowadzony w </w:t>
      </w:r>
      <w:r w:rsidRPr="00A10043">
        <w:rPr>
          <w:rFonts w:ascii="Times New Roman" w:hAnsi="Times New Roman" w:cs="Times New Roman"/>
          <w:color w:val="auto"/>
          <w:szCs w:val="24"/>
        </w:rPr>
        <w:t>Banku system kontroli wewnętrznej.</w:t>
      </w:r>
    </w:p>
    <w:p w14:paraId="5D83EFDB" w14:textId="77777777" w:rsidR="002C50F6" w:rsidRPr="00A10043" w:rsidRDefault="00E81BF6" w:rsidP="000D1C31">
      <w:pPr>
        <w:spacing w:line="276" w:lineRule="auto"/>
        <w:ind w:left="-5" w:right="8"/>
        <w:contextualSpacing/>
        <w:rPr>
          <w:rFonts w:ascii="Times New Roman" w:hAnsi="Times New Roman" w:cs="Times New Roman"/>
          <w:color w:val="auto"/>
          <w:szCs w:val="24"/>
        </w:rPr>
      </w:pPr>
      <w:r w:rsidRPr="00A10043">
        <w:rPr>
          <w:rFonts w:ascii="Times New Roman" w:hAnsi="Times New Roman" w:cs="Times New Roman"/>
          <w:color w:val="auto"/>
          <w:szCs w:val="24"/>
        </w:rPr>
        <w:t>Szczegółowe zasady działania systemu informacji zarządczej reguluje w Banku odrębna procedura. Ponadto w regulacjach dotyczących zarządzania poszczególnymi rodzajami ryzyka bankowego został określony w sposób ogólny zakres informacji zarządczej z obszaru, którego dotyczy regulacja.</w:t>
      </w:r>
    </w:p>
    <w:p w14:paraId="29957B7A" w14:textId="77777777" w:rsidR="002C50F6" w:rsidRPr="00A10043" w:rsidRDefault="00E81BF6">
      <w:pPr>
        <w:pStyle w:val="Nagwek3"/>
        <w:ind w:left="-5" w:right="7"/>
        <w:rPr>
          <w:rFonts w:ascii="Times New Roman" w:hAnsi="Times New Roman" w:cs="Times New Roman"/>
          <w:color w:val="auto"/>
        </w:rPr>
      </w:pPr>
      <w:bookmarkStart w:id="6" w:name="_Toc75336249"/>
      <w:r w:rsidRPr="00A10043">
        <w:rPr>
          <w:rFonts w:ascii="Times New Roman" w:hAnsi="Times New Roman" w:cs="Times New Roman"/>
          <w:color w:val="auto"/>
        </w:rPr>
        <w:t>2.1.1 Oświadczenie na temat adekwatności ustaleń dotyczących zarządzania ryzykiem w instytucji</w:t>
      </w:r>
      <w:bookmarkEnd w:id="6"/>
    </w:p>
    <w:p w14:paraId="66AEC5C5" w14:textId="57AFCDA1" w:rsidR="002C50F6" w:rsidRPr="00A10043" w:rsidRDefault="00E81BF6" w:rsidP="002E2D69">
      <w:pPr>
        <w:spacing w:after="298" w:line="276" w:lineRule="auto"/>
        <w:ind w:left="-6" w:right="6" w:hanging="11"/>
        <w:rPr>
          <w:rFonts w:ascii="Times New Roman" w:hAnsi="Times New Roman" w:cs="Times New Roman"/>
          <w:color w:val="auto"/>
        </w:rPr>
      </w:pPr>
      <w:r w:rsidRPr="00A10043">
        <w:rPr>
          <w:rFonts w:ascii="Times New Roman" w:hAnsi="Times New Roman" w:cs="Times New Roman"/>
          <w:color w:val="auto"/>
        </w:rPr>
        <w:t>Z</w:t>
      </w:r>
      <w:r w:rsidR="005267E6" w:rsidRPr="00A10043">
        <w:rPr>
          <w:rFonts w:ascii="Times New Roman" w:hAnsi="Times New Roman" w:cs="Times New Roman"/>
          <w:color w:val="auto"/>
        </w:rPr>
        <w:t>łożone</w:t>
      </w:r>
      <w:r w:rsidRPr="00A10043">
        <w:rPr>
          <w:rFonts w:ascii="Times New Roman" w:hAnsi="Times New Roman" w:cs="Times New Roman"/>
          <w:color w:val="auto"/>
        </w:rPr>
        <w:t xml:space="preserve"> przez Zarząd Banku oświadczenie na temat adekwatności ustaleń dotyczących zarządzania ryzykiem w Banku, dające pewność, że stosowane systemy zarządzania ryzykiem są odpowiednie z punktu widzenia profilu i strategii Banku, o którym mowa w art. 4</w:t>
      </w:r>
      <w:r w:rsidR="009E1B70" w:rsidRPr="00A10043">
        <w:rPr>
          <w:rFonts w:ascii="Times New Roman" w:hAnsi="Times New Roman" w:cs="Times New Roman"/>
          <w:color w:val="auto"/>
        </w:rPr>
        <w:t>35</w:t>
      </w:r>
      <w:r w:rsidRPr="00A10043">
        <w:rPr>
          <w:rFonts w:ascii="Times New Roman" w:hAnsi="Times New Roman" w:cs="Times New Roman"/>
          <w:color w:val="auto"/>
        </w:rPr>
        <w:t xml:space="preserve"> ust. 1 lit. e) </w:t>
      </w:r>
      <w:r w:rsidRPr="00A10043">
        <w:rPr>
          <w:rFonts w:ascii="Times New Roman" w:hAnsi="Times New Roman" w:cs="Times New Roman"/>
          <w:i/>
          <w:color w:val="auto"/>
        </w:rPr>
        <w:t>Rozporządzenia CRR</w:t>
      </w:r>
      <w:r w:rsidRPr="00A10043">
        <w:rPr>
          <w:rFonts w:ascii="Times New Roman" w:hAnsi="Times New Roman" w:cs="Times New Roman"/>
          <w:color w:val="auto"/>
        </w:rPr>
        <w:t xml:space="preserve">, zawarte jest w </w:t>
      </w:r>
      <w:r w:rsidRPr="00A10043">
        <w:rPr>
          <w:rFonts w:ascii="Times New Roman" w:hAnsi="Times New Roman" w:cs="Times New Roman"/>
          <w:i/>
          <w:color w:val="auto"/>
        </w:rPr>
        <w:t xml:space="preserve">Załączniku nr 1 </w:t>
      </w:r>
      <w:r w:rsidRPr="00A10043">
        <w:rPr>
          <w:rFonts w:ascii="Times New Roman" w:hAnsi="Times New Roman" w:cs="Times New Roman"/>
          <w:color w:val="auto"/>
        </w:rPr>
        <w:t xml:space="preserve">do niniejszego </w:t>
      </w:r>
      <w:r w:rsidRPr="00A10043">
        <w:rPr>
          <w:rFonts w:ascii="Times New Roman" w:hAnsi="Times New Roman" w:cs="Times New Roman"/>
          <w:i/>
          <w:color w:val="auto"/>
        </w:rPr>
        <w:t>Ujawnienia</w:t>
      </w:r>
      <w:r w:rsidRPr="00A10043">
        <w:rPr>
          <w:rFonts w:ascii="Times New Roman" w:hAnsi="Times New Roman" w:cs="Times New Roman"/>
          <w:color w:val="auto"/>
        </w:rPr>
        <w:t>.</w:t>
      </w:r>
    </w:p>
    <w:p w14:paraId="59E5F739" w14:textId="77777777" w:rsidR="002C50F6" w:rsidRPr="00A10043" w:rsidRDefault="00E81BF6" w:rsidP="002E2D69">
      <w:pPr>
        <w:pStyle w:val="Nagwek3"/>
        <w:spacing w:line="276" w:lineRule="auto"/>
        <w:ind w:left="-6" w:right="6" w:hanging="11"/>
        <w:rPr>
          <w:rFonts w:ascii="Times New Roman" w:hAnsi="Times New Roman" w:cs="Times New Roman"/>
          <w:color w:val="auto"/>
        </w:rPr>
      </w:pPr>
      <w:bookmarkStart w:id="7" w:name="_Toc75336250"/>
      <w:r w:rsidRPr="00A10043">
        <w:rPr>
          <w:rFonts w:ascii="Times New Roman" w:hAnsi="Times New Roman" w:cs="Times New Roman"/>
          <w:color w:val="auto"/>
        </w:rPr>
        <w:t>2.1.2. Oświadczenie na temat ryzyka</w:t>
      </w:r>
      <w:bookmarkEnd w:id="7"/>
    </w:p>
    <w:p w14:paraId="664A2BAF" w14:textId="77777777" w:rsidR="002C50F6" w:rsidRPr="00A10043" w:rsidRDefault="00E81BF6" w:rsidP="00C03E07">
      <w:pPr>
        <w:spacing w:after="298" w:line="276" w:lineRule="auto"/>
        <w:ind w:left="-6" w:right="6" w:hanging="11"/>
        <w:rPr>
          <w:rFonts w:ascii="Times New Roman" w:hAnsi="Times New Roman" w:cs="Times New Roman"/>
          <w:color w:val="auto"/>
        </w:rPr>
      </w:pPr>
      <w:r w:rsidRPr="00A10043">
        <w:rPr>
          <w:rFonts w:ascii="Times New Roman" w:hAnsi="Times New Roman" w:cs="Times New Roman"/>
          <w:color w:val="auto"/>
        </w:rPr>
        <w:t xml:space="preserve">Oświadczenie na temat ryzyka, zgodne z wymogami art. 435 ust 1. lit f) </w:t>
      </w:r>
      <w:r w:rsidRPr="00A10043">
        <w:rPr>
          <w:rFonts w:ascii="Times New Roman" w:hAnsi="Times New Roman" w:cs="Times New Roman"/>
          <w:i/>
          <w:color w:val="auto"/>
        </w:rPr>
        <w:t xml:space="preserve">Rozporządzenia CRR, </w:t>
      </w:r>
      <w:r w:rsidR="00C03E07" w:rsidRPr="00A10043">
        <w:rPr>
          <w:rFonts w:ascii="Times New Roman" w:hAnsi="Times New Roman" w:cs="Times New Roman"/>
          <w:color w:val="auto"/>
        </w:rPr>
        <w:t>w </w:t>
      </w:r>
      <w:r w:rsidRPr="00A10043">
        <w:rPr>
          <w:rFonts w:ascii="Times New Roman" w:hAnsi="Times New Roman" w:cs="Times New Roman"/>
          <w:color w:val="auto"/>
        </w:rPr>
        <w:t>którym omówiono ogólny profil ryzyka Banku związany ze strategią działalności, zawierające kluczowe wskaźniki i dane liczbowe dotyczące ryzyka zawarte jest w</w:t>
      </w:r>
      <w:r w:rsidR="00DA7ED5" w:rsidRPr="00A10043">
        <w:rPr>
          <w:rFonts w:ascii="Times New Roman" w:hAnsi="Times New Roman" w:cs="Times New Roman"/>
          <w:color w:val="auto"/>
        </w:rPr>
        <w:t xml:space="preserve"> </w:t>
      </w:r>
      <w:r w:rsidRPr="00A10043">
        <w:rPr>
          <w:rFonts w:ascii="Times New Roman" w:hAnsi="Times New Roman" w:cs="Times New Roman"/>
          <w:i/>
          <w:color w:val="auto"/>
        </w:rPr>
        <w:t>Załączniku nr 2</w:t>
      </w:r>
      <w:r w:rsidR="00C03E07" w:rsidRPr="00A10043">
        <w:rPr>
          <w:rFonts w:ascii="Times New Roman" w:hAnsi="Times New Roman" w:cs="Times New Roman"/>
          <w:color w:val="auto"/>
        </w:rPr>
        <w:t xml:space="preserve"> do </w:t>
      </w:r>
      <w:r w:rsidRPr="00A10043">
        <w:rPr>
          <w:rFonts w:ascii="Times New Roman" w:hAnsi="Times New Roman" w:cs="Times New Roman"/>
          <w:color w:val="auto"/>
        </w:rPr>
        <w:t xml:space="preserve">niniejszego </w:t>
      </w:r>
      <w:r w:rsidRPr="00A10043">
        <w:rPr>
          <w:rFonts w:ascii="Times New Roman" w:hAnsi="Times New Roman" w:cs="Times New Roman"/>
          <w:i/>
          <w:color w:val="auto"/>
        </w:rPr>
        <w:t>Ujawnienia.</w:t>
      </w:r>
    </w:p>
    <w:p w14:paraId="467ABA95" w14:textId="77777777" w:rsidR="002C50F6" w:rsidRPr="00A10043" w:rsidRDefault="00E81BF6">
      <w:pPr>
        <w:pStyle w:val="Nagwek2"/>
        <w:ind w:left="-5" w:right="7"/>
        <w:rPr>
          <w:rFonts w:ascii="Times New Roman" w:hAnsi="Times New Roman" w:cs="Times New Roman"/>
          <w:color w:val="auto"/>
        </w:rPr>
      </w:pPr>
      <w:bookmarkStart w:id="8" w:name="_Toc75336251"/>
      <w:r w:rsidRPr="00A10043">
        <w:rPr>
          <w:rFonts w:ascii="Times New Roman" w:hAnsi="Times New Roman" w:cs="Times New Roman"/>
          <w:color w:val="auto"/>
        </w:rPr>
        <w:t>2.2. Informacje w odniesieniu do zasad zarządzania</w:t>
      </w:r>
      <w:bookmarkEnd w:id="8"/>
    </w:p>
    <w:p w14:paraId="64F3FA2E" w14:textId="6FDCB89E" w:rsidR="007D6D21" w:rsidRPr="00A10043" w:rsidRDefault="006509C1" w:rsidP="006509C1">
      <w:pPr>
        <w:spacing w:line="276" w:lineRule="auto"/>
        <w:ind w:left="284" w:right="6" w:hanging="299"/>
        <w:rPr>
          <w:rFonts w:ascii="Times New Roman" w:hAnsi="Times New Roman" w:cs="Times New Roman"/>
          <w:color w:val="auto"/>
          <w:szCs w:val="24"/>
        </w:rPr>
      </w:pPr>
      <w:r w:rsidRPr="00A10043">
        <w:rPr>
          <w:rFonts w:ascii="Times New Roman" w:hAnsi="Times New Roman" w:cs="Times New Roman"/>
          <w:color w:val="auto"/>
          <w:szCs w:val="24"/>
        </w:rPr>
        <w:t xml:space="preserve">1. </w:t>
      </w:r>
      <w:r w:rsidR="00E81BF6" w:rsidRPr="00A10043">
        <w:rPr>
          <w:rFonts w:ascii="Times New Roman" w:hAnsi="Times New Roman" w:cs="Times New Roman"/>
          <w:color w:val="auto"/>
          <w:szCs w:val="24"/>
        </w:rPr>
        <w:t>W zakresie art. 435 ust</w:t>
      </w:r>
      <w:r w:rsidRPr="00A10043">
        <w:rPr>
          <w:rFonts w:ascii="Times New Roman" w:hAnsi="Times New Roman" w:cs="Times New Roman"/>
          <w:color w:val="auto"/>
          <w:szCs w:val="24"/>
        </w:rPr>
        <w:t>.</w:t>
      </w:r>
      <w:r w:rsidR="00E81BF6" w:rsidRPr="00A10043">
        <w:rPr>
          <w:rFonts w:ascii="Times New Roman" w:hAnsi="Times New Roman" w:cs="Times New Roman"/>
          <w:color w:val="auto"/>
          <w:szCs w:val="24"/>
        </w:rPr>
        <w:t xml:space="preserve"> 2 Bank informuje, że</w:t>
      </w:r>
      <w:r w:rsidR="00A10043" w:rsidRPr="00A10043">
        <w:rPr>
          <w:rFonts w:ascii="Times New Roman" w:hAnsi="Times New Roman" w:cs="Times New Roman"/>
          <w:color w:val="auto"/>
          <w:szCs w:val="24"/>
        </w:rPr>
        <w:t xml:space="preserve"> w 2020</w:t>
      </w:r>
      <w:r w:rsidRPr="00A10043">
        <w:rPr>
          <w:rFonts w:ascii="Times New Roman" w:hAnsi="Times New Roman" w:cs="Times New Roman"/>
          <w:color w:val="auto"/>
          <w:szCs w:val="24"/>
        </w:rPr>
        <w:t xml:space="preserve"> r. </w:t>
      </w:r>
      <w:r w:rsidR="007D6D21" w:rsidRPr="00A10043">
        <w:rPr>
          <w:rFonts w:ascii="Times New Roman" w:hAnsi="Times New Roman" w:cs="Times New Roman"/>
          <w:color w:val="auto"/>
          <w:szCs w:val="24"/>
        </w:rPr>
        <w:t xml:space="preserve">Zarząd Banku </w:t>
      </w:r>
      <w:r w:rsidR="00DC18A3" w:rsidRPr="00A10043">
        <w:rPr>
          <w:rFonts w:ascii="Times New Roman" w:hAnsi="Times New Roman" w:cs="Times New Roman"/>
          <w:color w:val="auto"/>
          <w:szCs w:val="24"/>
        </w:rPr>
        <w:t>działa</w:t>
      </w:r>
      <w:r w:rsidRPr="00A10043">
        <w:rPr>
          <w:rFonts w:ascii="Times New Roman" w:hAnsi="Times New Roman" w:cs="Times New Roman"/>
          <w:color w:val="auto"/>
          <w:szCs w:val="24"/>
        </w:rPr>
        <w:t>ł</w:t>
      </w:r>
      <w:r w:rsidR="005267E6" w:rsidRPr="00A10043">
        <w:rPr>
          <w:rFonts w:ascii="Times New Roman" w:hAnsi="Times New Roman" w:cs="Times New Roman"/>
          <w:color w:val="auto"/>
          <w:szCs w:val="24"/>
        </w:rPr>
        <w:t xml:space="preserve"> w </w:t>
      </w:r>
      <w:r w:rsidR="00F2173D" w:rsidRPr="00A10043">
        <w:rPr>
          <w:rFonts w:ascii="Times New Roman" w:hAnsi="Times New Roman" w:cs="Times New Roman"/>
          <w:color w:val="auto"/>
          <w:szCs w:val="24"/>
        </w:rPr>
        <w:t>4</w:t>
      </w:r>
      <w:r w:rsidR="00034EF1" w:rsidRPr="00A10043">
        <w:rPr>
          <w:rFonts w:ascii="Times New Roman" w:hAnsi="Times New Roman" w:cs="Times New Roman"/>
          <w:color w:val="auto"/>
          <w:szCs w:val="24"/>
        </w:rPr>
        <w:t>-</w:t>
      </w:r>
      <w:r w:rsidR="005267E6" w:rsidRPr="00A10043">
        <w:rPr>
          <w:rFonts w:ascii="Times New Roman" w:hAnsi="Times New Roman" w:cs="Times New Roman"/>
          <w:color w:val="auto"/>
          <w:szCs w:val="24"/>
        </w:rPr>
        <w:t>osobowym składzie</w:t>
      </w:r>
      <w:r w:rsidR="007D6D21" w:rsidRPr="00A10043">
        <w:rPr>
          <w:rFonts w:ascii="Times New Roman" w:hAnsi="Times New Roman" w:cs="Times New Roman"/>
          <w:color w:val="auto"/>
          <w:szCs w:val="24"/>
        </w:rPr>
        <w:t>:</w:t>
      </w:r>
    </w:p>
    <w:p w14:paraId="7ED1ADEB" w14:textId="06419521" w:rsidR="007D6D21" w:rsidRPr="00A10043" w:rsidRDefault="007D6D21" w:rsidP="00D8051F">
      <w:pPr>
        <w:pStyle w:val="Akapitzlist"/>
        <w:numPr>
          <w:ilvl w:val="0"/>
          <w:numId w:val="42"/>
        </w:numPr>
        <w:spacing w:after="80" w:line="276" w:lineRule="auto"/>
        <w:ind w:left="1077" w:right="6" w:hanging="357"/>
        <w:rPr>
          <w:sz w:val="24"/>
          <w:szCs w:val="24"/>
        </w:rPr>
      </w:pPr>
      <w:r w:rsidRPr="00A10043">
        <w:rPr>
          <w:sz w:val="24"/>
          <w:szCs w:val="24"/>
        </w:rPr>
        <w:t>Prezes Zarządu</w:t>
      </w:r>
      <w:r w:rsidR="00B331B6" w:rsidRPr="00A10043">
        <w:rPr>
          <w:sz w:val="24"/>
          <w:szCs w:val="24"/>
        </w:rPr>
        <w:t>,</w:t>
      </w:r>
    </w:p>
    <w:p w14:paraId="4D0A1033" w14:textId="1D02C80A" w:rsidR="007D6D21" w:rsidRPr="00A10043" w:rsidRDefault="00F2173D" w:rsidP="00D8051F">
      <w:pPr>
        <w:pStyle w:val="Akapitzlist"/>
        <w:numPr>
          <w:ilvl w:val="0"/>
          <w:numId w:val="42"/>
        </w:numPr>
        <w:spacing w:after="120" w:line="276" w:lineRule="auto"/>
        <w:ind w:left="1077" w:right="6" w:hanging="357"/>
        <w:rPr>
          <w:sz w:val="24"/>
          <w:szCs w:val="24"/>
        </w:rPr>
      </w:pPr>
      <w:r w:rsidRPr="00A10043">
        <w:rPr>
          <w:sz w:val="24"/>
          <w:szCs w:val="24"/>
        </w:rPr>
        <w:t>Dwóch Wiceprezesów Zarządu</w:t>
      </w:r>
      <w:r w:rsidR="00B331B6" w:rsidRPr="00A10043">
        <w:rPr>
          <w:sz w:val="24"/>
          <w:szCs w:val="24"/>
        </w:rPr>
        <w:t>,</w:t>
      </w:r>
    </w:p>
    <w:p w14:paraId="501E18C0" w14:textId="0EC0F231" w:rsidR="00F2173D" w:rsidRPr="00A10043" w:rsidRDefault="00F2173D" w:rsidP="00D8051F">
      <w:pPr>
        <w:pStyle w:val="Akapitzlist"/>
        <w:numPr>
          <w:ilvl w:val="0"/>
          <w:numId w:val="42"/>
        </w:numPr>
        <w:spacing w:after="120" w:line="276" w:lineRule="auto"/>
        <w:ind w:left="1077" w:right="6" w:hanging="357"/>
        <w:rPr>
          <w:sz w:val="24"/>
          <w:szCs w:val="24"/>
        </w:rPr>
      </w:pPr>
      <w:r w:rsidRPr="00A10043">
        <w:rPr>
          <w:sz w:val="24"/>
          <w:szCs w:val="24"/>
        </w:rPr>
        <w:t>Jeden Członek</w:t>
      </w:r>
      <w:r w:rsidR="00B331B6" w:rsidRPr="00A10043">
        <w:rPr>
          <w:sz w:val="24"/>
          <w:szCs w:val="24"/>
        </w:rPr>
        <w:t xml:space="preserve"> Zarządu</w:t>
      </w:r>
      <w:r w:rsidRPr="00A10043">
        <w:rPr>
          <w:sz w:val="24"/>
          <w:szCs w:val="24"/>
        </w:rPr>
        <w:t>.</w:t>
      </w:r>
    </w:p>
    <w:p w14:paraId="564AC594" w14:textId="3BFD7C2A" w:rsidR="002C50F6" w:rsidRPr="00A10043" w:rsidRDefault="006509C1" w:rsidP="006509C1">
      <w:pPr>
        <w:spacing w:after="47" w:line="276" w:lineRule="auto"/>
        <w:ind w:left="284" w:right="6" w:hanging="284"/>
        <w:rPr>
          <w:rFonts w:ascii="Times New Roman" w:hAnsi="Times New Roman" w:cs="Times New Roman"/>
          <w:color w:val="auto"/>
          <w:szCs w:val="24"/>
        </w:rPr>
      </w:pPr>
      <w:r w:rsidRPr="00A10043">
        <w:rPr>
          <w:rFonts w:ascii="Times New Roman" w:hAnsi="Times New Roman" w:cs="Times New Roman"/>
          <w:color w:val="auto"/>
          <w:szCs w:val="24"/>
        </w:rPr>
        <w:t xml:space="preserve">2. </w:t>
      </w:r>
      <w:r w:rsidR="002872D9" w:rsidRPr="00A10043">
        <w:rPr>
          <w:rFonts w:ascii="Times New Roman" w:hAnsi="Times New Roman" w:cs="Times New Roman"/>
          <w:color w:val="auto"/>
          <w:szCs w:val="24"/>
        </w:rPr>
        <w:t>C</w:t>
      </w:r>
      <w:r w:rsidR="00E81BF6" w:rsidRPr="00A10043">
        <w:rPr>
          <w:rFonts w:ascii="Times New Roman" w:hAnsi="Times New Roman" w:cs="Times New Roman"/>
          <w:color w:val="auto"/>
          <w:szCs w:val="24"/>
        </w:rPr>
        <w:t>złonkowie Zarządu Banku</w:t>
      </w:r>
      <w:r w:rsidR="00AC3327" w:rsidRPr="00A10043">
        <w:rPr>
          <w:rFonts w:ascii="Times New Roman" w:hAnsi="Times New Roman" w:cs="Times New Roman"/>
          <w:color w:val="auto"/>
          <w:szCs w:val="24"/>
        </w:rPr>
        <w:t xml:space="preserve"> </w:t>
      </w:r>
      <w:r w:rsidR="00E81BF6" w:rsidRPr="00A10043">
        <w:rPr>
          <w:rFonts w:ascii="Times New Roman" w:hAnsi="Times New Roman" w:cs="Times New Roman"/>
          <w:color w:val="auto"/>
          <w:szCs w:val="24"/>
        </w:rPr>
        <w:t xml:space="preserve">nie zajmują stanowisk dyrektorskich </w:t>
      </w:r>
      <w:r w:rsidR="00180517" w:rsidRPr="00A10043">
        <w:rPr>
          <w:rFonts w:ascii="Times New Roman" w:hAnsi="Times New Roman" w:cs="Times New Roman"/>
          <w:color w:val="auto"/>
          <w:szCs w:val="24"/>
        </w:rPr>
        <w:t xml:space="preserve">w innych instytucjach finansowych </w:t>
      </w:r>
      <w:r w:rsidR="00E81BF6" w:rsidRPr="00A10043">
        <w:rPr>
          <w:rFonts w:ascii="Times New Roman" w:hAnsi="Times New Roman" w:cs="Times New Roman"/>
          <w:color w:val="auto"/>
          <w:szCs w:val="24"/>
        </w:rPr>
        <w:t xml:space="preserve">poza Bankiem. </w:t>
      </w:r>
    </w:p>
    <w:p w14:paraId="0D8AA93E" w14:textId="34F96C11" w:rsidR="002C50F6" w:rsidRPr="00A10043" w:rsidRDefault="00E81BF6" w:rsidP="00FD5E9F">
      <w:pPr>
        <w:numPr>
          <w:ilvl w:val="0"/>
          <w:numId w:val="14"/>
        </w:numPr>
        <w:spacing w:after="63" w:line="276" w:lineRule="auto"/>
        <w:ind w:right="6" w:hanging="360"/>
        <w:rPr>
          <w:rFonts w:ascii="Times New Roman" w:hAnsi="Times New Roman" w:cs="Times New Roman"/>
          <w:strike/>
          <w:color w:val="auto"/>
        </w:rPr>
      </w:pPr>
      <w:r w:rsidRPr="00A10043">
        <w:rPr>
          <w:rFonts w:ascii="Times New Roman" w:hAnsi="Times New Roman" w:cs="Times New Roman"/>
          <w:color w:val="auto"/>
        </w:rPr>
        <w:t>Członków Zarządu Banku powołuje, zgodnie z przepisami prawa, Rada Nadzorcza Banku, biorąc pod uwagę wyniki oceny wstępne</w:t>
      </w:r>
      <w:r w:rsidR="00C03E07" w:rsidRPr="00A10043">
        <w:rPr>
          <w:rFonts w:ascii="Times New Roman" w:hAnsi="Times New Roman" w:cs="Times New Roman"/>
          <w:color w:val="auto"/>
        </w:rPr>
        <w:t>j kwalifikacji, doświadczenia i </w:t>
      </w:r>
      <w:r w:rsidRPr="00A10043">
        <w:rPr>
          <w:rFonts w:ascii="Times New Roman" w:hAnsi="Times New Roman" w:cs="Times New Roman"/>
          <w:color w:val="auto"/>
        </w:rPr>
        <w:t xml:space="preserve">reputacji </w:t>
      </w:r>
      <w:r w:rsidRPr="00A10043">
        <w:rPr>
          <w:rFonts w:ascii="Times New Roman" w:hAnsi="Times New Roman" w:cs="Times New Roman"/>
          <w:color w:val="auto"/>
        </w:rPr>
        <w:lastRenderedPageBreak/>
        <w:t xml:space="preserve">kandydata. Oceny następczej kwalifikacji, doświadczenia i reputacji Członków Zarządu Banku dokonuje Rada Nadzorcza Banku zgodnie z </w:t>
      </w:r>
      <w:r w:rsidR="00DE7B6C" w:rsidRPr="00A10043">
        <w:rPr>
          <w:rFonts w:ascii="Times New Roman" w:hAnsi="Times New Roman" w:cs="Times New Roman"/>
          <w:color w:val="auto"/>
        </w:rPr>
        <w:t>„</w:t>
      </w:r>
      <w:r w:rsidR="007D6D21" w:rsidRPr="00A10043">
        <w:rPr>
          <w:rFonts w:ascii="Times New Roman" w:hAnsi="Times New Roman" w:cs="Times New Roman"/>
          <w:i/>
          <w:color w:val="auto"/>
        </w:rPr>
        <w:t xml:space="preserve">Procedurą dokonywania ocen odpowiedniości </w:t>
      </w:r>
      <w:r w:rsidR="00127039" w:rsidRPr="00A10043">
        <w:rPr>
          <w:rFonts w:ascii="Times New Roman" w:hAnsi="Times New Roman" w:cs="Times New Roman"/>
          <w:i/>
          <w:color w:val="auto"/>
        </w:rPr>
        <w:t xml:space="preserve">i niezależności </w:t>
      </w:r>
      <w:r w:rsidR="007D6D21" w:rsidRPr="00A10043">
        <w:rPr>
          <w:rFonts w:ascii="Times New Roman" w:hAnsi="Times New Roman" w:cs="Times New Roman"/>
          <w:i/>
          <w:color w:val="auto"/>
        </w:rPr>
        <w:t>kandydatów na członków Zarządu Warmińsko-Mazurskiego Banku Spółdzielczego, a także oceny Zarządu Banku oraz jego członków</w:t>
      </w:r>
      <w:r w:rsidR="00DE7B6C" w:rsidRPr="00A10043">
        <w:rPr>
          <w:rFonts w:ascii="Times New Roman" w:hAnsi="Times New Roman" w:cs="Times New Roman"/>
          <w:i/>
          <w:color w:val="auto"/>
        </w:rPr>
        <w:t>”</w:t>
      </w:r>
      <w:r w:rsidRPr="00A10043">
        <w:rPr>
          <w:rFonts w:ascii="Times New Roman" w:hAnsi="Times New Roman" w:cs="Times New Roman"/>
          <w:color w:val="auto"/>
        </w:rPr>
        <w:t xml:space="preserve">. Członków Rady Nadzorczej Banku powołuje </w:t>
      </w:r>
      <w:r w:rsidR="00DA7ED5" w:rsidRPr="00A10043">
        <w:rPr>
          <w:rFonts w:ascii="Times New Roman" w:hAnsi="Times New Roman" w:cs="Times New Roman"/>
          <w:color w:val="auto"/>
        </w:rPr>
        <w:t>Walne Zgromadzenie</w:t>
      </w:r>
      <w:r w:rsidRPr="00A10043">
        <w:rPr>
          <w:rFonts w:ascii="Times New Roman" w:hAnsi="Times New Roman" w:cs="Times New Roman"/>
          <w:color w:val="auto"/>
        </w:rPr>
        <w:t xml:space="preserve">, biorąc pod uwagę kwalifikacje, doświadczenie i reputację kandydata. </w:t>
      </w:r>
    </w:p>
    <w:p w14:paraId="1B8B6746" w14:textId="77777777" w:rsidR="002C50F6" w:rsidRPr="00A10043" w:rsidRDefault="00E81BF6" w:rsidP="00FD5E9F">
      <w:pPr>
        <w:numPr>
          <w:ilvl w:val="0"/>
          <w:numId w:val="14"/>
        </w:numPr>
        <w:spacing w:after="63" w:line="276" w:lineRule="auto"/>
        <w:ind w:right="6" w:hanging="360"/>
        <w:rPr>
          <w:rFonts w:ascii="Times New Roman" w:hAnsi="Times New Roman" w:cs="Times New Roman"/>
          <w:color w:val="auto"/>
        </w:rPr>
      </w:pPr>
      <w:r w:rsidRPr="00A10043">
        <w:rPr>
          <w:rFonts w:ascii="Times New Roman" w:hAnsi="Times New Roman" w:cs="Times New Roman"/>
          <w:color w:val="auto"/>
        </w:rPr>
        <w:t>Bank, z uwagi na skalę działalności</w:t>
      </w:r>
      <w:r w:rsidR="00C03E07" w:rsidRPr="00A10043">
        <w:rPr>
          <w:rFonts w:ascii="Times New Roman" w:hAnsi="Times New Roman" w:cs="Times New Roman"/>
          <w:color w:val="auto"/>
        </w:rPr>
        <w:t>,</w:t>
      </w:r>
      <w:r w:rsidRPr="00A10043">
        <w:rPr>
          <w:rFonts w:ascii="Times New Roman" w:hAnsi="Times New Roman" w:cs="Times New Roman"/>
          <w:color w:val="auto"/>
        </w:rPr>
        <w:t xml:space="preserve"> nie stosuje strategii zróżnicowania w zakresie wyboru Członków Zarządu Banku oraz Rady Nadzorczej Banku.</w:t>
      </w:r>
    </w:p>
    <w:p w14:paraId="4E05A14D" w14:textId="77777777" w:rsidR="002C50F6" w:rsidRPr="00A10043" w:rsidRDefault="00E81BF6" w:rsidP="00FD5E9F">
      <w:pPr>
        <w:numPr>
          <w:ilvl w:val="0"/>
          <w:numId w:val="14"/>
        </w:numPr>
        <w:spacing w:after="63" w:line="276" w:lineRule="auto"/>
        <w:ind w:right="6" w:hanging="360"/>
        <w:rPr>
          <w:rFonts w:ascii="Times New Roman" w:hAnsi="Times New Roman" w:cs="Times New Roman"/>
          <w:color w:val="auto"/>
        </w:rPr>
      </w:pPr>
      <w:r w:rsidRPr="00A10043">
        <w:rPr>
          <w:rFonts w:ascii="Times New Roman" w:hAnsi="Times New Roman" w:cs="Times New Roman"/>
          <w:color w:val="auto"/>
        </w:rPr>
        <w:t>Bank, z uwagi na skalę działania</w:t>
      </w:r>
      <w:r w:rsidR="00C03E07" w:rsidRPr="00A10043">
        <w:rPr>
          <w:rFonts w:ascii="Times New Roman" w:hAnsi="Times New Roman" w:cs="Times New Roman"/>
          <w:color w:val="auto"/>
        </w:rPr>
        <w:t>,</w:t>
      </w:r>
      <w:r w:rsidRPr="00A10043">
        <w:rPr>
          <w:rFonts w:ascii="Times New Roman" w:hAnsi="Times New Roman" w:cs="Times New Roman"/>
          <w:color w:val="auto"/>
        </w:rPr>
        <w:t xml:space="preserve"> nie tworzy komitetu ds. ryzyka ani komitetu ds. wynagrodzeń (zgodnie z art. 9cb </w:t>
      </w:r>
      <w:r w:rsidRPr="00A10043">
        <w:rPr>
          <w:rFonts w:ascii="Times New Roman" w:hAnsi="Times New Roman" w:cs="Times New Roman"/>
          <w:i/>
          <w:color w:val="auto"/>
        </w:rPr>
        <w:t>ustawy Prawo bankowe</w:t>
      </w:r>
      <w:r w:rsidRPr="00A10043">
        <w:rPr>
          <w:rFonts w:ascii="Times New Roman" w:hAnsi="Times New Roman" w:cs="Times New Roman"/>
          <w:color w:val="auto"/>
        </w:rPr>
        <w:t xml:space="preserve"> i art. 435 ust. 2 lit</w:t>
      </w:r>
      <w:r w:rsidR="00C03E07" w:rsidRPr="00A10043">
        <w:rPr>
          <w:rFonts w:ascii="Times New Roman" w:hAnsi="Times New Roman" w:cs="Times New Roman"/>
          <w:color w:val="auto"/>
        </w:rPr>
        <w:t>.</w:t>
      </w:r>
      <w:r w:rsidRPr="00A10043">
        <w:rPr>
          <w:rFonts w:ascii="Times New Roman" w:hAnsi="Times New Roman" w:cs="Times New Roman"/>
          <w:color w:val="auto"/>
        </w:rPr>
        <w:t xml:space="preserve"> d) </w:t>
      </w:r>
      <w:r w:rsidRPr="00A10043">
        <w:rPr>
          <w:rFonts w:ascii="Times New Roman" w:hAnsi="Times New Roman" w:cs="Times New Roman"/>
          <w:i/>
          <w:color w:val="auto"/>
        </w:rPr>
        <w:t>Rozporządzenia CRR</w:t>
      </w:r>
      <w:r w:rsidRPr="00A10043">
        <w:rPr>
          <w:rFonts w:ascii="Times New Roman" w:hAnsi="Times New Roman" w:cs="Times New Roman"/>
          <w:color w:val="auto"/>
        </w:rPr>
        <w:t>).</w:t>
      </w:r>
    </w:p>
    <w:p w14:paraId="4909DBA4" w14:textId="1494B0DA" w:rsidR="002C50F6" w:rsidRPr="00A10043" w:rsidRDefault="00E81BF6" w:rsidP="00FD5E9F">
      <w:pPr>
        <w:numPr>
          <w:ilvl w:val="0"/>
          <w:numId w:val="14"/>
        </w:numPr>
        <w:spacing w:after="272" w:line="276" w:lineRule="auto"/>
        <w:ind w:left="714" w:right="6" w:hanging="360"/>
        <w:rPr>
          <w:rFonts w:ascii="Times New Roman" w:hAnsi="Times New Roman" w:cs="Times New Roman"/>
          <w:color w:val="auto"/>
        </w:rPr>
      </w:pPr>
      <w:r w:rsidRPr="00A10043">
        <w:rPr>
          <w:rFonts w:ascii="Times New Roman" w:hAnsi="Times New Roman" w:cs="Times New Roman"/>
          <w:color w:val="auto"/>
        </w:rPr>
        <w:t xml:space="preserve">Przepływ informacji dotyczącej ryzyka, kierowanej do Zarządu Banku oraz </w:t>
      </w:r>
      <w:r w:rsidR="00DF7E35" w:rsidRPr="00A10043">
        <w:rPr>
          <w:rFonts w:ascii="Times New Roman" w:hAnsi="Times New Roman" w:cs="Times New Roman"/>
          <w:color w:val="auto"/>
        </w:rPr>
        <w:t>Komitetu Audytu/</w:t>
      </w:r>
      <w:r w:rsidRPr="00A10043">
        <w:rPr>
          <w:rFonts w:ascii="Times New Roman" w:hAnsi="Times New Roman" w:cs="Times New Roman"/>
          <w:color w:val="auto"/>
        </w:rPr>
        <w:t>Rady Nadzorczej Banku jest sformalizowany i objęty Instrukcją Systemu Informacji Zarządczej definiującą: częstotliwość, zakres, odbiorców i</w:t>
      </w:r>
      <w:r w:rsidR="00C03E07" w:rsidRPr="00A10043">
        <w:rPr>
          <w:rFonts w:ascii="Times New Roman" w:hAnsi="Times New Roman" w:cs="Times New Roman"/>
          <w:color w:val="auto"/>
        </w:rPr>
        <w:t xml:space="preserve"> terminy sporządzania raportów oraz</w:t>
      </w:r>
      <w:r w:rsidRPr="00A10043">
        <w:rPr>
          <w:rFonts w:ascii="Times New Roman" w:hAnsi="Times New Roman" w:cs="Times New Roman"/>
          <w:color w:val="auto"/>
        </w:rPr>
        <w:t xml:space="preserve"> sprawozdań dotyczących ryzyka. Systemem informacji zarządczej są objęte wszystkie rodzaje ryzyka uznawane przez Bank za istotne. Zakres i częstotliwość raportowania są dostosowane do skali narażenia na ryzyko, a także zmienności ryzyka</w:t>
      </w:r>
      <w:r w:rsidR="00C03E07" w:rsidRPr="00A10043">
        <w:rPr>
          <w:rFonts w:ascii="Times New Roman" w:hAnsi="Times New Roman" w:cs="Times New Roman"/>
          <w:color w:val="auto"/>
        </w:rPr>
        <w:t>,</w:t>
      </w:r>
      <w:r w:rsidRPr="00A10043">
        <w:rPr>
          <w:rFonts w:ascii="Times New Roman" w:hAnsi="Times New Roman" w:cs="Times New Roman"/>
          <w:color w:val="auto"/>
        </w:rPr>
        <w:t xml:space="preserve"> zapewniając</w:t>
      </w:r>
      <w:r w:rsidR="00C03E07" w:rsidRPr="00A10043">
        <w:rPr>
          <w:rFonts w:ascii="Times New Roman" w:hAnsi="Times New Roman" w:cs="Times New Roman"/>
          <w:color w:val="auto"/>
        </w:rPr>
        <w:t xml:space="preserve"> możliwość podejmowania decyzji</w:t>
      </w:r>
      <w:r w:rsidRPr="00A10043">
        <w:rPr>
          <w:rFonts w:ascii="Times New Roman" w:hAnsi="Times New Roman" w:cs="Times New Roman"/>
          <w:color w:val="auto"/>
        </w:rPr>
        <w:t xml:space="preserve"> oraz odpowiedniej reakcji w przypadku zmiany ekspozycji na ryzyko.</w:t>
      </w:r>
    </w:p>
    <w:p w14:paraId="1A3C0629" w14:textId="77777777" w:rsidR="002C50F6" w:rsidRPr="00A10043" w:rsidRDefault="00E81BF6" w:rsidP="002E2D69">
      <w:pPr>
        <w:pStyle w:val="Nagwek1"/>
        <w:spacing w:line="276" w:lineRule="auto"/>
        <w:ind w:left="-6" w:right="6" w:hanging="11"/>
        <w:rPr>
          <w:rFonts w:ascii="Times New Roman" w:hAnsi="Times New Roman" w:cs="Times New Roman"/>
          <w:color w:val="auto"/>
        </w:rPr>
      </w:pPr>
      <w:bookmarkStart w:id="9" w:name="_Toc75336252"/>
      <w:r w:rsidRPr="00A10043">
        <w:rPr>
          <w:rFonts w:ascii="Times New Roman" w:hAnsi="Times New Roman" w:cs="Times New Roman"/>
          <w:color w:val="auto"/>
        </w:rPr>
        <w:t>3. Zakres stosowania – art. 436 Rozporządzenia CRR</w:t>
      </w:r>
      <w:bookmarkEnd w:id="9"/>
    </w:p>
    <w:p w14:paraId="0BC515BC" w14:textId="77777777" w:rsidR="002C50F6" w:rsidRPr="00A10043" w:rsidRDefault="00E81BF6" w:rsidP="006B4951">
      <w:pPr>
        <w:spacing w:after="0" w:line="264" w:lineRule="auto"/>
        <w:ind w:left="-6" w:right="6" w:hanging="11"/>
        <w:rPr>
          <w:rFonts w:ascii="Times New Roman" w:hAnsi="Times New Roman" w:cs="Times New Roman"/>
          <w:color w:val="auto"/>
        </w:rPr>
      </w:pPr>
      <w:r w:rsidRPr="00A10043">
        <w:rPr>
          <w:rFonts w:ascii="Times New Roman" w:hAnsi="Times New Roman" w:cs="Times New Roman"/>
          <w:color w:val="auto"/>
        </w:rPr>
        <w:t>Nie dotyczy.</w:t>
      </w:r>
    </w:p>
    <w:p w14:paraId="22DF81AD" w14:textId="77777777" w:rsidR="002C50F6" w:rsidRPr="00A10043" w:rsidRDefault="00E81BF6" w:rsidP="006B4951">
      <w:pPr>
        <w:spacing w:after="0" w:line="264" w:lineRule="auto"/>
        <w:ind w:left="-6" w:right="6" w:hanging="11"/>
        <w:rPr>
          <w:rFonts w:ascii="Times New Roman" w:hAnsi="Times New Roman" w:cs="Times New Roman"/>
          <w:color w:val="auto"/>
        </w:rPr>
      </w:pPr>
      <w:r w:rsidRPr="00A10043">
        <w:rPr>
          <w:rFonts w:ascii="Times New Roman" w:hAnsi="Times New Roman" w:cs="Times New Roman"/>
          <w:color w:val="auto"/>
        </w:rPr>
        <w:t>Bank nie dokonuje konsolidacji do celów rachunkowości i regulacji ostrożnościowych.</w:t>
      </w:r>
    </w:p>
    <w:p w14:paraId="737E7C0C" w14:textId="77777777" w:rsidR="007A699E" w:rsidRPr="00A10043" w:rsidRDefault="007A699E" w:rsidP="006B4951">
      <w:pPr>
        <w:spacing w:after="0" w:line="264" w:lineRule="auto"/>
        <w:ind w:left="-6" w:right="6" w:hanging="11"/>
        <w:rPr>
          <w:rFonts w:ascii="Times New Roman" w:hAnsi="Times New Roman" w:cs="Times New Roman"/>
          <w:color w:val="auto"/>
        </w:rPr>
      </w:pPr>
    </w:p>
    <w:p w14:paraId="5669CD06" w14:textId="77777777" w:rsidR="002C50F6" w:rsidRPr="00A10043" w:rsidRDefault="00E81BF6">
      <w:pPr>
        <w:pStyle w:val="Nagwek1"/>
        <w:ind w:left="-5" w:right="7"/>
        <w:rPr>
          <w:rFonts w:ascii="Times New Roman" w:hAnsi="Times New Roman" w:cs="Times New Roman"/>
          <w:color w:val="auto"/>
        </w:rPr>
      </w:pPr>
      <w:bookmarkStart w:id="10" w:name="_Toc75336253"/>
      <w:r w:rsidRPr="00A10043">
        <w:rPr>
          <w:rFonts w:ascii="Times New Roman" w:hAnsi="Times New Roman" w:cs="Times New Roman"/>
          <w:color w:val="auto"/>
        </w:rPr>
        <w:t>4. Fundusze własne – art. 437 Rozporządzenia CRR</w:t>
      </w:r>
      <w:bookmarkEnd w:id="10"/>
    </w:p>
    <w:p w14:paraId="627A0AB8" w14:textId="77777777" w:rsidR="004512BC" w:rsidRPr="007F07EA" w:rsidRDefault="004512BC" w:rsidP="004512BC">
      <w:pPr>
        <w:spacing w:after="0" w:line="276" w:lineRule="auto"/>
        <w:ind w:left="-5" w:right="8"/>
        <w:rPr>
          <w:rFonts w:ascii="Times New Roman" w:hAnsi="Times New Roman" w:cs="Times New Roman"/>
          <w:color w:val="auto"/>
        </w:rPr>
      </w:pPr>
      <w:r w:rsidRPr="007F07EA">
        <w:rPr>
          <w:rFonts w:ascii="Times New Roman" w:hAnsi="Times New Roman" w:cs="Times New Roman"/>
          <w:color w:val="auto"/>
        </w:rPr>
        <w:t xml:space="preserve">Bank definiuje części składowe funduszy własnych zgodnie z obowiązującymi przepisami, w szczególności z postanowieniami </w:t>
      </w:r>
      <w:r w:rsidRPr="007F07EA">
        <w:rPr>
          <w:rFonts w:ascii="Times New Roman" w:hAnsi="Times New Roman" w:cs="Times New Roman"/>
          <w:i/>
          <w:color w:val="auto"/>
        </w:rPr>
        <w:t>Rozporządzenia CRR</w:t>
      </w:r>
      <w:r w:rsidRPr="007F07EA">
        <w:rPr>
          <w:rFonts w:ascii="Times New Roman" w:hAnsi="Times New Roman" w:cs="Times New Roman"/>
          <w:color w:val="auto"/>
        </w:rPr>
        <w:t xml:space="preserve"> oraz </w:t>
      </w:r>
      <w:r w:rsidRPr="007F07EA">
        <w:rPr>
          <w:rFonts w:ascii="Times New Roman" w:hAnsi="Times New Roman" w:cs="Times New Roman"/>
          <w:i/>
          <w:color w:val="auto"/>
        </w:rPr>
        <w:t>ustawy Prawo bankowe</w:t>
      </w:r>
      <w:r w:rsidRPr="007F07EA">
        <w:rPr>
          <w:rFonts w:ascii="Times New Roman" w:hAnsi="Times New Roman" w:cs="Times New Roman"/>
          <w:color w:val="auto"/>
        </w:rPr>
        <w:t xml:space="preserve">. </w:t>
      </w:r>
    </w:p>
    <w:p w14:paraId="7EFA101A" w14:textId="77777777" w:rsidR="004512BC" w:rsidRPr="007F07EA" w:rsidRDefault="004512BC" w:rsidP="004512BC">
      <w:pPr>
        <w:spacing w:after="0" w:line="276" w:lineRule="auto"/>
        <w:ind w:left="-5" w:right="7"/>
        <w:rPr>
          <w:rFonts w:ascii="Times New Roman" w:hAnsi="Times New Roman" w:cs="Times New Roman"/>
          <w:color w:val="auto"/>
        </w:rPr>
      </w:pPr>
      <w:r w:rsidRPr="007F07EA">
        <w:rPr>
          <w:rFonts w:ascii="Times New Roman" w:hAnsi="Times New Roman" w:cs="Times New Roman"/>
          <w:color w:val="auto"/>
        </w:rPr>
        <w:t xml:space="preserve">Bank ujawnia informacje dotyczące funduszy własnych zgodnie z przepisami art. 437 oraz art. 492 </w:t>
      </w:r>
      <w:r w:rsidRPr="007F07EA">
        <w:rPr>
          <w:rFonts w:ascii="Times New Roman" w:hAnsi="Times New Roman" w:cs="Times New Roman"/>
          <w:i/>
          <w:color w:val="auto"/>
        </w:rPr>
        <w:t>Rozporządzenia CRR</w:t>
      </w:r>
      <w:r w:rsidRPr="007F07EA">
        <w:rPr>
          <w:rFonts w:ascii="Times New Roman" w:hAnsi="Times New Roman" w:cs="Times New Roman"/>
          <w:color w:val="auto"/>
        </w:rPr>
        <w:t xml:space="preserve"> oraz zgodnie z wymogami przedstawionymi w </w:t>
      </w:r>
      <w:r w:rsidRPr="007F07EA">
        <w:rPr>
          <w:rFonts w:ascii="Times New Roman" w:hAnsi="Times New Roman" w:cs="Times New Roman"/>
          <w:i/>
          <w:color w:val="auto"/>
        </w:rPr>
        <w:t>Rozporządzeniu wykonawczym Komisji (UE) nr 1423/2013 z dnia 20 grudnia 2013 roku ustanawiającym wykonawcze standardy techniczne w zakresie wymogów dotyczących ujawnienia informacji na temat funduszy własnych instytucji zgodnie z Rozporządzeniem Parlamentu Europejskiego i Rady (UE) nr 575/2013</w:t>
      </w:r>
      <w:r w:rsidRPr="007F07EA">
        <w:rPr>
          <w:rFonts w:ascii="Times New Roman" w:hAnsi="Times New Roman" w:cs="Times New Roman"/>
          <w:color w:val="auto"/>
        </w:rPr>
        <w:t xml:space="preserve">. </w:t>
      </w:r>
    </w:p>
    <w:p w14:paraId="5A48BECA" w14:textId="77777777" w:rsidR="004512BC" w:rsidRPr="007F07EA" w:rsidRDefault="004512BC" w:rsidP="004512BC">
      <w:pPr>
        <w:spacing w:after="0" w:line="276" w:lineRule="auto"/>
        <w:ind w:left="-5" w:right="8"/>
        <w:rPr>
          <w:rFonts w:ascii="Times New Roman" w:hAnsi="Times New Roman" w:cs="Times New Roman"/>
          <w:color w:val="auto"/>
        </w:rPr>
      </w:pPr>
      <w:r w:rsidRPr="007F07EA">
        <w:rPr>
          <w:rFonts w:ascii="Times New Roman" w:hAnsi="Times New Roman" w:cs="Times New Roman"/>
          <w:color w:val="auto"/>
        </w:rPr>
        <w:t>Fundusze własne, zgodnie z powyższymi przepisami, obejmują:</w:t>
      </w:r>
    </w:p>
    <w:p w14:paraId="33CC2346" w14:textId="77777777" w:rsidR="004512BC" w:rsidRPr="007F07EA" w:rsidRDefault="004512BC" w:rsidP="004512BC">
      <w:pPr>
        <w:numPr>
          <w:ilvl w:val="0"/>
          <w:numId w:val="15"/>
        </w:numPr>
        <w:spacing w:after="0" w:line="276" w:lineRule="auto"/>
        <w:ind w:right="8" w:hanging="360"/>
        <w:rPr>
          <w:rFonts w:ascii="Times New Roman" w:hAnsi="Times New Roman" w:cs="Times New Roman"/>
          <w:color w:val="auto"/>
        </w:rPr>
      </w:pPr>
      <w:r w:rsidRPr="007F07EA">
        <w:rPr>
          <w:rFonts w:ascii="Times New Roman" w:hAnsi="Times New Roman" w:cs="Times New Roman"/>
          <w:color w:val="auto"/>
        </w:rPr>
        <w:t xml:space="preserve">kapitał </w:t>
      </w:r>
      <w:proofErr w:type="spellStart"/>
      <w:r w:rsidRPr="007F07EA">
        <w:rPr>
          <w:rFonts w:ascii="Times New Roman" w:hAnsi="Times New Roman" w:cs="Times New Roman"/>
          <w:color w:val="auto"/>
        </w:rPr>
        <w:t>Tier</w:t>
      </w:r>
      <w:proofErr w:type="spellEnd"/>
      <w:r w:rsidRPr="007F07EA">
        <w:rPr>
          <w:rFonts w:ascii="Times New Roman" w:hAnsi="Times New Roman" w:cs="Times New Roman"/>
          <w:color w:val="auto"/>
        </w:rPr>
        <w:t xml:space="preserve"> I, w skład którego wchodzą kapitały podstawowe </w:t>
      </w:r>
      <w:proofErr w:type="spellStart"/>
      <w:r w:rsidRPr="007F07EA">
        <w:rPr>
          <w:rFonts w:ascii="Times New Roman" w:hAnsi="Times New Roman" w:cs="Times New Roman"/>
          <w:color w:val="auto"/>
        </w:rPr>
        <w:t>Tier</w:t>
      </w:r>
      <w:proofErr w:type="spellEnd"/>
      <w:r w:rsidRPr="007F07EA">
        <w:rPr>
          <w:rFonts w:ascii="Times New Roman" w:hAnsi="Times New Roman" w:cs="Times New Roman"/>
          <w:color w:val="auto"/>
        </w:rPr>
        <w:t xml:space="preserve"> I obejmujące:</w:t>
      </w:r>
    </w:p>
    <w:p w14:paraId="397210BE" w14:textId="36035D71" w:rsidR="004512BC" w:rsidRPr="007F07EA" w:rsidRDefault="004512BC" w:rsidP="004512BC">
      <w:pPr>
        <w:numPr>
          <w:ilvl w:val="1"/>
          <w:numId w:val="15"/>
        </w:numPr>
        <w:spacing w:after="0" w:line="276" w:lineRule="auto"/>
        <w:ind w:right="8" w:hanging="360"/>
        <w:rPr>
          <w:rFonts w:ascii="Times New Roman" w:hAnsi="Times New Roman" w:cs="Times New Roman"/>
          <w:color w:val="auto"/>
        </w:rPr>
      </w:pPr>
      <w:r w:rsidRPr="007F07EA">
        <w:rPr>
          <w:rFonts w:ascii="Times New Roman" w:hAnsi="Times New Roman" w:cs="Times New Roman"/>
          <w:color w:val="auto"/>
        </w:rPr>
        <w:t>opłacone instrumenty kapitałowe</w:t>
      </w:r>
      <w:r w:rsidR="006F0D80">
        <w:rPr>
          <w:rFonts w:ascii="Times New Roman" w:hAnsi="Times New Roman" w:cs="Times New Roman"/>
          <w:color w:val="auto"/>
        </w:rPr>
        <w:t>- fundusz udziałowy</w:t>
      </w:r>
      <w:r w:rsidRPr="007F07EA">
        <w:rPr>
          <w:rFonts w:ascii="Times New Roman" w:hAnsi="Times New Roman" w:cs="Times New Roman"/>
          <w:color w:val="auto"/>
        </w:rPr>
        <w:t>;</w:t>
      </w:r>
    </w:p>
    <w:p w14:paraId="67F91A78" w14:textId="77777777" w:rsidR="004512BC" w:rsidRPr="007F07EA" w:rsidRDefault="004512BC" w:rsidP="004512BC">
      <w:pPr>
        <w:numPr>
          <w:ilvl w:val="1"/>
          <w:numId w:val="15"/>
        </w:numPr>
        <w:spacing w:after="0" w:line="276" w:lineRule="auto"/>
        <w:ind w:right="8" w:hanging="360"/>
        <w:rPr>
          <w:rFonts w:ascii="Times New Roman" w:hAnsi="Times New Roman" w:cs="Times New Roman"/>
          <w:color w:val="auto"/>
        </w:rPr>
      </w:pPr>
      <w:r w:rsidRPr="007F07EA">
        <w:rPr>
          <w:rFonts w:ascii="Times New Roman" w:hAnsi="Times New Roman" w:cs="Times New Roman"/>
          <w:color w:val="auto"/>
        </w:rPr>
        <w:t>skumulowane inne całkowite dochody - niezrealizowane zyski i straty związane z aktywami i pasywami wycenianymi według wartości godziwej;</w:t>
      </w:r>
    </w:p>
    <w:p w14:paraId="5A795871" w14:textId="77777777" w:rsidR="004512BC" w:rsidRPr="007F07EA" w:rsidRDefault="004512BC" w:rsidP="004512BC">
      <w:pPr>
        <w:numPr>
          <w:ilvl w:val="1"/>
          <w:numId w:val="15"/>
        </w:numPr>
        <w:spacing w:after="0" w:line="276" w:lineRule="auto"/>
        <w:ind w:right="8" w:hanging="360"/>
        <w:rPr>
          <w:rFonts w:ascii="Times New Roman" w:hAnsi="Times New Roman" w:cs="Times New Roman"/>
          <w:color w:val="auto"/>
        </w:rPr>
      </w:pPr>
      <w:r w:rsidRPr="007F07EA">
        <w:rPr>
          <w:rFonts w:ascii="Times New Roman" w:hAnsi="Times New Roman" w:cs="Times New Roman"/>
          <w:color w:val="auto"/>
        </w:rPr>
        <w:lastRenderedPageBreak/>
        <w:t>kapitał rezerwowy- obejmujący fundusz zasobowy;</w:t>
      </w:r>
    </w:p>
    <w:p w14:paraId="7C42C1A3" w14:textId="77777777" w:rsidR="004512BC" w:rsidRPr="007F07EA" w:rsidRDefault="004512BC" w:rsidP="004512BC">
      <w:pPr>
        <w:numPr>
          <w:ilvl w:val="1"/>
          <w:numId w:val="15"/>
        </w:numPr>
        <w:spacing w:after="0" w:line="276" w:lineRule="auto"/>
        <w:ind w:right="8" w:hanging="360"/>
        <w:rPr>
          <w:rFonts w:ascii="Times New Roman" w:hAnsi="Times New Roman" w:cs="Times New Roman"/>
          <w:color w:val="auto"/>
        </w:rPr>
      </w:pPr>
      <w:r w:rsidRPr="007F07EA">
        <w:rPr>
          <w:rFonts w:ascii="Times New Roman" w:hAnsi="Times New Roman" w:cs="Times New Roman"/>
          <w:color w:val="auto"/>
        </w:rPr>
        <w:t>fundusz ogólnego ryzyka bankowego- tworzony z części nadwyżki bilansowej, na nie zidentyfikowane ryzyko działalności bankowej;</w:t>
      </w:r>
    </w:p>
    <w:p w14:paraId="280B7B35" w14:textId="77777777" w:rsidR="004512BC" w:rsidRPr="007F07EA" w:rsidRDefault="004512BC" w:rsidP="004512BC">
      <w:pPr>
        <w:numPr>
          <w:ilvl w:val="1"/>
          <w:numId w:val="15"/>
        </w:numPr>
        <w:spacing w:after="0" w:line="276" w:lineRule="auto"/>
        <w:ind w:right="8" w:hanging="360"/>
        <w:rPr>
          <w:rFonts w:ascii="Times New Roman" w:hAnsi="Times New Roman" w:cs="Times New Roman"/>
          <w:color w:val="auto"/>
        </w:rPr>
      </w:pPr>
      <w:r w:rsidRPr="007F07EA">
        <w:rPr>
          <w:rFonts w:ascii="Times New Roman" w:hAnsi="Times New Roman" w:cs="Times New Roman"/>
          <w:color w:val="auto"/>
        </w:rPr>
        <w:t xml:space="preserve">odliczenia w kapitale podstawowym </w:t>
      </w:r>
      <w:proofErr w:type="spellStart"/>
      <w:r w:rsidRPr="007F07EA">
        <w:rPr>
          <w:rFonts w:ascii="Times New Roman" w:hAnsi="Times New Roman" w:cs="Times New Roman"/>
          <w:color w:val="auto"/>
        </w:rPr>
        <w:t>Tier</w:t>
      </w:r>
      <w:proofErr w:type="spellEnd"/>
      <w:r w:rsidRPr="007F07EA">
        <w:rPr>
          <w:rFonts w:ascii="Times New Roman" w:hAnsi="Times New Roman" w:cs="Times New Roman"/>
          <w:color w:val="auto"/>
        </w:rPr>
        <w:t> I z tytułu filtrów ostrożnościowych – korekty wartości z tytułu wymogów w zakresie ostrożnej wyceny;</w:t>
      </w:r>
    </w:p>
    <w:p w14:paraId="5B8276CB" w14:textId="77777777" w:rsidR="004512BC" w:rsidRPr="007F07EA" w:rsidRDefault="004512BC" w:rsidP="004512BC">
      <w:pPr>
        <w:numPr>
          <w:ilvl w:val="1"/>
          <w:numId w:val="15"/>
        </w:numPr>
        <w:spacing w:after="0" w:line="276" w:lineRule="auto"/>
        <w:ind w:right="8" w:hanging="360"/>
        <w:rPr>
          <w:rFonts w:ascii="Times New Roman" w:hAnsi="Times New Roman" w:cs="Times New Roman"/>
          <w:color w:val="auto"/>
        </w:rPr>
      </w:pPr>
      <w:r w:rsidRPr="007F07EA">
        <w:rPr>
          <w:rFonts w:ascii="Times New Roman" w:hAnsi="Times New Roman" w:cs="Times New Roman"/>
          <w:color w:val="auto"/>
        </w:rPr>
        <w:t>odliczenia z tytułu wartości niematerialnych i prawnych;</w:t>
      </w:r>
    </w:p>
    <w:p w14:paraId="37144215" w14:textId="77777777" w:rsidR="004512BC" w:rsidRPr="007F07EA" w:rsidRDefault="004512BC" w:rsidP="004512BC">
      <w:pPr>
        <w:numPr>
          <w:ilvl w:val="0"/>
          <w:numId w:val="15"/>
        </w:numPr>
        <w:spacing w:after="0" w:line="276" w:lineRule="auto"/>
        <w:ind w:right="8" w:hanging="360"/>
        <w:rPr>
          <w:rFonts w:ascii="Times New Roman" w:hAnsi="Times New Roman" w:cs="Times New Roman"/>
          <w:i/>
          <w:color w:val="auto"/>
          <w:sz w:val="20"/>
        </w:rPr>
      </w:pPr>
      <w:r w:rsidRPr="007F07EA">
        <w:rPr>
          <w:rFonts w:ascii="Times New Roman" w:hAnsi="Times New Roman" w:cs="Times New Roman"/>
          <w:color w:val="auto"/>
        </w:rPr>
        <w:t xml:space="preserve">kapitał </w:t>
      </w:r>
      <w:proofErr w:type="spellStart"/>
      <w:r w:rsidRPr="007F07EA">
        <w:rPr>
          <w:rFonts w:ascii="Times New Roman" w:hAnsi="Times New Roman" w:cs="Times New Roman"/>
          <w:color w:val="auto"/>
        </w:rPr>
        <w:t>Tier</w:t>
      </w:r>
      <w:proofErr w:type="spellEnd"/>
      <w:r w:rsidRPr="007F07EA">
        <w:rPr>
          <w:rFonts w:ascii="Times New Roman" w:hAnsi="Times New Roman" w:cs="Times New Roman"/>
          <w:color w:val="auto"/>
        </w:rPr>
        <w:t xml:space="preserve"> II, obejmujący korekty z tytułu ogólnego ryzyka kredytowego według metody standardowej w wysokości do maksymalnie 1,25% kwot ekspozycji ważonych ryzykiem. </w:t>
      </w:r>
    </w:p>
    <w:p w14:paraId="1F37EE88" w14:textId="77777777" w:rsidR="004512BC" w:rsidRPr="007F07EA" w:rsidRDefault="004512BC" w:rsidP="004512BC">
      <w:pPr>
        <w:spacing w:after="0" w:line="276" w:lineRule="auto"/>
        <w:ind w:left="360" w:right="8" w:firstLine="0"/>
        <w:rPr>
          <w:rFonts w:ascii="Times New Roman" w:hAnsi="Times New Roman" w:cs="Times New Roman"/>
          <w:color w:val="auto"/>
          <w:szCs w:val="24"/>
        </w:rPr>
      </w:pPr>
    </w:p>
    <w:p w14:paraId="3FC69526" w14:textId="77777777" w:rsidR="004512BC" w:rsidRPr="007F07EA" w:rsidRDefault="004512BC" w:rsidP="004512BC">
      <w:pPr>
        <w:spacing w:after="0" w:line="276" w:lineRule="auto"/>
        <w:ind w:left="0" w:right="8" w:firstLine="0"/>
        <w:rPr>
          <w:rFonts w:ascii="Times New Roman" w:hAnsi="Times New Roman" w:cs="Times New Roman"/>
          <w:color w:val="auto"/>
          <w:szCs w:val="24"/>
        </w:rPr>
      </w:pPr>
      <w:r w:rsidRPr="007F07EA">
        <w:rPr>
          <w:rFonts w:ascii="Times New Roman" w:hAnsi="Times New Roman" w:cs="Times New Roman"/>
          <w:color w:val="auto"/>
          <w:szCs w:val="24"/>
        </w:rPr>
        <w:t>Wartość funduszy własnych na dzień 31 grudnia 20</w:t>
      </w:r>
      <w:r>
        <w:rPr>
          <w:rFonts w:ascii="Times New Roman" w:hAnsi="Times New Roman" w:cs="Times New Roman"/>
          <w:color w:val="auto"/>
          <w:szCs w:val="24"/>
        </w:rPr>
        <w:t>20</w:t>
      </w:r>
      <w:r w:rsidRPr="007F07EA">
        <w:rPr>
          <w:rFonts w:ascii="Times New Roman" w:hAnsi="Times New Roman" w:cs="Times New Roman"/>
          <w:color w:val="auto"/>
          <w:szCs w:val="24"/>
        </w:rPr>
        <w:t xml:space="preserve"> roku wyniosła </w:t>
      </w:r>
      <w:r w:rsidRPr="003B6E23">
        <w:rPr>
          <w:rFonts w:ascii="Times New Roman" w:hAnsi="Times New Roman" w:cs="Times New Roman"/>
          <w:color w:val="auto"/>
          <w:szCs w:val="24"/>
        </w:rPr>
        <w:t>94</w:t>
      </w:r>
      <w:r>
        <w:rPr>
          <w:rFonts w:ascii="Times New Roman" w:hAnsi="Times New Roman" w:cs="Times New Roman"/>
          <w:color w:val="auto"/>
          <w:szCs w:val="24"/>
        </w:rPr>
        <w:t> </w:t>
      </w:r>
      <w:r w:rsidRPr="003B6E23">
        <w:rPr>
          <w:rFonts w:ascii="Times New Roman" w:hAnsi="Times New Roman" w:cs="Times New Roman"/>
          <w:color w:val="auto"/>
          <w:szCs w:val="24"/>
        </w:rPr>
        <w:t>424</w:t>
      </w:r>
      <w:r>
        <w:rPr>
          <w:rFonts w:ascii="Times New Roman" w:hAnsi="Times New Roman" w:cs="Times New Roman"/>
          <w:color w:val="auto"/>
          <w:szCs w:val="24"/>
        </w:rPr>
        <w:t xml:space="preserve"> </w:t>
      </w:r>
      <w:r w:rsidRPr="007F07EA">
        <w:rPr>
          <w:rFonts w:ascii="Times New Roman" w:hAnsi="Times New Roman" w:cs="Times New Roman"/>
          <w:color w:val="auto"/>
          <w:szCs w:val="24"/>
        </w:rPr>
        <w:t>tys. złotych.</w:t>
      </w:r>
    </w:p>
    <w:p w14:paraId="4054A00E" w14:textId="77777777" w:rsidR="004512BC" w:rsidRPr="007F07EA" w:rsidRDefault="004512BC" w:rsidP="004512BC">
      <w:pPr>
        <w:spacing w:after="0" w:line="276" w:lineRule="auto"/>
        <w:ind w:left="0" w:right="8" w:firstLine="0"/>
        <w:rPr>
          <w:rFonts w:ascii="Times New Roman" w:hAnsi="Times New Roman" w:cs="Times New Roman"/>
          <w:color w:val="auto"/>
          <w:szCs w:val="24"/>
        </w:rPr>
      </w:pPr>
      <w:r w:rsidRPr="007F07EA">
        <w:rPr>
          <w:rFonts w:ascii="Times New Roman" w:hAnsi="Times New Roman" w:cs="Times New Roman"/>
          <w:color w:val="auto"/>
          <w:szCs w:val="24"/>
        </w:rPr>
        <w:t>Fundusze te w 86,1</w:t>
      </w:r>
      <w:r>
        <w:rPr>
          <w:rFonts w:ascii="Times New Roman" w:hAnsi="Times New Roman" w:cs="Times New Roman"/>
          <w:color w:val="auto"/>
          <w:szCs w:val="24"/>
        </w:rPr>
        <w:t>4</w:t>
      </w:r>
      <w:r w:rsidRPr="007F07EA">
        <w:rPr>
          <w:rFonts w:ascii="Times New Roman" w:hAnsi="Times New Roman" w:cs="Times New Roman"/>
          <w:color w:val="auto"/>
          <w:szCs w:val="24"/>
        </w:rPr>
        <w:t>% składały się z funduszu zasobowego powstałego z zysku netto.</w:t>
      </w:r>
    </w:p>
    <w:p w14:paraId="098D1D58" w14:textId="77777777" w:rsidR="004512BC" w:rsidRPr="007F07EA" w:rsidRDefault="004512BC" w:rsidP="004512BC">
      <w:pPr>
        <w:spacing w:after="0" w:line="276" w:lineRule="auto"/>
        <w:ind w:left="0" w:right="8" w:firstLine="0"/>
        <w:rPr>
          <w:rFonts w:ascii="Times New Roman" w:hAnsi="Times New Roman" w:cs="Times New Roman"/>
          <w:i/>
          <w:color w:val="auto"/>
          <w:sz w:val="20"/>
        </w:rPr>
      </w:pPr>
    </w:p>
    <w:p w14:paraId="05AB6DCC" w14:textId="49BD2A7E" w:rsidR="004512BC" w:rsidRPr="007F07EA" w:rsidRDefault="004512BC" w:rsidP="004512BC">
      <w:pPr>
        <w:spacing w:after="0" w:line="276" w:lineRule="auto"/>
        <w:ind w:left="360" w:right="8" w:firstLine="0"/>
        <w:rPr>
          <w:rFonts w:ascii="Times New Roman" w:hAnsi="Times New Roman" w:cs="Times New Roman"/>
          <w:i/>
          <w:color w:val="auto"/>
          <w:sz w:val="20"/>
        </w:rPr>
      </w:pPr>
      <w:r w:rsidRPr="007F07EA">
        <w:rPr>
          <w:rFonts w:ascii="Times New Roman" w:hAnsi="Times New Roman" w:cs="Times New Roman"/>
          <w:i/>
          <w:color w:val="auto"/>
          <w:sz w:val="20"/>
        </w:rPr>
        <w:t>Tabela – fundusze własne wg stanu na 31.12.20</w:t>
      </w:r>
      <w:r>
        <w:rPr>
          <w:rFonts w:ascii="Times New Roman" w:hAnsi="Times New Roman" w:cs="Times New Roman"/>
          <w:i/>
          <w:color w:val="auto"/>
          <w:sz w:val="20"/>
        </w:rPr>
        <w:t>20</w:t>
      </w:r>
      <w:r w:rsidRPr="007F07EA">
        <w:rPr>
          <w:rFonts w:ascii="Times New Roman" w:hAnsi="Times New Roman" w:cs="Times New Roman"/>
          <w:i/>
          <w:color w:val="auto"/>
          <w:sz w:val="20"/>
        </w:rPr>
        <w:t xml:space="preserve"> r. </w:t>
      </w:r>
      <w:r w:rsidR="006F0D80">
        <w:rPr>
          <w:rFonts w:ascii="Times New Roman" w:hAnsi="Times New Roman" w:cs="Times New Roman"/>
          <w:i/>
          <w:color w:val="auto"/>
          <w:sz w:val="20"/>
        </w:rPr>
        <w:t>(w tys. zł)</w:t>
      </w:r>
    </w:p>
    <w:p w14:paraId="1C9FE0C3" w14:textId="77777777" w:rsidR="004512BC" w:rsidRPr="007F07EA" w:rsidRDefault="004512BC" w:rsidP="004512BC">
      <w:pPr>
        <w:spacing w:after="0" w:line="276" w:lineRule="auto"/>
        <w:ind w:left="360" w:right="8" w:firstLine="0"/>
        <w:rPr>
          <w:rFonts w:ascii="Times New Roman" w:hAnsi="Times New Roman" w:cs="Times New Roman"/>
          <w:i/>
          <w:color w:val="auto"/>
          <w:sz w:val="20"/>
        </w:rPr>
      </w:pPr>
    </w:p>
    <w:tbl>
      <w:tblPr>
        <w:tblW w:w="9340" w:type="dxa"/>
        <w:tblCellMar>
          <w:left w:w="70" w:type="dxa"/>
          <w:right w:w="70" w:type="dxa"/>
        </w:tblCellMar>
        <w:tblLook w:val="04A0" w:firstRow="1" w:lastRow="0" w:firstColumn="1" w:lastColumn="0" w:noHBand="0" w:noVBand="1"/>
      </w:tblPr>
      <w:tblGrid>
        <w:gridCol w:w="1300"/>
        <w:gridCol w:w="6180"/>
        <w:gridCol w:w="1860"/>
      </w:tblGrid>
      <w:tr w:rsidR="004512BC" w:rsidRPr="003B6E23" w14:paraId="3F5FC6DC" w14:textId="77777777" w:rsidTr="00E275CE">
        <w:trPr>
          <w:trHeight w:val="504"/>
        </w:trPr>
        <w:tc>
          <w:tcPr>
            <w:tcW w:w="1300" w:type="dxa"/>
            <w:tcBorders>
              <w:top w:val="single" w:sz="8" w:space="0" w:color="auto"/>
              <w:left w:val="single" w:sz="4" w:space="0" w:color="auto"/>
              <w:bottom w:val="single" w:sz="4" w:space="0" w:color="auto"/>
              <w:right w:val="single" w:sz="4" w:space="0" w:color="auto"/>
            </w:tcBorders>
            <w:shd w:val="clear" w:color="000000" w:fill="B4C6E7"/>
            <w:vAlign w:val="center"/>
            <w:hideMark/>
          </w:tcPr>
          <w:p w14:paraId="3C7E4E6A" w14:textId="77777777" w:rsidR="004512BC" w:rsidRPr="003B6E23" w:rsidRDefault="004512BC" w:rsidP="00E275CE">
            <w:pPr>
              <w:spacing w:after="0" w:line="240" w:lineRule="auto"/>
              <w:ind w:left="0" w:right="0" w:firstLine="0"/>
              <w:jc w:val="center"/>
              <w:rPr>
                <w:rFonts w:ascii="Verdana" w:eastAsia="Times New Roman" w:hAnsi="Verdana"/>
                <w:b/>
                <w:bCs/>
                <w:color w:val="auto"/>
                <w:sz w:val="18"/>
                <w:szCs w:val="18"/>
              </w:rPr>
            </w:pPr>
            <w:r w:rsidRPr="003B6E23">
              <w:rPr>
                <w:rFonts w:ascii="Verdana" w:eastAsia="Times New Roman" w:hAnsi="Verdana"/>
                <w:b/>
                <w:bCs/>
                <w:color w:val="auto"/>
                <w:sz w:val="18"/>
                <w:szCs w:val="18"/>
              </w:rPr>
              <w:t>Nr</w:t>
            </w:r>
          </w:p>
        </w:tc>
        <w:tc>
          <w:tcPr>
            <w:tcW w:w="6180" w:type="dxa"/>
            <w:tcBorders>
              <w:top w:val="single" w:sz="8" w:space="0" w:color="auto"/>
              <w:left w:val="nil"/>
              <w:bottom w:val="single" w:sz="4" w:space="0" w:color="auto"/>
              <w:right w:val="single" w:sz="4" w:space="0" w:color="auto"/>
            </w:tcBorders>
            <w:shd w:val="clear" w:color="000000" w:fill="B4C6E7"/>
            <w:vAlign w:val="center"/>
            <w:hideMark/>
          </w:tcPr>
          <w:p w14:paraId="54930D7A" w14:textId="77777777" w:rsidR="004512BC" w:rsidRPr="003B6E23" w:rsidRDefault="004512BC" w:rsidP="00E275CE">
            <w:pPr>
              <w:spacing w:after="0" w:line="240" w:lineRule="auto"/>
              <w:ind w:left="0" w:right="0" w:firstLine="0"/>
              <w:jc w:val="center"/>
              <w:rPr>
                <w:rFonts w:ascii="Verdana" w:eastAsia="Times New Roman" w:hAnsi="Verdana"/>
                <w:b/>
                <w:bCs/>
                <w:color w:val="auto"/>
                <w:sz w:val="18"/>
                <w:szCs w:val="18"/>
              </w:rPr>
            </w:pPr>
            <w:r w:rsidRPr="003B6E23">
              <w:rPr>
                <w:rFonts w:ascii="Verdana" w:eastAsia="Times New Roman" w:hAnsi="Verdana"/>
                <w:b/>
                <w:bCs/>
                <w:color w:val="auto"/>
                <w:sz w:val="18"/>
                <w:szCs w:val="18"/>
              </w:rPr>
              <w:t>Pozycja</w:t>
            </w:r>
          </w:p>
        </w:tc>
        <w:tc>
          <w:tcPr>
            <w:tcW w:w="1860" w:type="dxa"/>
            <w:tcBorders>
              <w:top w:val="single" w:sz="8" w:space="0" w:color="auto"/>
              <w:left w:val="nil"/>
              <w:bottom w:val="single" w:sz="4" w:space="0" w:color="auto"/>
              <w:right w:val="single" w:sz="8" w:space="0" w:color="auto"/>
            </w:tcBorders>
            <w:shd w:val="clear" w:color="000000" w:fill="B4C6E7"/>
            <w:vAlign w:val="center"/>
            <w:hideMark/>
          </w:tcPr>
          <w:p w14:paraId="2878DA69" w14:textId="77777777" w:rsidR="004512BC" w:rsidRPr="003B6E23" w:rsidRDefault="004512BC" w:rsidP="00E275CE">
            <w:pPr>
              <w:spacing w:after="0" w:line="240" w:lineRule="auto"/>
              <w:ind w:left="0" w:right="0" w:firstLine="0"/>
              <w:jc w:val="center"/>
              <w:rPr>
                <w:rFonts w:ascii="Verdana" w:eastAsia="Times New Roman" w:hAnsi="Verdana"/>
                <w:b/>
                <w:bCs/>
                <w:color w:val="auto"/>
                <w:sz w:val="18"/>
                <w:szCs w:val="18"/>
              </w:rPr>
            </w:pPr>
            <w:r w:rsidRPr="003B6E23">
              <w:rPr>
                <w:rFonts w:ascii="Verdana" w:eastAsia="Times New Roman" w:hAnsi="Verdana"/>
                <w:b/>
                <w:bCs/>
                <w:color w:val="auto"/>
                <w:sz w:val="18"/>
                <w:szCs w:val="18"/>
              </w:rPr>
              <w:t>Kwota</w:t>
            </w:r>
          </w:p>
        </w:tc>
      </w:tr>
      <w:tr w:rsidR="004512BC" w:rsidRPr="003B6E23" w14:paraId="211058F9" w14:textId="77777777" w:rsidTr="00E275CE">
        <w:trPr>
          <w:trHeight w:val="438"/>
        </w:trPr>
        <w:tc>
          <w:tcPr>
            <w:tcW w:w="1300" w:type="dxa"/>
            <w:tcBorders>
              <w:top w:val="nil"/>
              <w:left w:val="single" w:sz="4" w:space="0" w:color="auto"/>
              <w:bottom w:val="single" w:sz="4" w:space="0" w:color="auto"/>
              <w:right w:val="single" w:sz="4" w:space="0" w:color="auto"/>
            </w:tcBorders>
            <w:shd w:val="clear" w:color="000000" w:fill="D9E1F2"/>
            <w:vAlign w:val="center"/>
            <w:hideMark/>
          </w:tcPr>
          <w:p w14:paraId="585CC228"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1</w:t>
            </w:r>
          </w:p>
        </w:tc>
        <w:tc>
          <w:tcPr>
            <w:tcW w:w="6180" w:type="dxa"/>
            <w:tcBorders>
              <w:top w:val="nil"/>
              <w:left w:val="nil"/>
              <w:bottom w:val="single" w:sz="4" w:space="0" w:color="auto"/>
              <w:right w:val="single" w:sz="4" w:space="0" w:color="auto"/>
            </w:tcBorders>
            <w:shd w:val="clear" w:color="000000" w:fill="D9E1F2"/>
            <w:vAlign w:val="center"/>
            <w:hideMark/>
          </w:tcPr>
          <w:p w14:paraId="7991695F"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u w:val="single"/>
              </w:rPr>
            </w:pPr>
            <w:r w:rsidRPr="003B6E23">
              <w:rPr>
                <w:rFonts w:ascii="Verdana" w:eastAsia="Times New Roman" w:hAnsi="Verdana"/>
                <w:b/>
                <w:bCs/>
                <w:color w:val="auto"/>
                <w:sz w:val="18"/>
                <w:szCs w:val="18"/>
                <w:u w:val="single"/>
              </w:rPr>
              <w:t>FUNDUSZE WŁASNE</w:t>
            </w:r>
          </w:p>
        </w:tc>
        <w:tc>
          <w:tcPr>
            <w:tcW w:w="1860" w:type="dxa"/>
            <w:tcBorders>
              <w:top w:val="nil"/>
              <w:left w:val="nil"/>
              <w:bottom w:val="single" w:sz="4" w:space="0" w:color="auto"/>
              <w:right w:val="single" w:sz="8" w:space="0" w:color="auto"/>
            </w:tcBorders>
            <w:shd w:val="clear" w:color="000000" w:fill="D9E1F2"/>
            <w:vAlign w:val="center"/>
            <w:hideMark/>
          </w:tcPr>
          <w:p w14:paraId="5A84507B" w14:textId="77777777" w:rsidR="004512BC" w:rsidRPr="003B6E23" w:rsidRDefault="004512BC" w:rsidP="00E275CE">
            <w:pPr>
              <w:spacing w:after="0" w:line="240" w:lineRule="auto"/>
              <w:ind w:left="0" w:right="0" w:firstLine="0"/>
              <w:jc w:val="center"/>
              <w:rPr>
                <w:rFonts w:ascii="Verdana" w:eastAsia="Times New Roman" w:hAnsi="Verdana"/>
                <w:color w:val="auto"/>
                <w:sz w:val="18"/>
                <w:szCs w:val="18"/>
              </w:rPr>
            </w:pPr>
            <w:r w:rsidRPr="003B6E23">
              <w:rPr>
                <w:rFonts w:ascii="Verdana" w:eastAsia="Times New Roman" w:hAnsi="Verdana"/>
                <w:color w:val="auto"/>
                <w:sz w:val="18"/>
                <w:szCs w:val="18"/>
              </w:rPr>
              <w:t>94 424</w:t>
            </w:r>
          </w:p>
        </w:tc>
      </w:tr>
      <w:tr w:rsidR="004512BC" w:rsidRPr="003B6E23" w14:paraId="3DCF8A50" w14:textId="77777777" w:rsidTr="00E275CE">
        <w:trPr>
          <w:trHeight w:val="438"/>
        </w:trPr>
        <w:tc>
          <w:tcPr>
            <w:tcW w:w="1300" w:type="dxa"/>
            <w:tcBorders>
              <w:top w:val="nil"/>
              <w:left w:val="single" w:sz="4" w:space="0" w:color="auto"/>
              <w:bottom w:val="single" w:sz="4" w:space="0" w:color="auto"/>
              <w:right w:val="single" w:sz="4" w:space="0" w:color="auto"/>
            </w:tcBorders>
            <w:shd w:val="clear" w:color="000000" w:fill="D9E1F2"/>
            <w:vAlign w:val="center"/>
            <w:hideMark/>
          </w:tcPr>
          <w:p w14:paraId="0B321D94"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1.1</w:t>
            </w:r>
          </w:p>
        </w:tc>
        <w:tc>
          <w:tcPr>
            <w:tcW w:w="6180" w:type="dxa"/>
            <w:tcBorders>
              <w:top w:val="nil"/>
              <w:left w:val="nil"/>
              <w:bottom w:val="single" w:sz="4" w:space="0" w:color="auto"/>
              <w:right w:val="single" w:sz="4" w:space="0" w:color="auto"/>
            </w:tcBorders>
            <w:shd w:val="clear" w:color="000000" w:fill="D9E1F2"/>
            <w:vAlign w:val="center"/>
            <w:hideMark/>
          </w:tcPr>
          <w:p w14:paraId="1CA5776E"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KAPITAŁ TIER I</w:t>
            </w:r>
          </w:p>
        </w:tc>
        <w:tc>
          <w:tcPr>
            <w:tcW w:w="1860" w:type="dxa"/>
            <w:tcBorders>
              <w:top w:val="single" w:sz="4" w:space="0" w:color="auto"/>
              <w:left w:val="nil"/>
              <w:bottom w:val="single" w:sz="4" w:space="0" w:color="auto"/>
              <w:right w:val="single" w:sz="8" w:space="0" w:color="auto"/>
            </w:tcBorders>
            <w:shd w:val="clear" w:color="000000" w:fill="D9E1F2"/>
            <w:vAlign w:val="center"/>
            <w:hideMark/>
          </w:tcPr>
          <w:p w14:paraId="12E38770" w14:textId="77777777" w:rsidR="004512BC" w:rsidRPr="003B6E23" w:rsidRDefault="004512BC" w:rsidP="00E275CE">
            <w:pPr>
              <w:spacing w:after="0" w:line="240" w:lineRule="auto"/>
              <w:ind w:left="0" w:right="0" w:firstLine="0"/>
              <w:jc w:val="center"/>
              <w:rPr>
                <w:rFonts w:ascii="Verdana" w:eastAsia="Times New Roman" w:hAnsi="Verdana"/>
                <w:color w:val="auto"/>
                <w:sz w:val="18"/>
                <w:szCs w:val="18"/>
              </w:rPr>
            </w:pPr>
            <w:r w:rsidRPr="003B6E23">
              <w:rPr>
                <w:rFonts w:ascii="Verdana" w:eastAsia="Times New Roman" w:hAnsi="Verdana"/>
                <w:color w:val="auto"/>
                <w:sz w:val="18"/>
                <w:szCs w:val="18"/>
              </w:rPr>
              <w:t>89 730</w:t>
            </w:r>
          </w:p>
        </w:tc>
      </w:tr>
      <w:tr w:rsidR="004512BC" w:rsidRPr="003B6E23" w14:paraId="16C6E37D" w14:textId="77777777" w:rsidTr="00E275CE">
        <w:trPr>
          <w:trHeight w:val="438"/>
        </w:trPr>
        <w:tc>
          <w:tcPr>
            <w:tcW w:w="1300" w:type="dxa"/>
            <w:tcBorders>
              <w:top w:val="nil"/>
              <w:left w:val="single" w:sz="4" w:space="0" w:color="auto"/>
              <w:bottom w:val="single" w:sz="4" w:space="0" w:color="auto"/>
              <w:right w:val="single" w:sz="4" w:space="0" w:color="auto"/>
            </w:tcBorders>
            <w:shd w:val="clear" w:color="000000" w:fill="D9E1F2"/>
            <w:vAlign w:val="center"/>
            <w:hideMark/>
          </w:tcPr>
          <w:p w14:paraId="5DF9E27F"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1.1.1</w:t>
            </w:r>
          </w:p>
        </w:tc>
        <w:tc>
          <w:tcPr>
            <w:tcW w:w="6180" w:type="dxa"/>
            <w:tcBorders>
              <w:top w:val="nil"/>
              <w:left w:val="nil"/>
              <w:bottom w:val="single" w:sz="4" w:space="0" w:color="auto"/>
              <w:right w:val="single" w:sz="4" w:space="0" w:color="auto"/>
            </w:tcBorders>
            <w:shd w:val="clear" w:color="000000" w:fill="D9E1F2"/>
            <w:vAlign w:val="center"/>
            <w:hideMark/>
          </w:tcPr>
          <w:p w14:paraId="56730E42"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KAPITAŁ PODSTAWOWY TIER I</w:t>
            </w:r>
          </w:p>
        </w:tc>
        <w:tc>
          <w:tcPr>
            <w:tcW w:w="1860" w:type="dxa"/>
            <w:tcBorders>
              <w:top w:val="single" w:sz="4" w:space="0" w:color="auto"/>
              <w:left w:val="nil"/>
              <w:bottom w:val="single" w:sz="4" w:space="0" w:color="auto"/>
              <w:right w:val="single" w:sz="8" w:space="0" w:color="auto"/>
            </w:tcBorders>
            <w:shd w:val="clear" w:color="000000" w:fill="D9E1F2"/>
            <w:vAlign w:val="center"/>
            <w:hideMark/>
          </w:tcPr>
          <w:p w14:paraId="16F6D7F1" w14:textId="77777777" w:rsidR="004512BC" w:rsidRPr="003B6E23" w:rsidRDefault="004512BC" w:rsidP="00E275CE">
            <w:pPr>
              <w:spacing w:after="0" w:line="240" w:lineRule="auto"/>
              <w:ind w:left="0" w:right="0" w:firstLine="0"/>
              <w:jc w:val="center"/>
              <w:rPr>
                <w:rFonts w:ascii="Verdana" w:eastAsia="Times New Roman" w:hAnsi="Verdana"/>
                <w:color w:val="auto"/>
                <w:sz w:val="18"/>
                <w:szCs w:val="18"/>
              </w:rPr>
            </w:pPr>
            <w:r w:rsidRPr="003B6E23">
              <w:rPr>
                <w:rFonts w:ascii="Verdana" w:eastAsia="Times New Roman" w:hAnsi="Verdana"/>
                <w:color w:val="auto"/>
                <w:sz w:val="18"/>
                <w:szCs w:val="18"/>
              </w:rPr>
              <w:t>89 730</w:t>
            </w:r>
          </w:p>
        </w:tc>
      </w:tr>
      <w:tr w:rsidR="004512BC" w:rsidRPr="003B6E23" w14:paraId="7A71E958" w14:textId="77777777" w:rsidTr="00E275CE">
        <w:trPr>
          <w:trHeight w:val="456"/>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711E8F5"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1.1.1.1</w:t>
            </w:r>
          </w:p>
        </w:tc>
        <w:tc>
          <w:tcPr>
            <w:tcW w:w="6180" w:type="dxa"/>
            <w:tcBorders>
              <w:top w:val="nil"/>
              <w:left w:val="nil"/>
              <w:bottom w:val="single" w:sz="4" w:space="0" w:color="auto"/>
              <w:right w:val="single" w:sz="4" w:space="0" w:color="auto"/>
            </w:tcBorders>
            <w:shd w:val="clear" w:color="auto" w:fill="auto"/>
            <w:vAlign w:val="center"/>
            <w:hideMark/>
          </w:tcPr>
          <w:p w14:paraId="3522E1D6"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 xml:space="preserve">Instrumenty kapitałowe kwalifikujące się jako kapitał podstawowy </w:t>
            </w:r>
            <w:proofErr w:type="spellStart"/>
            <w:r w:rsidRPr="003B6E23">
              <w:rPr>
                <w:rFonts w:ascii="Verdana" w:eastAsia="Times New Roman" w:hAnsi="Verdana"/>
                <w:b/>
                <w:bCs/>
                <w:color w:val="auto"/>
                <w:sz w:val="18"/>
                <w:szCs w:val="18"/>
              </w:rPr>
              <w:t>Tier</w:t>
            </w:r>
            <w:proofErr w:type="spellEnd"/>
            <w:r w:rsidRPr="003B6E23">
              <w:rPr>
                <w:rFonts w:ascii="Verdana" w:eastAsia="Times New Roman" w:hAnsi="Verdana"/>
                <w:b/>
                <w:bCs/>
                <w:color w:val="auto"/>
                <w:sz w:val="18"/>
                <w:szCs w:val="18"/>
              </w:rPr>
              <w:t xml:space="preserve"> I</w:t>
            </w:r>
          </w:p>
        </w:tc>
        <w:tc>
          <w:tcPr>
            <w:tcW w:w="1860" w:type="dxa"/>
            <w:tcBorders>
              <w:top w:val="single" w:sz="4" w:space="0" w:color="auto"/>
              <w:left w:val="nil"/>
              <w:bottom w:val="single" w:sz="4" w:space="0" w:color="auto"/>
              <w:right w:val="single" w:sz="8" w:space="0" w:color="auto"/>
            </w:tcBorders>
            <w:shd w:val="clear" w:color="auto" w:fill="auto"/>
            <w:vAlign w:val="center"/>
            <w:hideMark/>
          </w:tcPr>
          <w:p w14:paraId="163E98A0" w14:textId="77777777" w:rsidR="004512BC" w:rsidRPr="003B6E23" w:rsidRDefault="004512BC" w:rsidP="00E275CE">
            <w:pPr>
              <w:spacing w:after="0" w:line="240" w:lineRule="auto"/>
              <w:ind w:left="0" w:right="0" w:firstLine="0"/>
              <w:jc w:val="center"/>
              <w:rPr>
                <w:rFonts w:ascii="Verdana" w:eastAsia="Times New Roman" w:hAnsi="Verdana"/>
                <w:b/>
                <w:bCs/>
                <w:color w:val="auto"/>
                <w:sz w:val="18"/>
                <w:szCs w:val="18"/>
              </w:rPr>
            </w:pPr>
            <w:r w:rsidRPr="003B6E23">
              <w:rPr>
                <w:rFonts w:ascii="Verdana" w:eastAsia="Times New Roman" w:hAnsi="Verdana"/>
                <w:b/>
                <w:bCs/>
                <w:color w:val="auto"/>
                <w:sz w:val="18"/>
                <w:szCs w:val="18"/>
              </w:rPr>
              <w:t>242</w:t>
            </w:r>
          </w:p>
        </w:tc>
      </w:tr>
      <w:tr w:rsidR="004512BC" w:rsidRPr="003B6E23" w14:paraId="265EA7BF" w14:textId="77777777" w:rsidTr="00E275CE">
        <w:trPr>
          <w:trHeight w:val="43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F11D026" w14:textId="77777777" w:rsidR="004512BC" w:rsidRPr="003B6E23" w:rsidRDefault="004512BC" w:rsidP="00E275CE">
            <w:pPr>
              <w:spacing w:after="0" w:line="240" w:lineRule="auto"/>
              <w:ind w:left="0" w:right="0" w:firstLine="0"/>
              <w:jc w:val="left"/>
              <w:rPr>
                <w:rFonts w:ascii="Verdana" w:eastAsia="Times New Roman" w:hAnsi="Verdana"/>
                <w:color w:val="auto"/>
                <w:sz w:val="18"/>
                <w:szCs w:val="18"/>
              </w:rPr>
            </w:pPr>
            <w:r w:rsidRPr="003B6E23">
              <w:rPr>
                <w:rFonts w:ascii="Verdana" w:eastAsia="Times New Roman" w:hAnsi="Verdana"/>
                <w:color w:val="auto"/>
                <w:sz w:val="18"/>
                <w:szCs w:val="18"/>
              </w:rPr>
              <w:t>1.1.1.1.1</w:t>
            </w:r>
          </w:p>
        </w:tc>
        <w:tc>
          <w:tcPr>
            <w:tcW w:w="6180" w:type="dxa"/>
            <w:tcBorders>
              <w:top w:val="nil"/>
              <w:left w:val="nil"/>
              <w:bottom w:val="single" w:sz="4" w:space="0" w:color="auto"/>
              <w:right w:val="single" w:sz="4" w:space="0" w:color="auto"/>
            </w:tcBorders>
            <w:shd w:val="clear" w:color="auto" w:fill="auto"/>
            <w:vAlign w:val="center"/>
            <w:hideMark/>
          </w:tcPr>
          <w:p w14:paraId="696B3352" w14:textId="77777777" w:rsidR="004512BC" w:rsidRPr="003B6E23" w:rsidRDefault="004512BC" w:rsidP="00E275CE">
            <w:pPr>
              <w:spacing w:after="0" w:line="240" w:lineRule="auto"/>
              <w:ind w:left="0" w:right="0" w:firstLine="0"/>
              <w:jc w:val="left"/>
              <w:rPr>
                <w:rFonts w:ascii="Verdana" w:eastAsia="Times New Roman" w:hAnsi="Verdana"/>
                <w:color w:val="auto"/>
                <w:sz w:val="18"/>
                <w:szCs w:val="18"/>
              </w:rPr>
            </w:pPr>
            <w:r w:rsidRPr="003B6E23">
              <w:rPr>
                <w:rFonts w:ascii="Verdana" w:eastAsia="Times New Roman" w:hAnsi="Verdana"/>
                <w:color w:val="auto"/>
                <w:sz w:val="18"/>
                <w:szCs w:val="18"/>
              </w:rPr>
              <w:t xml:space="preserve">Opłacone instrumenty kapitałowe </w:t>
            </w:r>
          </w:p>
        </w:tc>
        <w:tc>
          <w:tcPr>
            <w:tcW w:w="1860" w:type="dxa"/>
            <w:tcBorders>
              <w:top w:val="single" w:sz="4" w:space="0" w:color="auto"/>
              <w:left w:val="nil"/>
              <w:bottom w:val="single" w:sz="4" w:space="0" w:color="auto"/>
              <w:right w:val="single" w:sz="8" w:space="0" w:color="auto"/>
            </w:tcBorders>
            <w:shd w:val="clear" w:color="auto" w:fill="auto"/>
            <w:vAlign w:val="center"/>
            <w:hideMark/>
          </w:tcPr>
          <w:p w14:paraId="509CB1D2" w14:textId="77777777" w:rsidR="004512BC" w:rsidRPr="003B6E23" w:rsidRDefault="004512BC" w:rsidP="00E275CE">
            <w:pPr>
              <w:spacing w:after="0" w:line="240" w:lineRule="auto"/>
              <w:ind w:left="0" w:right="0" w:firstLine="0"/>
              <w:jc w:val="center"/>
              <w:rPr>
                <w:rFonts w:ascii="Verdana" w:eastAsia="Times New Roman" w:hAnsi="Verdana"/>
                <w:color w:val="auto"/>
                <w:sz w:val="18"/>
                <w:szCs w:val="18"/>
              </w:rPr>
            </w:pPr>
            <w:r w:rsidRPr="003B6E23">
              <w:rPr>
                <w:rFonts w:ascii="Verdana" w:eastAsia="Times New Roman" w:hAnsi="Verdana"/>
                <w:color w:val="auto"/>
                <w:sz w:val="18"/>
                <w:szCs w:val="18"/>
              </w:rPr>
              <w:t>242</w:t>
            </w:r>
          </w:p>
        </w:tc>
      </w:tr>
      <w:tr w:rsidR="004512BC" w:rsidRPr="003B6E23" w14:paraId="0C7B3F14" w14:textId="77777777" w:rsidTr="00E275CE">
        <w:trPr>
          <w:trHeight w:val="43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85617CA"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1.1.1.3</w:t>
            </w:r>
          </w:p>
        </w:tc>
        <w:tc>
          <w:tcPr>
            <w:tcW w:w="6180" w:type="dxa"/>
            <w:tcBorders>
              <w:top w:val="nil"/>
              <w:left w:val="nil"/>
              <w:bottom w:val="single" w:sz="4" w:space="0" w:color="auto"/>
              <w:right w:val="single" w:sz="4" w:space="0" w:color="auto"/>
            </w:tcBorders>
            <w:shd w:val="clear" w:color="auto" w:fill="auto"/>
            <w:vAlign w:val="center"/>
            <w:hideMark/>
          </w:tcPr>
          <w:p w14:paraId="39DB6C36"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Skumulowane inne całkowite dochody</w:t>
            </w:r>
          </w:p>
        </w:tc>
        <w:tc>
          <w:tcPr>
            <w:tcW w:w="1860" w:type="dxa"/>
            <w:tcBorders>
              <w:top w:val="single" w:sz="4" w:space="0" w:color="auto"/>
              <w:left w:val="nil"/>
              <w:bottom w:val="single" w:sz="4" w:space="0" w:color="auto"/>
              <w:right w:val="single" w:sz="8" w:space="0" w:color="auto"/>
            </w:tcBorders>
            <w:shd w:val="clear" w:color="auto" w:fill="auto"/>
            <w:vAlign w:val="center"/>
            <w:hideMark/>
          </w:tcPr>
          <w:p w14:paraId="31D32690" w14:textId="77777777" w:rsidR="004512BC" w:rsidRPr="003B6E23" w:rsidRDefault="004512BC" w:rsidP="00E275CE">
            <w:pPr>
              <w:spacing w:after="0" w:line="240" w:lineRule="auto"/>
              <w:ind w:left="0" w:right="0" w:firstLine="0"/>
              <w:jc w:val="center"/>
              <w:rPr>
                <w:rFonts w:ascii="Verdana" w:eastAsia="Times New Roman" w:hAnsi="Verdana"/>
                <w:b/>
                <w:bCs/>
                <w:color w:val="auto"/>
                <w:sz w:val="18"/>
                <w:szCs w:val="18"/>
              </w:rPr>
            </w:pPr>
            <w:r w:rsidRPr="003B6E23">
              <w:rPr>
                <w:rFonts w:ascii="Verdana" w:eastAsia="Times New Roman" w:hAnsi="Verdana"/>
                <w:b/>
                <w:bCs/>
                <w:color w:val="auto"/>
                <w:sz w:val="18"/>
                <w:szCs w:val="18"/>
              </w:rPr>
              <w:t>2 180</w:t>
            </w:r>
          </w:p>
        </w:tc>
      </w:tr>
      <w:tr w:rsidR="004512BC" w:rsidRPr="003B6E23" w14:paraId="2904EAEE" w14:textId="77777777" w:rsidTr="00E275CE">
        <w:trPr>
          <w:trHeight w:val="43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F2F90CB"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1.1.1.4</w:t>
            </w:r>
          </w:p>
        </w:tc>
        <w:tc>
          <w:tcPr>
            <w:tcW w:w="6180" w:type="dxa"/>
            <w:tcBorders>
              <w:top w:val="nil"/>
              <w:left w:val="nil"/>
              <w:bottom w:val="single" w:sz="4" w:space="0" w:color="auto"/>
              <w:right w:val="single" w:sz="4" w:space="0" w:color="auto"/>
            </w:tcBorders>
            <w:shd w:val="clear" w:color="auto" w:fill="auto"/>
            <w:vAlign w:val="center"/>
            <w:hideMark/>
          </w:tcPr>
          <w:p w14:paraId="0ED2B43C"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Kapitał rezerwowy</w:t>
            </w:r>
          </w:p>
        </w:tc>
        <w:tc>
          <w:tcPr>
            <w:tcW w:w="1860" w:type="dxa"/>
            <w:tcBorders>
              <w:top w:val="single" w:sz="4" w:space="0" w:color="auto"/>
              <w:left w:val="nil"/>
              <w:bottom w:val="single" w:sz="4" w:space="0" w:color="auto"/>
              <w:right w:val="single" w:sz="8" w:space="0" w:color="auto"/>
            </w:tcBorders>
            <w:shd w:val="clear" w:color="auto" w:fill="auto"/>
            <w:vAlign w:val="center"/>
            <w:hideMark/>
          </w:tcPr>
          <w:p w14:paraId="44591845" w14:textId="77777777" w:rsidR="004512BC" w:rsidRPr="003B6E23" w:rsidRDefault="004512BC" w:rsidP="00E275CE">
            <w:pPr>
              <w:spacing w:after="0" w:line="240" w:lineRule="auto"/>
              <w:ind w:left="0" w:right="0" w:firstLine="0"/>
              <w:jc w:val="center"/>
              <w:rPr>
                <w:rFonts w:ascii="Verdana" w:eastAsia="Times New Roman" w:hAnsi="Verdana"/>
                <w:b/>
                <w:bCs/>
                <w:color w:val="auto"/>
                <w:sz w:val="18"/>
                <w:szCs w:val="18"/>
              </w:rPr>
            </w:pPr>
            <w:r w:rsidRPr="003B6E23">
              <w:rPr>
                <w:rFonts w:ascii="Verdana" w:eastAsia="Times New Roman" w:hAnsi="Verdana"/>
                <w:b/>
                <w:bCs/>
                <w:color w:val="auto"/>
                <w:sz w:val="18"/>
                <w:szCs w:val="18"/>
              </w:rPr>
              <w:t>81 334</w:t>
            </w:r>
          </w:p>
        </w:tc>
      </w:tr>
      <w:tr w:rsidR="004512BC" w:rsidRPr="003B6E23" w14:paraId="1B028312" w14:textId="77777777" w:rsidTr="00E275CE">
        <w:trPr>
          <w:trHeight w:val="43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CB57A76"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1.1.1.5</w:t>
            </w:r>
          </w:p>
        </w:tc>
        <w:tc>
          <w:tcPr>
            <w:tcW w:w="6180" w:type="dxa"/>
            <w:tcBorders>
              <w:top w:val="nil"/>
              <w:left w:val="nil"/>
              <w:bottom w:val="single" w:sz="4" w:space="0" w:color="auto"/>
              <w:right w:val="single" w:sz="4" w:space="0" w:color="auto"/>
            </w:tcBorders>
            <w:shd w:val="clear" w:color="auto" w:fill="auto"/>
            <w:vAlign w:val="center"/>
            <w:hideMark/>
          </w:tcPr>
          <w:p w14:paraId="1927DE15"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Fundusze ogólne ryzyka bankowego</w:t>
            </w:r>
          </w:p>
        </w:tc>
        <w:tc>
          <w:tcPr>
            <w:tcW w:w="1860" w:type="dxa"/>
            <w:tcBorders>
              <w:top w:val="single" w:sz="4" w:space="0" w:color="auto"/>
              <w:left w:val="nil"/>
              <w:bottom w:val="single" w:sz="4" w:space="0" w:color="auto"/>
              <w:right w:val="single" w:sz="8" w:space="0" w:color="auto"/>
            </w:tcBorders>
            <w:shd w:val="clear" w:color="auto" w:fill="auto"/>
            <w:vAlign w:val="center"/>
            <w:hideMark/>
          </w:tcPr>
          <w:p w14:paraId="297F7D9C" w14:textId="77777777" w:rsidR="004512BC" w:rsidRPr="003B6E23" w:rsidRDefault="004512BC" w:rsidP="00E275CE">
            <w:pPr>
              <w:spacing w:after="0" w:line="240" w:lineRule="auto"/>
              <w:ind w:left="0" w:right="0" w:firstLine="0"/>
              <w:jc w:val="center"/>
              <w:rPr>
                <w:rFonts w:ascii="Verdana" w:eastAsia="Times New Roman" w:hAnsi="Verdana"/>
                <w:b/>
                <w:bCs/>
                <w:color w:val="auto"/>
                <w:sz w:val="18"/>
                <w:szCs w:val="18"/>
              </w:rPr>
            </w:pPr>
            <w:r w:rsidRPr="003B6E23">
              <w:rPr>
                <w:rFonts w:ascii="Verdana" w:eastAsia="Times New Roman" w:hAnsi="Verdana"/>
                <w:b/>
                <w:bCs/>
                <w:color w:val="auto"/>
                <w:sz w:val="18"/>
                <w:szCs w:val="18"/>
              </w:rPr>
              <w:t>6 414</w:t>
            </w:r>
          </w:p>
        </w:tc>
      </w:tr>
      <w:tr w:rsidR="004512BC" w:rsidRPr="003B6E23" w14:paraId="01193AE0" w14:textId="77777777" w:rsidTr="00E275CE">
        <w:trPr>
          <w:trHeight w:val="456"/>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A6B0242"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1.1.1.9</w:t>
            </w:r>
          </w:p>
        </w:tc>
        <w:tc>
          <w:tcPr>
            <w:tcW w:w="6180" w:type="dxa"/>
            <w:tcBorders>
              <w:top w:val="nil"/>
              <w:left w:val="nil"/>
              <w:bottom w:val="single" w:sz="4" w:space="0" w:color="auto"/>
              <w:right w:val="single" w:sz="4" w:space="0" w:color="auto"/>
            </w:tcBorders>
            <w:shd w:val="clear" w:color="auto" w:fill="auto"/>
            <w:vAlign w:val="center"/>
            <w:hideMark/>
          </w:tcPr>
          <w:p w14:paraId="06428B13"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 xml:space="preserve">Korekty w kapitale podstawowym </w:t>
            </w:r>
            <w:proofErr w:type="spellStart"/>
            <w:r w:rsidRPr="003B6E23">
              <w:rPr>
                <w:rFonts w:ascii="Verdana" w:eastAsia="Times New Roman" w:hAnsi="Verdana"/>
                <w:b/>
                <w:bCs/>
                <w:color w:val="auto"/>
                <w:sz w:val="18"/>
                <w:szCs w:val="18"/>
              </w:rPr>
              <w:t>Tier</w:t>
            </w:r>
            <w:proofErr w:type="spellEnd"/>
            <w:r w:rsidRPr="003B6E23">
              <w:rPr>
                <w:rFonts w:ascii="Verdana" w:eastAsia="Times New Roman" w:hAnsi="Verdana"/>
                <w:b/>
                <w:bCs/>
                <w:color w:val="auto"/>
                <w:sz w:val="18"/>
                <w:szCs w:val="18"/>
              </w:rPr>
              <w:t xml:space="preserve"> I z tytułu filtrów ostrożnościowych</w:t>
            </w:r>
          </w:p>
        </w:tc>
        <w:tc>
          <w:tcPr>
            <w:tcW w:w="1860" w:type="dxa"/>
            <w:tcBorders>
              <w:top w:val="single" w:sz="4" w:space="0" w:color="auto"/>
              <w:left w:val="nil"/>
              <w:bottom w:val="single" w:sz="4" w:space="0" w:color="auto"/>
              <w:right w:val="single" w:sz="8" w:space="0" w:color="auto"/>
            </w:tcBorders>
            <w:shd w:val="clear" w:color="auto" w:fill="auto"/>
            <w:vAlign w:val="center"/>
            <w:hideMark/>
          </w:tcPr>
          <w:p w14:paraId="41DE1D5C" w14:textId="77777777" w:rsidR="004512BC" w:rsidRPr="003B6E23" w:rsidRDefault="004512BC" w:rsidP="00E275CE">
            <w:pPr>
              <w:spacing w:after="0" w:line="240" w:lineRule="auto"/>
              <w:ind w:left="0" w:right="0" w:firstLine="0"/>
              <w:jc w:val="center"/>
              <w:rPr>
                <w:rFonts w:ascii="Verdana" w:eastAsia="Times New Roman" w:hAnsi="Verdana"/>
                <w:b/>
                <w:bCs/>
                <w:color w:val="auto"/>
                <w:sz w:val="18"/>
                <w:szCs w:val="18"/>
              </w:rPr>
            </w:pPr>
            <w:r w:rsidRPr="003B6E23">
              <w:rPr>
                <w:rFonts w:ascii="Verdana" w:eastAsia="Times New Roman" w:hAnsi="Verdana"/>
                <w:b/>
                <w:bCs/>
                <w:color w:val="auto"/>
                <w:sz w:val="18"/>
                <w:szCs w:val="18"/>
              </w:rPr>
              <w:t>-250</w:t>
            </w:r>
          </w:p>
        </w:tc>
      </w:tr>
      <w:tr w:rsidR="004512BC" w:rsidRPr="003B6E23" w14:paraId="26CC3F91" w14:textId="77777777" w:rsidTr="00E275CE">
        <w:trPr>
          <w:trHeight w:val="456"/>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FF45ECB" w14:textId="77777777" w:rsidR="004512BC" w:rsidRPr="003B6E23" w:rsidRDefault="004512BC" w:rsidP="00E275CE">
            <w:pPr>
              <w:spacing w:after="0" w:line="240" w:lineRule="auto"/>
              <w:ind w:left="0" w:right="0" w:firstLine="0"/>
              <w:jc w:val="left"/>
              <w:rPr>
                <w:rFonts w:ascii="Verdana" w:eastAsia="Times New Roman" w:hAnsi="Verdana"/>
                <w:color w:val="auto"/>
                <w:sz w:val="18"/>
                <w:szCs w:val="18"/>
              </w:rPr>
            </w:pPr>
            <w:r w:rsidRPr="003B6E23">
              <w:rPr>
                <w:rFonts w:ascii="Verdana" w:eastAsia="Times New Roman" w:hAnsi="Verdana"/>
                <w:color w:val="auto"/>
                <w:sz w:val="18"/>
                <w:szCs w:val="18"/>
              </w:rPr>
              <w:t>1.1.1.9.5</w:t>
            </w:r>
          </w:p>
        </w:tc>
        <w:tc>
          <w:tcPr>
            <w:tcW w:w="6180" w:type="dxa"/>
            <w:tcBorders>
              <w:top w:val="nil"/>
              <w:left w:val="nil"/>
              <w:bottom w:val="single" w:sz="4" w:space="0" w:color="auto"/>
              <w:right w:val="single" w:sz="4" w:space="0" w:color="auto"/>
            </w:tcBorders>
            <w:shd w:val="clear" w:color="auto" w:fill="auto"/>
            <w:vAlign w:val="center"/>
            <w:hideMark/>
          </w:tcPr>
          <w:p w14:paraId="1CE56D2A" w14:textId="77777777" w:rsidR="004512BC" w:rsidRPr="003B6E23" w:rsidRDefault="004512BC" w:rsidP="00E275CE">
            <w:pPr>
              <w:spacing w:after="0" w:line="240" w:lineRule="auto"/>
              <w:ind w:left="0" w:right="0" w:firstLine="0"/>
              <w:jc w:val="left"/>
              <w:rPr>
                <w:rFonts w:ascii="Verdana" w:eastAsia="Times New Roman" w:hAnsi="Verdana"/>
                <w:color w:val="auto"/>
                <w:sz w:val="18"/>
                <w:szCs w:val="18"/>
              </w:rPr>
            </w:pPr>
            <w:r w:rsidRPr="003B6E23">
              <w:rPr>
                <w:rFonts w:ascii="Verdana" w:eastAsia="Times New Roman" w:hAnsi="Verdana"/>
                <w:color w:val="auto"/>
                <w:sz w:val="18"/>
                <w:szCs w:val="18"/>
              </w:rPr>
              <w:t>(–) Korekty wartości z tytułu wymogów w zakresie ostrożnej wyceny</w:t>
            </w:r>
          </w:p>
        </w:tc>
        <w:tc>
          <w:tcPr>
            <w:tcW w:w="1860" w:type="dxa"/>
            <w:tcBorders>
              <w:top w:val="single" w:sz="4" w:space="0" w:color="auto"/>
              <w:left w:val="nil"/>
              <w:bottom w:val="single" w:sz="4" w:space="0" w:color="auto"/>
              <w:right w:val="single" w:sz="8" w:space="0" w:color="auto"/>
            </w:tcBorders>
            <w:shd w:val="clear" w:color="auto" w:fill="auto"/>
            <w:vAlign w:val="center"/>
            <w:hideMark/>
          </w:tcPr>
          <w:p w14:paraId="289993EA" w14:textId="77777777" w:rsidR="004512BC" w:rsidRPr="003B6E23" w:rsidRDefault="004512BC" w:rsidP="00E275CE">
            <w:pPr>
              <w:spacing w:after="0" w:line="240" w:lineRule="auto"/>
              <w:ind w:left="0" w:right="0" w:firstLine="0"/>
              <w:jc w:val="center"/>
              <w:rPr>
                <w:rFonts w:ascii="Verdana" w:eastAsia="Times New Roman" w:hAnsi="Verdana"/>
                <w:color w:val="auto"/>
                <w:sz w:val="18"/>
                <w:szCs w:val="18"/>
              </w:rPr>
            </w:pPr>
            <w:r w:rsidRPr="003B6E23">
              <w:rPr>
                <w:rFonts w:ascii="Verdana" w:eastAsia="Times New Roman" w:hAnsi="Verdana"/>
                <w:color w:val="auto"/>
                <w:sz w:val="18"/>
                <w:szCs w:val="18"/>
              </w:rPr>
              <w:t>-250</w:t>
            </w:r>
          </w:p>
        </w:tc>
      </w:tr>
      <w:tr w:rsidR="004512BC" w:rsidRPr="003B6E23" w14:paraId="306429D3" w14:textId="77777777" w:rsidTr="00E275CE">
        <w:trPr>
          <w:trHeight w:val="43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AF6310"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1.1.1.11</w:t>
            </w:r>
          </w:p>
        </w:tc>
        <w:tc>
          <w:tcPr>
            <w:tcW w:w="6180" w:type="dxa"/>
            <w:tcBorders>
              <w:top w:val="nil"/>
              <w:left w:val="nil"/>
              <w:bottom w:val="single" w:sz="4" w:space="0" w:color="auto"/>
              <w:right w:val="single" w:sz="4" w:space="0" w:color="auto"/>
            </w:tcBorders>
            <w:shd w:val="clear" w:color="auto" w:fill="auto"/>
            <w:vAlign w:val="center"/>
            <w:hideMark/>
          </w:tcPr>
          <w:p w14:paraId="577817EE"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 Inne wartości niematerialne i prawne</w:t>
            </w:r>
          </w:p>
        </w:tc>
        <w:tc>
          <w:tcPr>
            <w:tcW w:w="1860" w:type="dxa"/>
            <w:tcBorders>
              <w:top w:val="single" w:sz="4" w:space="0" w:color="auto"/>
              <w:left w:val="nil"/>
              <w:bottom w:val="single" w:sz="4" w:space="0" w:color="auto"/>
              <w:right w:val="single" w:sz="8" w:space="0" w:color="auto"/>
            </w:tcBorders>
            <w:shd w:val="clear" w:color="auto" w:fill="auto"/>
            <w:vAlign w:val="center"/>
            <w:hideMark/>
          </w:tcPr>
          <w:p w14:paraId="353AEB5D" w14:textId="77777777" w:rsidR="004512BC" w:rsidRPr="003B6E23" w:rsidRDefault="004512BC" w:rsidP="00E275CE">
            <w:pPr>
              <w:spacing w:after="0" w:line="240" w:lineRule="auto"/>
              <w:ind w:left="0" w:right="0" w:firstLine="0"/>
              <w:jc w:val="center"/>
              <w:rPr>
                <w:rFonts w:ascii="Verdana" w:eastAsia="Times New Roman" w:hAnsi="Verdana"/>
                <w:b/>
                <w:bCs/>
                <w:color w:val="auto"/>
                <w:sz w:val="18"/>
                <w:szCs w:val="18"/>
              </w:rPr>
            </w:pPr>
            <w:r w:rsidRPr="003B6E23">
              <w:rPr>
                <w:rFonts w:ascii="Verdana" w:eastAsia="Times New Roman" w:hAnsi="Verdana"/>
                <w:b/>
                <w:bCs/>
                <w:color w:val="auto"/>
                <w:sz w:val="18"/>
                <w:szCs w:val="18"/>
              </w:rPr>
              <w:t>-191</w:t>
            </w:r>
          </w:p>
        </w:tc>
      </w:tr>
      <w:tr w:rsidR="004512BC" w:rsidRPr="003B6E23" w14:paraId="3C7F4F3A" w14:textId="77777777" w:rsidTr="00E275CE">
        <w:trPr>
          <w:trHeight w:val="252"/>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DA551BB" w14:textId="77777777" w:rsidR="004512BC" w:rsidRPr="003B6E23" w:rsidRDefault="004512BC" w:rsidP="00E275CE">
            <w:pPr>
              <w:spacing w:after="0" w:line="240" w:lineRule="auto"/>
              <w:ind w:left="0" w:right="0" w:firstLine="0"/>
              <w:jc w:val="left"/>
              <w:rPr>
                <w:rFonts w:ascii="Verdana" w:eastAsia="Times New Roman" w:hAnsi="Verdana"/>
                <w:color w:val="auto"/>
                <w:sz w:val="18"/>
                <w:szCs w:val="18"/>
              </w:rPr>
            </w:pPr>
            <w:r w:rsidRPr="003B6E23">
              <w:rPr>
                <w:rFonts w:ascii="Verdana" w:eastAsia="Times New Roman" w:hAnsi="Verdana"/>
                <w:color w:val="auto"/>
                <w:sz w:val="18"/>
                <w:szCs w:val="18"/>
              </w:rPr>
              <w:t>1.1.1.11.1</w:t>
            </w:r>
          </w:p>
        </w:tc>
        <w:tc>
          <w:tcPr>
            <w:tcW w:w="6180" w:type="dxa"/>
            <w:tcBorders>
              <w:top w:val="nil"/>
              <w:left w:val="nil"/>
              <w:bottom w:val="single" w:sz="4" w:space="0" w:color="auto"/>
              <w:right w:val="single" w:sz="4" w:space="0" w:color="auto"/>
            </w:tcBorders>
            <w:shd w:val="clear" w:color="auto" w:fill="auto"/>
            <w:vAlign w:val="center"/>
            <w:hideMark/>
          </w:tcPr>
          <w:p w14:paraId="1A3D30C1" w14:textId="77777777" w:rsidR="004512BC" w:rsidRPr="003B6E23" w:rsidRDefault="004512BC" w:rsidP="00E275CE">
            <w:pPr>
              <w:spacing w:after="0" w:line="240" w:lineRule="auto"/>
              <w:ind w:left="0" w:right="0" w:firstLine="0"/>
              <w:jc w:val="left"/>
              <w:rPr>
                <w:rFonts w:ascii="Verdana" w:eastAsia="Times New Roman" w:hAnsi="Verdana"/>
                <w:color w:val="auto"/>
                <w:sz w:val="18"/>
                <w:szCs w:val="18"/>
              </w:rPr>
            </w:pPr>
            <w:r w:rsidRPr="003B6E23">
              <w:rPr>
                <w:rFonts w:ascii="Verdana" w:eastAsia="Times New Roman" w:hAnsi="Verdana"/>
                <w:color w:val="auto"/>
                <w:sz w:val="18"/>
                <w:szCs w:val="18"/>
              </w:rPr>
              <w:t>(–) Kwota brutto innych wartości niematerialnych i prawnych</w:t>
            </w:r>
          </w:p>
        </w:tc>
        <w:tc>
          <w:tcPr>
            <w:tcW w:w="1860" w:type="dxa"/>
            <w:tcBorders>
              <w:top w:val="single" w:sz="4" w:space="0" w:color="auto"/>
              <w:left w:val="nil"/>
              <w:bottom w:val="single" w:sz="4" w:space="0" w:color="auto"/>
              <w:right w:val="single" w:sz="8" w:space="0" w:color="auto"/>
            </w:tcBorders>
            <w:shd w:val="clear" w:color="auto" w:fill="auto"/>
            <w:vAlign w:val="center"/>
            <w:hideMark/>
          </w:tcPr>
          <w:p w14:paraId="388409F8" w14:textId="77777777" w:rsidR="004512BC" w:rsidRPr="003B6E23" w:rsidRDefault="004512BC" w:rsidP="00E275CE">
            <w:pPr>
              <w:spacing w:after="0" w:line="240" w:lineRule="auto"/>
              <w:ind w:left="0" w:right="0" w:firstLine="0"/>
              <w:jc w:val="center"/>
              <w:rPr>
                <w:rFonts w:ascii="Verdana" w:eastAsia="Times New Roman" w:hAnsi="Verdana"/>
                <w:color w:val="auto"/>
                <w:sz w:val="18"/>
                <w:szCs w:val="18"/>
              </w:rPr>
            </w:pPr>
            <w:r w:rsidRPr="003B6E23">
              <w:rPr>
                <w:rFonts w:ascii="Verdana" w:eastAsia="Times New Roman" w:hAnsi="Verdana"/>
                <w:color w:val="auto"/>
                <w:sz w:val="18"/>
                <w:szCs w:val="18"/>
              </w:rPr>
              <w:t>-191</w:t>
            </w:r>
          </w:p>
        </w:tc>
      </w:tr>
      <w:tr w:rsidR="004512BC" w:rsidRPr="003B6E23" w14:paraId="64C08DAF" w14:textId="77777777" w:rsidTr="00E275CE">
        <w:trPr>
          <w:trHeight w:val="438"/>
        </w:trPr>
        <w:tc>
          <w:tcPr>
            <w:tcW w:w="1300" w:type="dxa"/>
            <w:tcBorders>
              <w:top w:val="nil"/>
              <w:left w:val="single" w:sz="4" w:space="0" w:color="auto"/>
              <w:bottom w:val="single" w:sz="4" w:space="0" w:color="auto"/>
              <w:right w:val="single" w:sz="4" w:space="0" w:color="auto"/>
            </w:tcBorders>
            <w:shd w:val="clear" w:color="000000" w:fill="D9E1F2"/>
            <w:vAlign w:val="center"/>
            <w:hideMark/>
          </w:tcPr>
          <w:p w14:paraId="7B0F3FA1"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1.1.2</w:t>
            </w:r>
          </w:p>
        </w:tc>
        <w:tc>
          <w:tcPr>
            <w:tcW w:w="6180" w:type="dxa"/>
            <w:tcBorders>
              <w:top w:val="nil"/>
              <w:left w:val="nil"/>
              <w:bottom w:val="single" w:sz="4" w:space="0" w:color="auto"/>
              <w:right w:val="single" w:sz="4" w:space="0" w:color="auto"/>
            </w:tcBorders>
            <w:shd w:val="clear" w:color="000000" w:fill="D9E1F2"/>
            <w:vAlign w:val="center"/>
            <w:hideMark/>
          </w:tcPr>
          <w:p w14:paraId="13090258"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KAPITAŁ DODATKOWY TIER I</w:t>
            </w:r>
          </w:p>
        </w:tc>
        <w:tc>
          <w:tcPr>
            <w:tcW w:w="1860" w:type="dxa"/>
            <w:tcBorders>
              <w:top w:val="single" w:sz="4" w:space="0" w:color="auto"/>
              <w:left w:val="nil"/>
              <w:bottom w:val="single" w:sz="4" w:space="0" w:color="auto"/>
              <w:right w:val="single" w:sz="8" w:space="0" w:color="auto"/>
            </w:tcBorders>
            <w:shd w:val="clear" w:color="000000" w:fill="D9E1F2"/>
            <w:vAlign w:val="center"/>
            <w:hideMark/>
          </w:tcPr>
          <w:p w14:paraId="5BABB160" w14:textId="77777777" w:rsidR="004512BC" w:rsidRPr="003B6E23" w:rsidRDefault="004512BC" w:rsidP="00E275CE">
            <w:pPr>
              <w:spacing w:after="0" w:line="240" w:lineRule="auto"/>
              <w:ind w:left="0" w:right="0" w:firstLine="0"/>
              <w:jc w:val="center"/>
              <w:rPr>
                <w:rFonts w:ascii="Verdana" w:eastAsia="Times New Roman" w:hAnsi="Verdana"/>
                <w:color w:val="auto"/>
                <w:sz w:val="18"/>
                <w:szCs w:val="18"/>
              </w:rPr>
            </w:pPr>
            <w:r w:rsidRPr="003B6E23">
              <w:rPr>
                <w:rFonts w:ascii="Verdana" w:eastAsia="Times New Roman" w:hAnsi="Verdana"/>
                <w:color w:val="auto"/>
                <w:sz w:val="18"/>
                <w:szCs w:val="18"/>
              </w:rPr>
              <w:t>0</w:t>
            </w:r>
          </w:p>
        </w:tc>
      </w:tr>
      <w:tr w:rsidR="004512BC" w:rsidRPr="003B6E23" w14:paraId="7299F4A7" w14:textId="77777777" w:rsidTr="00E275CE">
        <w:trPr>
          <w:trHeight w:val="438"/>
        </w:trPr>
        <w:tc>
          <w:tcPr>
            <w:tcW w:w="1300" w:type="dxa"/>
            <w:tcBorders>
              <w:top w:val="nil"/>
              <w:left w:val="single" w:sz="4" w:space="0" w:color="auto"/>
              <w:bottom w:val="single" w:sz="4" w:space="0" w:color="auto"/>
              <w:right w:val="single" w:sz="4" w:space="0" w:color="auto"/>
            </w:tcBorders>
            <w:shd w:val="clear" w:color="000000" w:fill="D9E1F2"/>
            <w:vAlign w:val="center"/>
            <w:hideMark/>
          </w:tcPr>
          <w:p w14:paraId="4A085C4C"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1.2</w:t>
            </w:r>
          </w:p>
        </w:tc>
        <w:tc>
          <w:tcPr>
            <w:tcW w:w="6180" w:type="dxa"/>
            <w:tcBorders>
              <w:top w:val="nil"/>
              <w:left w:val="nil"/>
              <w:bottom w:val="single" w:sz="4" w:space="0" w:color="auto"/>
              <w:right w:val="single" w:sz="4" w:space="0" w:color="auto"/>
            </w:tcBorders>
            <w:shd w:val="clear" w:color="000000" w:fill="D9E1F2"/>
            <w:vAlign w:val="center"/>
            <w:hideMark/>
          </w:tcPr>
          <w:p w14:paraId="3DC9B4C3"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KAPITAŁ TIER II</w:t>
            </w:r>
          </w:p>
        </w:tc>
        <w:tc>
          <w:tcPr>
            <w:tcW w:w="1860" w:type="dxa"/>
            <w:tcBorders>
              <w:top w:val="single" w:sz="4" w:space="0" w:color="auto"/>
              <w:left w:val="nil"/>
              <w:bottom w:val="single" w:sz="4" w:space="0" w:color="auto"/>
              <w:right w:val="single" w:sz="8" w:space="0" w:color="auto"/>
            </w:tcBorders>
            <w:shd w:val="clear" w:color="000000" w:fill="D9E1F2"/>
            <w:vAlign w:val="center"/>
            <w:hideMark/>
          </w:tcPr>
          <w:p w14:paraId="7E287EEB" w14:textId="77777777" w:rsidR="004512BC" w:rsidRPr="003B6E23" w:rsidRDefault="004512BC" w:rsidP="00E275CE">
            <w:pPr>
              <w:spacing w:after="0" w:line="240" w:lineRule="auto"/>
              <w:ind w:left="0" w:right="0" w:firstLine="0"/>
              <w:jc w:val="center"/>
              <w:rPr>
                <w:rFonts w:ascii="Verdana" w:eastAsia="Times New Roman" w:hAnsi="Verdana"/>
                <w:b/>
                <w:bCs/>
                <w:color w:val="auto"/>
                <w:sz w:val="18"/>
                <w:szCs w:val="18"/>
              </w:rPr>
            </w:pPr>
            <w:r w:rsidRPr="003B6E23">
              <w:rPr>
                <w:rFonts w:ascii="Verdana" w:eastAsia="Times New Roman" w:hAnsi="Verdana"/>
                <w:b/>
                <w:bCs/>
                <w:color w:val="auto"/>
                <w:sz w:val="18"/>
                <w:szCs w:val="18"/>
              </w:rPr>
              <w:t>4 695</w:t>
            </w:r>
          </w:p>
        </w:tc>
      </w:tr>
      <w:tr w:rsidR="004512BC" w:rsidRPr="003B6E23" w14:paraId="4274C5B1" w14:textId="77777777" w:rsidTr="00E275CE">
        <w:trPr>
          <w:trHeight w:val="456"/>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74BB177"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1.2.6</w:t>
            </w:r>
          </w:p>
        </w:tc>
        <w:tc>
          <w:tcPr>
            <w:tcW w:w="6180" w:type="dxa"/>
            <w:tcBorders>
              <w:top w:val="nil"/>
              <w:left w:val="nil"/>
              <w:bottom w:val="single" w:sz="4" w:space="0" w:color="auto"/>
              <w:right w:val="single" w:sz="4" w:space="0" w:color="auto"/>
            </w:tcBorders>
            <w:shd w:val="clear" w:color="auto" w:fill="auto"/>
            <w:vAlign w:val="center"/>
            <w:hideMark/>
          </w:tcPr>
          <w:p w14:paraId="4DE3F361"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Korekty z tytułu ogólnego ryzyka kredytowego według metody standardowej</w:t>
            </w:r>
          </w:p>
        </w:tc>
        <w:tc>
          <w:tcPr>
            <w:tcW w:w="1860" w:type="dxa"/>
            <w:tcBorders>
              <w:top w:val="single" w:sz="4" w:space="0" w:color="auto"/>
              <w:left w:val="nil"/>
              <w:bottom w:val="single" w:sz="4" w:space="0" w:color="auto"/>
              <w:right w:val="single" w:sz="8" w:space="0" w:color="auto"/>
            </w:tcBorders>
            <w:shd w:val="clear" w:color="auto" w:fill="auto"/>
            <w:vAlign w:val="center"/>
            <w:hideMark/>
          </w:tcPr>
          <w:p w14:paraId="3CFC9F37" w14:textId="77777777" w:rsidR="004512BC" w:rsidRPr="003B6E23" w:rsidRDefault="004512BC" w:rsidP="00E275CE">
            <w:pPr>
              <w:spacing w:after="0" w:line="240" w:lineRule="auto"/>
              <w:ind w:left="0" w:right="0" w:firstLine="0"/>
              <w:jc w:val="center"/>
              <w:rPr>
                <w:rFonts w:ascii="Verdana" w:eastAsia="Times New Roman" w:hAnsi="Verdana"/>
                <w:b/>
                <w:bCs/>
                <w:color w:val="auto"/>
                <w:sz w:val="18"/>
                <w:szCs w:val="18"/>
              </w:rPr>
            </w:pPr>
            <w:r w:rsidRPr="003B6E23">
              <w:rPr>
                <w:rFonts w:ascii="Verdana" w:eastAsia="Times New Roman" w:hAnsi="Verdana"/>
                <w:b/>
                <w:bCs/>
                <w:color w:val="auto"/>
                <w:sz w:val="18"/>
                <w:szCs w:val="18"/>
              </w:rPr>
              <w:t>4 695</w:t>
            </w:r>
          </w:p>
        </w:tc>
      </w:tr>
      <w:tr w:rsidR="004512BC" w:rsidRPr="003B6E23" w14:paraId="0BD83417" w14:textId="77777777" w:rsidTr="00E275CE">
        <w:trPr>
          <w:trHeight w:val="96"/>
        </w:trPr>
        <w:tc>
          <w:tcPr>
            <w:tcW w:w="1300" w:type="dxa"/>
            <w:tcBorders>
              <w:top w:val="single" w:sz="4" w:space="0" w:color="auto"/>
              <w:left w:val="nil"/>
              <w:bottom w:val="single" w:sz="4" w:space="0" w:color="auto"/>
              <w:right w:val="nil"/>
            </w:tcBorders>
            <w:shd w:val="clear" w:color="auto" w:fill="auto"/>
            <w:vAlign w:val="center"/>
            <w:hideMark/>
          </w:tcPr>
          <w:p w14:paraId="14D0E06F" w14:textId="77777777" w:rsidR="004512BC" w:rsidRPr="003B6E23" w:rsidRDefault="004512BC" w:rsidP="00E275CE">
            <w:pPr>
              <w:spacing w:after="0" w:line="240" w:lineRule="auto"/>
              <w:ind w:left="0" w:right="0" w:firstLine="0"/>
              <w:jc w:val="left"/>
              <w:outlineLvl w:val="0"/>
              <w:rPr>
                <w:rFonts w:ascii="Verdana" w:eastAsia="Times New Roman" w:hAnsi="Verdana"/>
                <w:b/>
                <w:bCs/>
                <w:color w:val="auto"/>
                <w:sz w:val="18"/>
                <w:szCs w:val="18"/>
              </w:rPr>
            </w:pPr>
            <w:r w:rsidRPr="003B6E23">
              <w:rPr>
                <w:rFonts w:ascii="Verdana" w:eastAsia="Times New Roman" w:hAnsi="Verdana"/>
                <w:b/>
                <w:bCs/>
                <w:color w:val="auto"/>
                <w:sz w:val="18"/>
                <w:szCs w:val="18"/>
              </w:rPr>
              <w:t> </w:t>
            </w:r>
          </w:p>
        </w:tc>
        <w:tc>
          <w:tcPr>
            <w:tcW w:w="6180" w:type="dxa"/>
            <w:tcBorders>
              <w:top w:val="single" w:sz="4" w:space="0" w:color="auto"/>
              <w:left w:val="nil"/>
              <w:bottom w:val="single" w:sz="4" w:space="0" w:color="auto"/>
              <w:right w:val="nil"/>
            </w:tcBorders>
            <w:shd w:val="clear" w:color="auto" w:fill="auto"/>
            <w:vAlign w:val="center"/>
            <w:hideMark/>
          </w:tcPr>
          <w:p w14:paraId="2C3EC097" w14:textId="77777777" w:rsidR="004512BC" w:rsidRPr="003B6E23" w:rsidRDefault="004512BC" w:rsidP="00E275CE">
            <w:pPr>
              <w:spacing w:after="0" w:line="240" w:lineRule="auto"/>
              <w:ind w:left="0" w:right="0" w:firstLine="0"/>
              <w:jc w:val="left"/>
              <w:outlineLvl w:val="0"/>
              <w:rPr>
                <w:rFonts w:ascii="Verdana" w:eastAsia="Times New Roman" w:hAnsi="Verdana"/>
                <w:b/>
                <w:bCs/>
                <w:color w:val="auto"/>
                <w:sz w:val="18"/>
                <w:szCs w:val="18"/>
              </w:rPr>
            </w:pPr>
            <w:r w:rsidRPr="003B6E23">
              <w:rPr>
                <w:rFonts w:ascii="Verdana" w:eastAsia="Times New Roman" w:hAnsi="Verdana"/>
                <w:b/>
                <w:bCs/>
                <w:color w:val="auto"/>
                <w:sz w:val="18"/>
                <w:szCs w:val="18"/>
              </w:rPr>
              <w:t> </w:t>
            </w:r>
          </w:p>
        </w:tc>
        <w:tc>
          <w:tcPr>
            <w:tcW w:w="1860" w:type="dxa"/>
            <w:tcBorders>
              <w:top w:val="single" w:sz="4" w:space="0" w:color="auto"/>
              <w:left w:val="nil"/>
              <w:bottom w:val="nil"/>
              <w:right w:val="nil"/>
            </w:tcBorders>
            <w:shd w:val="clear" w:color="auto" w:fill="auto"/>
            <w:vAlign w:val="center"/>
            <w:hideMark/>
          </w:tcPr>
          <w:p w14:paraId="7E6F3885" w14:textId="77777777" w:rsidR="004512BC" w:rsidRPr="003B6E23" w:rsidRDefault="004512BC" w:rsidP="00E275CE">
            <w:pPr>
              <w:spacing w:after="0" w:line="240" w:lineRule="auto"/>
              <w:ind w:left="0" w:right="0" w:firstLine="0"/>
              <w:jc w:val="center"/>
              <w:outlineLvl w:val="0"/>
              <w:rPr>
                <w:rFonts w:ascii="Verdana" w:eastAsia="Times New Roman" w:hAnsi="Verdana"/>
                <w:b/>
                <w:bCs/>
                <w:color w:val="auto"/>
                <w:sz w:val="18"/>
                <w:szCs w:val="18"/>
              </w:rPr>
            </w:pPr>
            <w:r w:rsidRPr="003B6E23">
              <w:rPr>
                <w:rFonts w:ascii="Verdana" w:eastAsia="Times New Roman" w:hAnsi="Verdana"/>
                <w:b/>
                <w:bCs/>
                <w:color w:val="auto"/>
                <w:sz w:val="18"/>
                <w:szCs w:val="18"/>
              </w:rPr>
              <w:t> </w:t>
            </w:r>
          </w:p>
        </w:tc>
      </w:tr>
      <w:tr w:rsidR="004512BC" w:rsidRPr="003B6E23" w14:paraId="0022CE17" w14:textId="77777777" w:rsidTr="00E275CE">
        <w:trPr>
          <w:trHeight w:val="43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0530DE2"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 </w:t>
            </w:r>
          </w:p>
        </w:tc>
        <w:tc>
          <w:tcPr>
            <w:tcW w:w="6180" w:type="dxa"/>
            <w:tcBorders>
              <w:top w:val="nil"/>
              <w:left w:val="nil"/>
              <w:bottom w:val="single" w:sz="4" w:space="0" w:color="auto"/>
              <w:right w:val="single" w:sz="4" w:space="0" w:color="auto"/>
            </w:tcBorders>
            <w:shd w:val="clear" w:color="auto" w:fill="auto"/>
            <w:vAlign w:val="center"/>
            <w:hideMark/>
          </w:tcPr>
          <w:p w14:paraId="0D483B12"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Łączna kwota ekspozycji na ryzyko, tym:</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270EDC36" w14:textId="77777777" w:rsidR="004512BC" w:rsidRPr="003B6E23" w:rsidRDefault="004512BC" w:rsidP="00E275CE">
            <w:pPr>
              <w:spacing w:after="0" w:line="240" w:lineRule="auto"/>
              <w:ind w:left="0" w:right="0" w:firstLine="0"/>
              <w:jc w:val="center"/>
              <w:rPr>
                <w:rFonts w:ascii="Verdana" w:eastAsia="Times New Roman" w:hAnsi="Verdana"/>
                <w:b/>
                <w:bCs/>
                <w:color w:val="auto"/>
                <w:sz w:val="18"/>
                <w:szCs w:val="18"/>
              </w:rPr>
            </w:pPr>
            <w:r w:rsidRPr="003B6E23">
              <w:rPr>
                <w:rFonts w:ascii="Verdana" w:eastAsia="Times New Roman" w:hAnsi="Verdana"/>
                <w:b/>
                <w:bCs/>
                <w:color w:val="auto"/>
                <w:sz w:val="18"/>
                <w:szCs w:val="18"/>
              </w:rPr>
              <w:t>414 167</w:t>
            </w:r>
          </w:p>
        </w:tc>
      </w:tr>
      <w:tr w:rsidR="004512BC" w:rsidRPr="003B6E23" w14:paraId="47F49DE9" w14:textId="77777777" w:rsidTr="00E275CE">
        <w:trPr>
          <w:trHeight w:val="43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24901B6"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 </w:t>
            </w:r>
          </w:p>
        </w:tc>
        <w:tc>
          <w:tcPr>
            <w:tcW w:w="6180" w:type="dxa"/>
            <w:tcBorders>
              <w:top w:val="nil"/>
              <w:left w:val="nil"/>
              <w:bottom w:val="single" w:sz="4" w:space="0" w:color="auto"/>
              <w:right w:val="single" w:sz="4" w:space="0" w:color="auto"/>
            </w:tcBorders>
            <w:shd w:val="clear" w:color="auto" w:fill="auto"/>
            <w:vAlign w:val="center"/>
            <w:hideMark/>
          </w:tcPr>
          <w:p w14:paraId="55D391E6"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z tytułu ryzyka kredytowego</w:t>
            </w:r>
          </w:p>
        </w:tc>
        <w:tc>
          <w:tcPr>
            <w:tcW w:w="1860" w:type="dxa"/>
            <w:tcBorders>
              <w:top w:val="nil"/>
              <w:left w:val="nil"/>
              <w:bottom w:val="single" w:sz="4" w:space="0" w:color="auto"/>
              <w:right w:val="single" w:sz="4" w:space="0" w:color="auto"/>
            </w:tcBorders>
            <w:shd w:val="clear" w:color="auto" w:fill="auto"/>
            <w:vAlign w:val="center"/>
            <w:hideMark/>
          </w:tcPr>
          <w:p w14:paraId="30910EE1" w14:textId="77777777" w:rsidR="004512BC" w:rsidRPr="003B6E23" w:rsidRDefault="004512BC" w:rsidP="00E275CE">
            <w:pPr>
              <w:spacing w:after="0" w:line="240" w:lineRule="auto"/>
              <w:ind w:left="0" w:right="0" w:firstLine="0"/>
              <w:jc w:val="center"/>
              <w:rPr>
                <w:rFonts w:ascii="Verdana" w:eastAsia="Times New Roman" w:hAnsi="Verdana"/>
                <w:color w:val="auto"/>
                <w:sz w:val="18"/>
                <w:szCs w:val="18"/>
              </w:rPr>
            </w:pPr>
            <w:r w:rsidRPr="003B6E23">
              <w:rPr>
                <w:rFonts w:ascii="Verdana" w:eastAsia="Times New Roman" w:hAnsi="Verdana"/>
                <w:color w:val="auto"/>
                <w:sz w:val="18"/>
                <w:szCs w:val="18"/>
              </w:rPr>
              <w:t>375 564</w:t>
            </w:r>
          </w:p>
        </w:tc>
      </w:tr>
      <w:tr w:rsidR="004512BC" w:rsidRPr="003B6E23" w14:paraId="13F123EE" w14:textId="77777777" w:rsidTr="00E275CE">
        <w:trPr>
          <w:trHeight w:val="43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E5ADB20"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lastRenderedPageBreak/>
              <w:t> </w:t>
            </w:r>
          </w:p>
        </w:tc>
        <w:tc>
          <w:tcPr>
            <w:tcW w:w="6180" w:type="dxa"/>
            <w:tcBorders>
              <w:top w:val="nil"/>
              <w:left w:val="nil"/>
              <w:bottom w:val="single" w:sz="4" w:space="0" w:color="auto"/>
              <w:right w:val="single" w:sz="4" w:space="0" w:color="auto"/>
            </w:tcBorders>
            <w:shd w:val="clear" w:color="auto" w:fill="auto"/>
            <w:vAlign w:val="center"/>
            <w:hideMark/>
          </w:tcPr>
          <w:p w14:paraId="4E95082E"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z tytułu ryzyka walutowego</w:t>
            </w:r>
          </w:p>
        </w:tc>
        <w:tc>
          <w:tcPr>
            <w:tcW w:w="1860" w:type="dxa"/>
            <w:tcBorders>
              <w:top w:val="nil"/>
              <w:left w:val="nil"/>
              <w:bottom w:val="single" w:sz="4" w:space="0" w:color="auto"/>
              <w:right w:val="single" w:sz="4" w:space="0" w:color="auto"/>
            </w:tcBorders>
            <w:shd w:val="clear" w:color="auto" w:fill="auto"/>
            <w:vAlign w:val="center"/>
            <w:hideMark/>
          </w:tcPr>
          <w:p w14:paraId="4667B755" w14:textId="77777777" w:rsidR="004512BC" w:rsidRPr="003B6E23" w:rsidRDefault="004512BC" w:rsidP="00E275CE">
            <w:pPr>
              <w:spacing w:after="0" w:line="240" w:lineRule="auto"/>
              <w:ind w:left="0" w:right="0" w:firstLine="0"/>
              <w:jc w:val="center"/>
              <w:rPr>
                <w:rFonts w:ascii="Verdana" w:eastAsia="Times New Roman" w:hAnsi="Verdana"/>
                <w:color w:val="auto"/>
                <w:sz w:val="18"/>
                <w:szCs w:val="18"/>
              </w:rPr>
            </w:pPr>
            <w:r w:rsidRPr="003B6E23">
              <w:rPr>
                <w:rFonts w:ascii="Verdana" w:eastAsia="Times New Roman" w:hAnsi="Verdana"/>
                <w:color w:val="auto"/>
                <w:sz w:val="18"/>
                <w:szCs w:val="18"/>
              </w:rPr>
              <w:t>0</w:t>
            </w:r>
          </w:p>
        </w:tc>
      </w:tr>
      <w:tr w:rsidR="004512BC" w:rsidRPr="003B6E23" w14:paraId="03F13CA9" w14:textId="77777777" w:rsidTr="00E275CE">
        <w:trPr>
          <w:trHeight w:val="43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4FC1217"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 </w:t>
            </w:r>
          </w:p>
        </w:tc>
        <w:tc>
          <w:tcPr>
            <w:tcW w:w="6180" w:type="dxa"/>
            <w:tcBorders>
              <w:top w:val="nil"/>
              <w:left w:val="nil"/>
              <w:bottom w:val="single" w:sz="4" w:space="0" w:color="auto"/>
              <w:right w:val="single" w:sz="4" w:space="0" w:color="auto"/>
            </w:tcBorders>
            <w:shd w:val="clear" w:color="auto" w:fill="auto"/>
            <w:vAlign w:val="center"/>
            <w:hideMark/>
          </w:tcPr>
          <w:p w14:paraId="754ED1C5"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z tytułu ryzyka operacyjnego</w:t>
            </w:r>
          </w:p>
        </w:tc>
        <w:tc>
          <w:tcPr>
            <w:tcW w:w="1860" w:type="dxa"/>
            <w:tcBorders>
              <w:top w:val="nil"/>
              <w:left w:val="nil"/>
              <w:bottom w:val="single" w:sz="4" w:space="0" w:color="auto"/>
              <w:right w:val="single" w:sz="4" w:space="0" w:color="auto"/>
            </w:tcBorders>
            <w:shd w:val="clear" w:color="auto" w:fill="auto"/>
            <w:vAlign w:val="center"/>
            <w:hideMark/>
          </w:tcPr>
          <w:p w14:paraId="6BD27577" w14:textId="77777777" w:rsidR="004512BC" w:rsidRPr="003B6E23" w:rsidRDefault="004512BC" w:rsidP="00E275CE">
            <w:pPr>
              <w:spacing w:after="0" w:line="240" w:lineRule="auto"/>
              <w:ind w:left="0" w:right="0" w:firstLine="0"/>
              <w:jc w:val="center"/>
              <w:rPr>
                <w:rFonts w:ascii="Verdana" w:eastAsia="Times New Roman" w:hAnsi="Verdana"/>
                <w:color w:val="auto"/>
                <w:sz w:val="18"/>
                <w:szCs w:val="18"/>
              </w:rPr>
            </w:pPr>
            <w:r w:rsidRPr="003B6E23">
              <w:rPr>
                <w:rFonts w:ascii="Verdana" w:eastAsia="Times New Roman" w:hAnsi="Verdana"/>
                <w:color w:val="auto"/>
                <w:sz w:val="18"/>
                <w:szCs w:val="18"/>
              </w:rPr>
              <w:t>38 603</w:t>
            </w:r>
          </w:p>
        </w:tc>
      </w:tr>
      <w:tr w:rsidR="004512BC" w:rsidRPr="003B6E23" w14:paraId="7AAD7195" w14:textId="77777777" w:rsidTr="00E275CE">
        <w:trPr>
          <w:trHeight w:val="252"/>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8B0DE8F"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 </w:t>
            </w:r>
          </w:p>
        </w:tc>
        <w:tc>
          <w:tcPr>
            <w:tcW w:w="6180" w:type="dxa"/>
            <w:tcBorders>
              <w:top w:val="nil"/>
              <w:left w:val="nil"/>
              <w:bottom w:val="single" w:sz="4" w:space="0" w:color="auto"/>
              <w:right w:val="single" w:sz="4" w:space="0" w:color="auto"/>
            </w:tcBorders>
            <w:shd w:val="clear" w:color="auto" w:fill="auto"/>
            <w:vAlign w:val="center"/>
            <w:hideMark/>
          </w:tcPr>
          <w:p w14:paraId="1456F283"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 xml:space="preserve">Współczynnik kapitału podstawowego </w:t>
            </w:r>
            <w:proofErr w:type="spellStart"/>
            <w:r w:rsidRPr="003B6E23">
              <w:rPr>
                <w:rFonts w:ascii="Verdana" w:eastAsia="Times New Roman" w:hAnsi="Verdana"/>
                <w:b/>
                <w:bCs/>
                <w:color w:val="auto"/>
                <w:sz w:val="18"/>
                <w:szCs w:val="18"/>
              </w:rPr>
              <w:t>Tier</w:t>
            </w:r>
            <w:proofErr w:type="spellEnd"/>
            <w:r w:rsidRPr="003B6E23">
              <w:rPr>
                <w:rFonts w:ascii="Verdana" w:eastAsia="Times New Roman" w:hAnsi="Verdana"/>
                <w:b/>
                <w:bCs/>
                <w:color w:val="auto"/>
                <w:sz w:val="18"/>
                <w:szCs w:val="18"/>
              </w:rPr>
              <w:t xml:space="preserve"> I (CET1)</w:t>
            </w:r>
          </w:p>
        </w:tc>
        <w:tc>
          <w:tcPr>
            <w:tcW w:w="1860" w:type="dxa"/>
            <w:tcBorders>
              <w:top w:val="nil"/>
              <w:left w:val="nil"/>
              <w:bottom w:val="single" w:sz="4" w:space="0" w:color="auto"/>
              <w:right w:val="single" w:sz="4" w:space="0" w:color="auto"/>
            </w:tcBorders>
            <w:shd w:val="clear" w:color="auto" w:fill="auto"/>
            <w:vAlign w:val="center"/>
            <w:hideMark/>
          </w:tcPr>
          <w:p w14:paraId="66A247E8" w14:textId="77777777" w:rsidR="004512BC" w:rsidRPr="003B6E23" w:rsidRDefault="004512BC" w:rsidP="00E275CE">
            <w:pPr>
              <w:spacing w:after="0" w:line="240" w:lineRule="auto"/>
              <w:ind w:left="0" w:right="0" w:firstLine="0"/>
              <w:jc w:val="center"/>
              <w:rPr>
                <w:rFonts w:ascii="Verdana" w:eastAsia="Times New Roman" w:hAnsi="Verdana"/>
                <w:b/>
                <w:bCs/>
                <w:color w:val="auto"/>
                <w:sz w:val="18"/>
                <w:szCs w:val="18"/>
              </w:rPr>
            </w:pPr>
            <w:r w:rsidRPr="003B6E23">
              <w:rPr>
                <w:rFonts w:ascii="Verdana" w:eastAsia="Times New Roman" w:hAnsi="Verdana"/>
                <w:b/>
                <w:bCs/>
                <w:color w:val="auto"/>
                <w:sz w:val="18"/>
                <w:szCs w:val="18"/>
              </w:rPr>
              <w:t>21,67%</w:t>
            </w:r>
          </w:p>
        </w:tc>
      </w:tr>
      <w:tr w:rsidR="004512BC" w:rsidRPr="003B6E23" w14:paraId="03DAF478" w14:textId="77777777" w:rsidTr="00E275CE">
        <w:trPr>
          <w:trHeight w:val="43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AEB6D51"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 </w:t>
            </w:r>
          </w:p>
        </w:tc>
        <w:tc>
          <w:tcPr>
            <w:tcW w:w="6180" w:type="dxa"/>
            <w:tcBorders>
              <w:top w:val="nil"/>
              <w:left w:val="nil"/>
              <w:bottom w:val="single" w:sz="4" w:space="0" w:color="auto"/>
              <w:right w:val="single" w:sz="4" w:space="0" w:color="auto"/>
            </w:tcBorders>
            <w:shd w:val="clear" w:color="auto" w:fill="auto"/>
            <w:vAlign w:val="center"/>
            <w:hideMark/>
          </w:tcPr>
          <w:p w14:paraId="64CDB6EE"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 xml:space="preserve">Współczynnik kapitału </w:t>
            </w:r>
            <w:proofErr w:type="spellStart"/>
            <w:r w:rsidRPr="003B6E23">
              <w:rPr>
                <w:rFonts w:ascii="Verdana" w:eastAsia="Times New Roman" w:hAnsi="Verdana"/>
                <w:b/>
                <w:bCs/>
                <w:color w:val="auto"/>
                <w:sz w:val="18"/>
                <w:szCs w:val="18"/>
              </w:rPr>
              <w:t>Tier</w:t>
            </w:r>
            <w:proofErr w:type="spellEnd"/>
            <w:r w:rsidRPr="003B6E23">
              <w:rPr>
                <w:rFonts w:ascii="Verdana" w:eastAsia="Times New Roman" w:hAnsi="Verdana"/>
                <w:b/>
                <w:bCs/>
                <w:color w:val="auto"/>
                <w:sz w:val="18"/>
                <w:szCs w:val="18"/>
              </w:rPr>
              <w:t xml:space="preserve"> I</w:t>
            </w:r>
          </w:p>
        </w:tc>
        <w:tc>
          <w:tcPr>
            <w:tcW w:w="1860" w:type="dxa"/>
            <w:tcBorders>
              <w:top w:val="nil"/>
              <w:left w:val="nil"/>
              <w:bottom w:val="single" w:sz="4" w:space="0" w:color="auto"/>
              <w:right w:val="single" w:sz="4" w:space="0" w:color="auto"/>
            </w:tcBorders>
            <w:shd w:val="clear" w:color="auto" w:fill="auto"/>
            <w:vAlign w:val="center"/>
            <w:hideMark/>
          </w:tcPr>
          <w:p w14:paraId="42EFC810" w14:textId="77777777" w:rsidR="004512BC" w:rsidRPr="003B6E23" w:rsidRDefault="004512BC" w:rsidP="00E275CE">
            <w:pPr>
              <w:spacing w:after="0" w:line="240" w:lineRule="auto"/>
              <w:ind w:left="0" w:right="0" w:firstLine="0"/>
              <w:jc w:val="center"/>
              <w:rPr>
                <w:rFonts w:ascii="Verdana" w:eastAsia="Times New Roman" w:hAnsi="Verdana"/>
                <w:b/>
                <w:bCs/>
                <w:color w:val="auto"/>
                <w:sz w:val="18"/>
                <w:szCs w:val="18"/>
              </w:rPr>
            </w:pPr>
            <w:r w:rsidRPr="003B6E23">
              <w:rPr>
                <w:rFonts w:ascii="Verdana" w:eastAsia="Times New Roman" w:hAnsi="Verdana"/>
                <w:b/>
                <w:bCs/>
                <w:color w:val="auto"/>
                <w:sz w:val="18"/>
                <w:szCs w:val="18"/>
              </w:rPr>
              <w:t>21,67%</w:t>
            </w:r>
          </w:p>
        </w:tc>
      </w:tr>
      <w:tr w:rsidR="004512BC" w:rsidRPr="003B6E23" w14:paraId="370F9224" w14:textId="77777777" w:rsidTr="00E275CE">
        <w:trPr>
          <w:trHeight w:val="43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1E14D3B"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 </w:t>
            </w:r>
          </w:p>
        </w:tc>
        <w:tc>
          <w:tcPr>
            <w:tcW w:w="6180" w:type="dxa"/>
            <w:tcBorders>
              <w:top w:val="nil"/>
              <w:left w:val="nil"/>
              <w:bottom w:val="single" w:sz="4" w:space="0" w:color="auto"/>
              <w:right w:val="single" w:sz="4" w:space="0" w:color="auto"/>
            </w:tcBorders>
            <w:shd w:val="clear" w:color="auto" w:fill="auto"/>
            <w:vAlign w:val="center"/>
            <w:hideMark/>
          </w:tcPr>
          <w:p w14:paraId="3B5C754D" w14:textId="77777777" w:rsidR="004512BC" w:rsidRPr="003B6E23" w:rsidRDefault="004512BC" w:rsidP="00E275CE">
            <w:pPr>
              <w:spacing w:after="0" w:line="240" w:lineRule="auto"/>
              <w:ind w:left="0" w:right="0" w:firstLine="0"/>
              <w:jc w:val="left"/>
              <w:rPr>
                <w:rFonts w:ascii="Verdana" w:eastAsia="Times New Roman" w:hAnsi="Verdana"/>
                <w:b/>
                <w:bCs/>
                <w:color w:val="auto"/>
                <w:sz w:val="18"/>
                <w:szCs w:val="18"/>
              </w:rPr>
            </w:pPr>
            <w:r w:rsidRPr="003B6E23">
              <w:rPr>
                <w:rFonts w:ascii="Verdana" w:eastAsia="Times New Roman" w:hAnsi="Verdana"/>
                <w:b/>
                <w:bCs/>
                <w:color w:val="auto"/>
                <w:sz w:val="18"/>
                <w:szCs w:val="18"/>
              </w:rPr>
              <w:t>Łączny współczynnik kapitałowy (TCR)</w:t>
            </w:r>
          </w:p>
        </w:tc>
        <w:tc>
          <w:tcPr>
            <w:tcW w:w="1860" w:type="dxa"/>
            <w:tcBorders>
              <w:top w:val="nil"/>
              <w:left w:val="nil"/>
              <w:bottom w:val="single" w:sz="4" w:space="0" w:color="auto"/>
              <w:right w:val="single" w:sz="4" w:space="0" w:color="auto"/>
            </w:tcBorders>
            <w:shd w:val="clear" w:color="auto" w:fill="auto"/>
            <w:vAlign w:val="center"/>
            <w:hideMark/>
          </w:tcPr>
          <w:p w14:paraId="650CCC89" w14:textId="77777777" w:rsidR="004512BC" w:rsidRPr="003B6E23" w:rsidRDefault="004512BC" w:rsidP="00E275CE">
            <w:pPr>
              <w:spacing w:after="0" w:line="240" w:lineRule="auto"/>
              <w:ind w:left="0" w:right="0" w:firstLine="0"/>
              <w:jc w:val="center"/>
              <w:rPr>
                <w:rFonts w:ascii="Verdana" w:eastAsia="Times New Roman" w:hAnsi="Verdana"/>
                <w:b/>
                <w:bCs/>
                <w:color w:val="auto"/>
                <w:sz w:val="18"/>
                <w:szCs w:val="18"/>
              </w:rPr>
            </w:pPr>
            <w:r w:rsidRPr="003B6E23">
              <w:rPr>
                <w:rFonts w:ascii="Verdana" w:eastAsia="Times New Roman" w:hAnsi="Verdana"/>
                <w:b/>
                <w:bCs/>
                <w:color w:val="auto"/>
                <w:sz w:val="18"/>
                <w:szCs w:val="18"/>
              </w:rPr>
              <w:t>22,80%</w:t>
            </w:r>
          </w:p>
        </w:tc>
      </w:tr>
    </w:tbl>
    <w:p w14:paraId="6B6637E8" w14:textId="77777777" w:rsidR="004512BC" w:rsidRPr="007F07EA" w:rsidRDefault="004512BC" w:rsidP="004512BC">
      <w:pPr>
        <w:spacing w:after="0" w:line="276" w:lineRule="auto"/>
        <w:ind w:left="360" w:right="8" w:firstLine="0"/>
        <w:rPr>
          <w:rFonts w:ascii="Times New Roman" w:hAnsi="Times New Roman" w:cs="Times New Roman"/>
          <w:iCs/>
          <w:color w:val="auto"/>
          <w:sz w:val="20"/>
        </w:rPr>
      </w:pPr>
    </w:p>
    <w:p w14:paraId="4B7BAE66" w14:textId="77777777" w:rsidR="004512BC" w:rsidRPr="007F07EA" w:rsidRDefault="004512BC" w:rsidP="004512BC">
      <w:pPr>
        <w:spacing w:after="0" w:line="276" w:lineRule="auto"/>
        <w:ind w:left="360" w:right="8" w:firstLine="0"/>
        <w:rPr>
          <w:rFonts w:ascii="Times New Roman" w:hAnsi="Times New Roman" w:cs="Times New Roman"/>
          <w:i/>
          <w:color w:val="auto"/>
          <w:sz w:val="20"/>
        </w:rPr>
      </w:pPr>
    </w:p>
    <w:p w14:paraId="3BEEBD1C" w14:textId="77777777" w:rsidR="00AD4398" w:rsidRPr="00065790" w:rsidRDefault="00AD4398" w:rsidP="00C23EF4">
      <w:pPr>
        <w:spacing w:after="0" w:line="276" w:lineRule="auto"/>
        <w:ind w:left="360" w:right="8" w:firstLine="0"/>
        <w:rPr>
          <w:rFonts w:ascii="Times New Roman" w:hAnsi="Times New Roman" w:cs="Times New Roman"/>
          <w:i/>
          <w:color w:val="FF0000"/>
          <w:sz w:val="20"/>
        </w:rPr>
      </w:pPr>
    </w:p>
    <w:p w14:paraId="50D9ACD8" w14:textId="77777777" w:rsidR="00E44B48" w:rsidRPr="004512BC" w:rsidRDefault="00E81BF6" w:rsidP="00E44B48">
      <w:pPr>
        <w:pStyle w:val="Nagwek1"/>
        <w:spacing w:after="296"/>
        <w:ind w:left="-5" w:right="7"/>
        <w:rPr>
          <w:rFonts w:ascii="Times New Roman" w:hAnsi="Times New Roman" w:cs="Times New Roman"/>
          <w:color w:val="auto"/>
        </w:rPr>
      </w:pPr>
      <w:bookmarkStart w:id="11" w:name="_Toc75336254"/>
      <w:r w:rsidRPr="004512BC">
        <w:rPr>
          <w:rFonts w:ascii="Times New Roman" w:hAnsi="Times New Roman" w:cs="Times New Roman"/>
          <w:color w:val="auto"/>
        </w:rPr>
        <w:t>5. Wymogi kapitałowe – art. 438 Rozporządzenia CRR</w:t>
      </w:r>
      <w:bookmarkEnd w:id="11"/>
      <w:r w:rsidRPr="004512BC">
        <w:rPr>
          <w:rFonts w:ascii="Times New Roman" w:hAnsi="Times New Roman" w:cs="Times New Roman"/>
          <w:color w:val="auto"/>
        </w:rPr>
        <w:t xml:space="preserve"> </w:t>
      </w:r>
    </w:p>
    <w:p w14:paraId="49C8B3DC" w14:textId="77777777" w:rsidR="002C50F6" w:rsidRPr="004512BC" w:rsidRDefault="00E81BF6" w:rsidP="000A5551">
      <w:pPr>
        <w:pStyle w:val="Nagwek2"/>
        <w:spacing w:line="269" w:lineRule="auto"/>
        <w:ind w:left="11" w:hanging="11"/>
        <w:rPr>
          <w:rFonts w:ascii="Times New Roman" w:hAnsi="Times New Roman" w:cs="Times New Roman"/>
          <w:color w:val="auto"/>
        </w:rPr>
      </w:pPr>
      <w:bookmarkStart w:id="12" w:name="_Toc75336255"/>
      <w:r w:rsidRPr="004512BC">
        <w:rPr>
          <w:rFonts w:ascii="Times New Roman" w:hAnsi="Times New Roman" w:cs="Times New Roman"/>
          <w:color w:val="auto"/>
        </w:rPr>
        <w:t>5.1. Opis metody stosowanej przez instytucję do oceny adekwatności jej kapitału</w:t>
      </w:r>
      <w:r w:rsidR="00E44B48" w:rsidRPr="004512BC">
        <w:rPr>
          <w:rFonts w:ascii="Times New Roman" w:hAnsi="Times New Roman" w:cs="Times New Roman"/>
          <w:color w:val="auto"/>
        </w:rPr>
        <w:t xml:space="preserve"> </w:t>
      </w:r>
      <w:r w:rsidRPr="004512BC">
        <w:rPr>
          <w:rFonts w:ascii="Times New Roman" w:hAnsi="Times New Roman" w:cs="Times New Roman"/>
          <w:color w:val="auto"/>
        </w:rPr>
        <w:t>wewnętrznego w celu wsparcia bieżących i przyszłych działań</w:t>
      </w:r>
      <w:bookmarkEnd w:id="12"/>
    </w:p>
    <w:p w14:paraId="33A8CD26" w14:textId="77777777" w:rsidR="00E44B48" w:rsidRPr="004512BC" w:rsidRDefault="00E44B48" w:rsidP="002E2D69">
      <w:pPr>
        <w:pStyle w:val="Tekstpodstawowy"/>
        <w:widowControl w:val="0"/>
        <w:adjustRightInd w:val="0"/>
        <w:spacing w:line="276" w:lineRule="auto"/>
        <w:jc w:val="both"/>
        <w:textAlignment w:val="baseline"/>
        <w:rPr>
          <w:rFonts w:ascii="Times New Roman" w:hAnsi="Times New Roman"/>
        </w:rPr>
      </w:pPr>
      <w:r w:rsidRPr="004512BC">
        <w:rPr>
          <w:rFonts w:ascii="Times New Roman" w:hAnsi="Times New Roman"/>
        </w:rPr>
        <w:t>Celem procesu oceny adekwatności kapitału wewnętrznego jest zapewnienie utrzymywania kapitału w wysokości dostosowanej do profilu ryzyka Banku. Dążąc do tego celu w procesie ICAAP realizowane są następujące działania:</w:t>
      </w:r>
    </w:p>
    <w:p w14:paraId="6DD2F68E" w14:textId="77777777" w:rsidR="00E44B48" w:rsidRPr="004512BC" w:rsidRDefault="00E44B48" w:rsidP="00D8051F">
      <w:pPr>
        <w:pStyle w:val="Tekstpodstawowy"/>
        <w:widowControl w:val="0"/>
        <w:numPr>
          <w:ilvl w:val="1"/>
          <w:numId w:val="43"/>
        </w:numPr>
        <w:tabs>
          <w:tab w:val="clear" w:pos="1440"/>
          <w:tab w:val="num" w:pos="1080"/>
        </w:tabs>
        <w:adjustRightInd w:val="0"/>
        <w:spacing w:line="276" w:lineRule="auto"/>
        <w:ind w:left="1080" w:hanging="540"/>
        <w:jc w:val="both"/>
        <w:textAlignment w:val="baseline"/>
        <w:rPr>
          <w:rFonts w:ascii="Times New Roman" w:hAnsi="Times New Roman"/>
        </w:rPr>
      </w:pPr>
      <w:r w:rsidRPr="004512BC">
        <w:rPr>
          <w:rFonts w:ascii="Times New Roman" w:hAnsi="Times New Roman"/>
        </w:rPr>
        <w:t>identyfikacja rodzajów ryzyka występujących w Banku;</w:t>
      </w:r>
    </w:p>
    <w:p w14:paraId="514997ED" w14:textId="77777777" w:rsidR="00E44B48" w:rsidRPr="004512BC" w:rsidRDefault="00E44B48" w:rsidP="00D8051F">
      <w:pPr>
        <w:pStyle w:val="Tekstpodstawowy"/>
        <w:widowControl w:val="0"/>
        <w:numPr>
          <w:ilvl w:val="1"/>
          <w:numId w:val="43"/>
        </w:numPr>
        <w:tabs>
          <w:tab w:val="clear" w:pos="1440"/>
          <w:tab w:val="num" w:pos="1080"/>
        </w:tabs>
        <w:adjustRightInd w:val="0"/>
        <w:spacing w:line="276" w:lineRule="auto"/>
        <w:ind w:left="1080" w:hanging="540"/>
        <w:jc w:val="both"/>
        <w:textAlignment w:val="baseline"/>
        <w:rPr>
          <w:rFonts w:ascii="Times New Roman" w:hAnsi="Times New Roman"/>
        </w:rPr>
      </w:pPr>
      <w:r w:rsidRPr="004512BC">
        <w:rPr>
          <w:rFonts w:ascii="Times New Roman" w:hAnsi="Times New Roman"/>
        </w:rPr>
        <w:t>wyodrębnienie istotnych rodzajów ryzyka;</w:t>
      </w:r>
    </w:p>
    <w:p w14:paraId="0F564022" w14:textId="77777777" w:rsidR="00E44B48" w:rsidRPr="004512BC" w:rsidRDefault="00E44B48" w:rsidP="00D8051F">
      <w:pPr>
        <w:pStyle w:val="Tekstpodstawowy"/>
        <w:widowControl w:val="0"/>
        <w:numPr>
          <w:ilvl w:val="1"/>
          <w:numId w:val="43"/>
        </w:numPr>
        <w:tabs>
          <w:tab w:val="clear" w:pos="1440"/>
          <w:tab w:val="num" w:pos="1080"/>
        </w:tabs>
        <w:adjustRightInd w:val="0"/>
        <w:spacing w:line="276" w:lineRule="auto"/>
        <w:ind w:left="1080" w:hanging="540"/>
        <w:jc w:val="both"/>
        <w:textAlignment w:val="baseline"/>
        <w:rPr>
          <w:rFonts w:ascii="Times New Roman" w:hAnsi="Times New Roman"/>
        </w:rPr>
      </w:pPr>
      <w:r w:rsidRPr="004512BC">
        <w:rPr>
          <w:rFonts w:ascii="Times New Roman" w:hAnsi="Times New Roman"/>
        </w:rPr>
        <w:t>pomiar i alokacja kapitału wewnętrznego na poszczególne rodzaje ryzyka;</w:t>
      </w:r>
    </w:p>
    <w:p w14:paraId="7AE71471" w14:textId="77777777" w:rsidR="00E44B48" w:rsidRPr="004512BC" w:rsidRDefault="00E44B48" w:rsidP="00D8051F">
      <w:pPr>
        <w:pStyle w:val="Tekstpodstawowy"/>
        <w:widowControl w:val="0"/>
        <w:numPr>
          <w:ilvl w:val="1"/>
          <w:numId w:val="43"/>
        </w:numPr>
        <w:tabs>
          <w:tab w:val="clear" w:pos="1440"/>
          <w:tab w:val="num" w:pos="1080"/>
        </w:tabs>
        <w:adjustRightInd w:val="0"/>
        <w:spacing w:line="276" w:lineRule="auto"/>
        <w:ind w:left="1080" w:hanging="540"/>
        <w:jc w:val="both"/>
        <w:textAlignment w:val="baseline"/>
        <w:rPr>
          <w:rFonts w:ascii="Times New Roman" w:hAnsi="Times New Roman"/>
        </w:rPr>
      </w:pPr>
      <w:r w:rsidRPr="004512BC">
        <w:rPr>
          <w:rFonts w:ascii="Times New Roman" w:hAnsi="Times New Roman"/>
        </w:rPr>
        <w:t>agregacja kapitału wewnętrznego;</w:t>
      </w:r>
    </w:p>
    <w:p w14:paraId="0E0826D2" w14:textId="77777777" w:rsidR="00E44B48" w:rsidRPr="004512BC" w:rsidRDefault="00E44B48" w:rsidP="00D8051F">
      <w:pPr>
        <w:pStyle w:val="Tekstpodstawowy"/>
        <w:widowControl w:val="0"/>
        <w:numPr>
          <w:ilvl w:val="1"/>
          <w:numId w:val="43"/>
        </w:numPr>
        <w:tabs>
          <w:tab w:val="clear" w:pos="1440"/>
          <w:tab w:val="num" w:pos="1080"/>
        </w:tabs>
        <w:adjustRightInd w:val="0"/>
        <w:spacing w:line="276" w:lineRule="auto"/>
        <w:ind w:left="1080" w:hanging="540"/>
        <w:jc w:val="both"/>
        <w:textAlignment w:val="baseline"/>
        <w:rPr>
          <w:rFonts w:ascii="Times New Roman" w:hAnsi="Times New Roman"/>
        </w:rPr>
      </w:pPr>
      <w:r w:rsidRPr="004512BC">
        <w:rPr>
          <w:rFonts w:ascii="Times New Roman" w:hAnsi="Times New Roman"/>
        </w:rPr>
        <w:t>monitorowanie i raportowanie kapitałowe;</w:t>
      </w:r>
    </w:p>
    <w:p w14:paraId="69C5EBD3" w14:textId="77777777" w:rsidR="00E44B48" w:rsidRPr="004512BC" w:rsidRDefault="00E44B48" w:rsidP="00D8051F">
      <w:pPr>
        <w:pStyle w:val="Tekstpodstawowy"/>
        <w:widowControl w:val="0"/>
        <w:numPr>
          <w:ilvl w:val="1"/>
          <w:numId w:val="43"/>
        </w:numPr>
        <w:tabs>
          <w:tab w:val="clear" w:pos="1440"/>
          <w:tab w:val="num" w:pos="1080"/>
        </w:tabs>
        <w:adjustRightInd w:val="0"/>
        <w:spacing w:line="276" w:lineRule="auto"/>
        <w:ind w:left="1080" w:hanging="540"/>
        <w:jc w:val="both"/>
        <w:textAlignment w:val="baseline"/>
        <w:rPr>
          <w:rFonts w:ascii="Times New Roman" w:hAnsi="Times New Roman"/>
        </w:rPr>
      </w:pPr>
      <w:r w:rsidRPr="004512BC">
        <w:rPr>
          <w:rFonts w:ascii="Times New Roman" w:hAnsi="Times New Roman"/>
        </w:rPr>
        <w:t>zarządzanie adekwatnością kapitałową.</w:t>
      </w:r>
    </w:p>
    <w:p w14:paraId="68F4FDED" w14:textId="77777777" w:rsidR="00E44B48" w:rsidRPr="004512BC" w:rsidRDefault="00E44B48" w:rsidP="002E2D69">
      <w:pPr>
        <w:pStyle w:val="Tekstpodstawowy"/>
        <w:widowControl w:val="0"/>
        <w:adjustRightInd w:val="0"/>
        <w:spacing w:line="276" w:lineRule="auto"/>
        <w:jc w:val="both"/>
        <w:textAlignment w:val="baseline"/>
        <w:rPr>
          <w:rFonts w:ascii="Times New Roman" w:hAnsi="Times New Roman"/>
        </w:rPr>
      </w:pPr>
      <w:r w:rsidRPr="004512BC">
        <w:rPr>
          <w:rFonts w:ascii="Times New Roman" w:hAnsi="Times New Roman"/>
        </w:rPr>
        <w:t>System zarządzania kapitałem i ryzykiem Banku zapewnia spójną politykę relacji pomiędzy kapitałem i poziomem ryzyka oraz wewnętrzną kontrolę nad procesem ICAAP, gwarantującą jego prawidłowość oraz dostosowywanie do zmieniających się warunków funkcjonowania.</w:t>
      </w:r>
    </w:p>
    <w:p w14:paraId="19BE6C1B" w14:textId="092D0209" w:rsidR="00EA4AA6" w:rsidRPr="004512BC" w:rsidRDefault="00617592" w:rsidP="002E2D69">
      <w:pPr>
        <w:pStyle w:val="Tekstpodstawowy"/>
        <w:widowControl w:val="0"/>
        <w:adjustRightInd w:val="0"/>
        <w:spacing w:line="276" w:lineRule="auto"/>
        <w:textAlignment w:val="baseline"/>
        <w:rPr>
          <w:rFonts w:ascii="Times New Roman" w:hAnsi="Times New Roman"/>
        </w:rPr>
      </w:pPr>
      <w:r w:rsidRPr="004512BC">
        <w:rPr>
          <w:rFonts w:ascii="Times New Roman" w:hAnsi="Times New Roman"/>
        </w:rPr>
        <w:t>Według stanu na dzień 31.12.20</w:t>
      </w:r>
      <w:r w:rsidR="004512BC" w:rsidRPr="004512BC">
        <w:rPr>
          <w:rFonts w:ascii="Times New Roman" w:hAnsi="Times New Roman"/>
        </w:rPr>
        <w:t>20</w:t>
      </w:r>
      <w:r w:rsidR="00756A58" w:rsidRPr="004512BC">
        <w:rPr>
          <w:rFonts w:ascii="Times New Roman" w:hAnsi="Times New Roman"/>
        </w:rPr>
        <w:t xml:space="preserve"> </w:t>
      </w:r>
      <w:r w:rsidR="00EA4AA6" w:rsidRPr="004512BC">
        <w:rPr>
          <w:rFonts w:ascii="Times New Roman" w:hAnsi="Times New Roman"/>
        </w:rPr>
        <w:t>r. proces szacowania kapitału wewnętrz</w:t>
      </w:r>
      <w:r w:rsidR="00756A58" w:rsidRPr="004512BC">
        <w:rPr>
          <w:rFonts w:ascii="Times New Roman" w:hAnsi="Times New Roman"/>
        </w:rPr>
        <w:t>nego przeprowadzono w oparciu o</w:t>
      </w:r>
      <w:r w:rsidR="00EA4AA6" w:rsidRPr="004512BC">
        <w:rPr>
          <w:rFonts w:ascii="Times New Roman" w:hAnsi="Times New Roman"/>
        </w:rPr>
        <w:t>:</w:t>
      </w:r>
    </w:p>
    <w:p w14:paraId="3945F6B7" w14:textId="77777777" w:rsidR="00EA4AA6" w:rsidRPr="004512BC" w:rsidRDefault="00EA4AA6" w:rsidP="002E2D69">
      <w:pPr>
        <w:pStyle w:val="Tekstpodstawowy"/>
        <w:widowControl w:val="0"/>
        <w:adjustRightInd w:val="0"/>
        <w:spacing w:line="276" w:lineRule="auto"/>
        <w:ind w:left="709" w:hanging="283"/>
        <w:textAlignment w:val="baseline"/>
        <w:rPr>
          <w:rFonts w:ascii="Times New Roman" w:hAnsi="Times New Roman"/>
        </w:rPr>
      </w:pPr>
      <w:r w:rsidRPr="004512BC">
        <w:rPr>
          <w:rFonts w:ascii="Times New Roman" w:hAnsi="Times New Roman"/>
        </w:rPr>
        <w:t>1)</w:t>
      </w:r>
      <w:r w:rsidRPr="004512BC">
        <w:rPr>
          <w:rFonts w:ascii="Times New Roman" w:hAnsi="Times New Roman"/>
        </w:rPr>
        <w:tab/>
        <w:t>Instrukcję funkcjonowania procesu oceny adekwatności poziomu kapitału wewnętrznego (ICAAP) w Warmińsko-Mazurskim Banku Spółdzielczym;</w:t>
      </w:r>
    </w:p>
    <w:p w14:paraId="4C169914" w14:textId="77777777" w:rsidR="00EA4AA6" w:rsidRPr="004512BC" w:rsidRDefault="00EA4AA6" w:rsidP="00756A58">
      <w:pPr>
        <w:pStyle w:val="Tekstpodstawowy"/>
        <w:widowControl w:val="0"/>
        <w:adjustRightInd w:val="0"/>
        <w:spacing w:line="276" w:lineRule="auto"/>
        <w:ind w:left="709" w:hanging="283"/>
        <w:jc w:val="both"/>
        <w:textAlignment w:val="baseline"/>
        <w:rPr>
          <w:rFonts w:ascii="Times New Roman" w:hAnsi="Times New Roman"/>
        </w:rPr>
      </w:pPr>
      <w:r w:rsidRPr="004512BC">
        <w:rPr>
          <w:rFonts w:ascii="Times New Roman" w:hAnsi="Times New Roman"/>
        </w:rPr>
        <w:t>2)</w:t>
      </w:r>
      <w:r w:rsidRPr="004512BC">
        <w:rPr>
          <w:rFonts w:ascii="Times New Roman" w:hAnsi="Times New Roman"/>
        </w:rPr>
        <w:tab/>
        <w:t>Instrukcję wyznaczania wymogów kapitałowych z</w:t>
      </w:r>
      <w:r w:rsidR="00756A58" w:rsidRPr="004512BC">
        <w:rPr>
          <w:rFonts w:ascii="Times New Roman" w:hAnsi="Times New Roman"/>
        </w:rPr>
        <w:t xml:space="preserve"> tytułu poszczególnych rodzajów </w:t>
      </w:r>
      <w:r w:rsidRPr="004512BC">
        <w:rPr>
          <w:rFonts w:ascii="Times New Roman" w:hAnsi="Times New Roman"/>
        </w:rPr>
        <w:t>ryzyka</w:t>
      </w:r>
      <w:r w:rsidR="00AD4398" w:rsidRPr="004512BC">
        <w:rPr>
          <w:rFonts w:ascii="Times New Roman" w:hAnsi="Times New Roman"/>
        </w:rPr>
        <w:t xml:space="preserve"> w Warmińsko-Mazurskim Banku Spółdzielczym</w:t>
      </w:r>
      <w:r w:rsidRPr="004512BC">
        <w:rPr>
          <w:rFonts w:ascii="Times New Roman" w:hAnsi="Times New Roman"/>
        </w:rPr>
        <w:t xml:space="preserve">; </w:t>
      </w:r>
    </w:p>
    <w:p w14:paraId="19FB82DD" w14:textId="77777777" w:rsidR="00EA4AA6" w:rsidRPr="004512BC" w:rsidRDefault="00756A58" w:rsidP="002E2D69">
      <w:pPr>
        <w:pStyle w:val="Tekstpodstawowy"/>
        <w:widowControl w:val="0"/>
        <w:adjustRightInd w:val="0"/>
        <w:spacing w:line="276" w:lineRule="auto"/>
        <w:ind w:left="709" w:hanging="283"/>
        <w:jc w:val="both"/>
        <w:textAlignment w:val="baseline"/>
        <w:rPr>
          <w:rFonts w:ascii="Times New Roman" w:hAnsi="Times New Roman"/>
        </w:rPr>
      </w:pPr>
      <w:r w:rsidRPr="004512BC">
        <w:rPr>
          <w:rFonts w:ascii="Times New Roman" w:hAnsi="Times New Roman"/>
        </w:rPr>
        <w:t>3)</w:t>
      </w:r>
      <w:r w:rsidRPr="004512BC">
        <w:rPr>
          <w:rFonts w:ascii="Times New Roman" w:hAnsi="Times New Roman"/>
        </w:rPr>
        <w:tab/>
        <w:t>Instrukcję</w:t>
      </w:r>
      <w:r w:rsidR="00EA4AA6" w:rsidRPr="004512BC">
        <w:rPr>
          <w:rFonts w:ascii="Times New Roman" w:hAnsi="Times New Roman"/>
        </w:rPr>
        <w:t xml:space="preserve"> Segmentacja ekspozycji i wagi ryzyka dla metody standardowej.</w:t>
      </w:r>
    </w:p>
    <w:p w14:paraId="60D80FA8" w14:textId="77777777" w:rsidR="00CC52F4" w:rsidRPr="004512BC" w:rsidRDefault="00CC52F4" w:rsidP="002E2D69">
      <w:pPr>
        <w:pStyle w:val="Tekstpodstawowy"/>
        <w:widowControl w:val="0"/>
        <w:adjustRightInd w:val="0"/>
        <w:spacing w:line="276" w:lineRule="auto"/>
        <w:jc w:val="both"/>
        <w:textAlignment w:val="baseline"/>
        <w:rPr>
          <w:rFonts w:ascii="Times New Roman" w:hAnsi="Times New Roman"/>
        </w:rPr>
      </w:pPr>
      <w:r w:rsidRPr="004512BC">
        <w:rPr>
          <w:rFonts w:ascii="Times New Roman" w:hAnsi="Times New Roman"/>
        </w:rPr>
        <w:t>Proces oceny kapitału wewnętrznego (ICAAP) j</w:t>
      </w:r>
      <w:r w:rsidR="002C2FA5" w:rsidRPr="004512BC">
        <w:rPr>
          <w:rFonts w:ascii="Times New Roman" w:hAnsi="Times New Roman"/>
        </w:rPr>
        <w:t>est prowadzony w dwóch filarach:</w:t>
      </w:r>
    </w:p>
    <w:p w14:paraId="5BDD82C9" w14:textId="77777777" w:rsidR="002C2FA5" w:rsidRPr="004512BC" w:rsidRDefault="00C30180" w:rsidP="002E2D69">
      <w:pPr>
        <w:pStyle w:val="Akapitzlist"/>
        <w:spacing w:line="276" w:lineRule="auto"/>
        <w:ind w:left="709" w:right="8" w:hanging="283"/>
        <w:rPr>
          <w:sz w:val="24"/>
          <w:szCs w:val="24"/>
        </w:rPr>
      </w:pPr>
      <w:r w:rsidRPr="004512BC">
        <w:rPr>
          <w:sz w:val="24"/>
          <w:szCs w:val="24"/>
        </w:rPr>
        <w:t>1)</w:t>
      </w:r>
      <w:r w:rsidRPr="004512BC">
        <w:rPr>
          <w:sz w:val="24"/>
          <w:szCs w:val="24"/>
        </w:rPr>
        <w:tab/>
        <w:t>F</w:t>
      </w:r>
      <w:r w:rsidR="002C2FA5" w:rsidRPr="004512BC">
        <w:rPr>
          <w:sz w:val="24"/>
          <w:szCs w:val="24"/>
        </w:rPr>
        <w:t>ilar I obejmuje ryzyka oceniane w ramach wymogów regulacyjnych;</w:t>
      </w:r>
    </w:p>
    <w:p w14:paraId="5BEF424B" w14:textId="77777777" w:rsidR="002C2FA5" w:rsidRPr="004512BC" w:rsidRDefault="002C2FA5" w:rsidP="00756A58">
      <w:pPr>
        <w:pStyle w:val="Akapitzlist"/>
        <w:spacing w:line="276" w:lineRule="auto"/>
        <w:ind w:left="709" w:right="8" w:hanging="283"/>
        <w:jc w:val="both"/>
        <w:rPr>
          <w:sz w:val="24"/>
          <w:szCs w:val="24"/>
        </w:rPr>
      </w:pPr>
      <w:r w:rsidRPr="004512BC">
        <w:rPr>
          <w:sz w:val="24"/>
          <w:szCs w:val="24"/>
        </w:rPr>
        <w:t>2)</w:t>
      </w:r>
      <w:r w:rsidRPr="004512BC">
        <w:rPr>
          <w:sz w:val="24"/>
          <w:szCs w:val="24"/>
        </w:rPr>
        <w:tab/>
      </w:r>
      <w:r w:rsidR="00C30180" w:rsidRPr="004512BC">
        <w:rPr>
          <w:sz w:val="24"/>
          <w:szCs w:val="24"/>
        </w:rPr>
        <w:t>F</w:t>
      </w:r>
      <w:r w:rsidRPr="004512BC">
        <w:rPr>
          <w:sz w:val="24"/>
          <w:szCs w:val="24"/>
        </w:rPr>
        <w:t xml:space="preserve">ilar II obejmuje pozostałe ryzyka zidentyfikowane w procesie oceny adekwatności kapitału wewnętrznego.  </w:t>
      </w:r>
    </w:p>
    <w:p w14:paraId="04CF18F5" w14:textId="77777777" w:rsidR="00E44B48" w:rsidRPr="004512BC" w:rsidRDefault="002C2FA5" w:rsidP="002E2D69">
      <w:pPr>
        <w:pStyle w:val="Tekstpodstawowy"/>
        <w:widowControl w:val="0"/>
        <w:adjustRightInd w:val="0"/>
        <w:spacing w:line="276" w:lineRule="auto"/>
        <w:ind w:right="6"/>
        <w:jc w:val="both"/>
        <w:textAlignment w:val="baseline"/>
        <w:rPr>
          <w:rFonts w:ascii="Times New Roman" w:hAnsi="Times New Roman"/>
        </w:rPr>
      </w:pPr>
      <w:r w:rsidRPr="004512BC">
        <w:rPr>
          <w:rFonts w:ascii="Times New Roman" w:hAnsi="Times New Roman"/>
        </w:rPr>
        <w:t xml:space="preserve">Bank </w:t>
      </w:r>
      <w:r w:rsidR="00CC52F4" w:rsidRPr="004512BC">
        <w:rPr>
          <w:rFonts w:ascii="Times New Roman" w:hAnsi="Times New Roman"/>
        </w:rPr>
        <w:t>szacuje</w:t>
      </w:r>
      <w:r w:rsidR="00C01ADF" w:rsidRPr="004512BC">
        <w:rPr>
          <w:rFonts w:ascii="Times New Roman" w:hAnsi="Times New Roman"/>
        </w:rPr>
        <w:t xml:space="preserve"> </w:t>
      </w:r>
      <w:r w:rsidR="00CC52F4" w:rsidRPr="004512BC">
        <w:rPr>
          <w:rFonts w:ascii="Times New Roman" w:hAnsi="Times New Roman"/>
        </w:rPr>
        <w:t>kapitał</w:t>
      </w:r>
      <w:r w:rsidR="00C01ADF" w:rsidRPr="004512BC">
        <w:rPr>
          <w:rFonts w:ascii="Times New Roman" w:hAnsi="Times New Roman"/>
        </w:rPr>
        <w:t xml:space="preserve"> </w:t>
      </w:r>
      <w:r w:rsidR="00CC52F4" w:rsidRPr="004512BC">
        <w:rPr>
          <w:rFonts w:ascii="Times New Roman" w:hAnsi="Times New Roman"/>
        </w:rPr>
        <w:t>wewnętrzny</w:t>
      </w:r>
      <w:r w:rsidR="00C01ADF" w:rsidRPr="004512BC">
        <w:rPr>
          <w:rFonts w:ascii="Times New Roman" w:hAnsi="Times New Roman"/>
        </w:rPr>
        <w:t xml:space="preserve"> </w:t>
      </w:r>
      <w:r w:rsidR="00CC52F4" w:rsidRPr="004512BC">
        <w:rPr>
          <w:rFonts w:ascii="Times New Roman" w:hAnsi="Times New Roman"/>
        </w:rPr>
        <w:t>w okresach kwartalnych</w:t>
      </w:r>
      <w:r w:rsidR="00C01ADF" w:rsidRPr="004512BC">
        <w:rPr>
          <w:rFonts w:ascii="Times New Roman" w:hAnsi="Times New Roman"/>
        </w:rPr>
        <w:t xml:space="preserve"> </w:t>
      </w:r>
      <w:r w:rsidR="00CC52F4" w:rsidRPr="004512BC">
        <w:rPr>
          <w:rFonts w:ascii="Times New Roman" w:hAnsi="Times New Roman"/>
        </w:rPr>
        <w:t>zgodnie</w:t>
      </w:r>
      <w:r w:rsidR="00C01ADF" w:rsidRPr="004512BC">
        <w:rPr>
          <w:rFonts w:ascii="Times New Roman" w:hAnsi="Times New Roman"/>
        </w:rPr>
        <w:t xml:space="preserve"> </w:t>
      </w:r>
      <w:r w:rsidR="00CC52F4" w:rsidRPr="004512BC">
        <w:rPr>
          <w:rFonts w:ascii="Times New Roman" w:hAnsi="Times New Roman"/>
        </w:rPr>
        <w:t xml:space="preserve">z wymogami zatwierdzonymi przez </w:t>
      </w:r>
      <w:r w:rsidR="00756A58" w:rsidRPr="004512BC">
        <w:rPr>
          <w:rFonts w:ascii="Times New Roman" w:hAnsi="Times New Roman"/>
        </w:rPr>
        <w:t xml:space="preserve">Zarząd i Radę Nadzorczą według </w:t>
      </w:r>
      <w:r w:rsidR="00756A58" w:rsidRPr="004512BC">
        <w:rPr>
          <w:rFonts w:ascii="Times New Roman" w:hAnsi="Times New Roman"/>
          <w:i/>
        </w:rPr>
        <w:t>Instrukcji</w:t>
      </w:r>
      <w:r w:rsidR="00C01ADF" w:rsidRPr="004512BC">
        <w:rPr>
          <w:rFonts w:ascii="Times New Roman" w:hAnsi="Times New Roman"/>
          <w:i/>
        </w:rPr>
        <w:t xml:space="preserve"> funkcjonowania procesu oceny adekwatności poziomu kapitału wewnętrznego (ICAAP) w Warmińsko-Mazurskim Banku Spółdzielczym</w:t>
      </w:r>
      <w:r w:rsidR="00756A58" w:rsidRPr="004512BC">
        <w:rPr>
          <w:rFonts w:ascii="Times New Roman" w:hAnsi="Times New Roman"/>
        </w:rPr>
        <w:t>.</w:t>
      </w:r>
    </w:p>
    <w:p w14:paraId="17FD1D16" w14:textId="77777777" w:rsidR="002C50F6" w:rsidRPr="004512BC" w:rsidRDefault="002C2FA5" w:rsidP="002E2D69">
      <w:pPr>
        <w:pStyle w:val="Tekstpodstawowy"/>
        <w:widowControl w:val="0"/>
        <w:adjustRightInd w:val="0"/>
        <w:spacing w:line="276" w:lineRule="auto"/>
        <w:ind w:right="6"/>
        <w:jc w:val="both"/>
        <w:textAlignment w:val="baseline"/>
        <w:rPr>
          <w:rFonts w:ascii="Times New Roman" w:hAnsi="Times New Roman"/>
        </w:rPr>
      </w:pPr>
      <w:r w:rsidRPr="004512BC">
        <w:rPr>
          <w:rFonts w:ascii="Times New Roman" w:hAnsi="Times New Roman"/>
        </w:rPr>
        <w:lastRenderedPageBreak/>
        <w:t>Bank</w:t>
      </w:r>
      <w:r w:rsidR="004E1245" w:rsidRPr="004512BC">
        <w:rPr>
          <w:rFonts w:ascii="Times New Roman" w:hAnsi="Times New Roman"/>
        </w:rPr>
        <w:t xml:space="preserve"> </w:t>
      </w:r>
      <w:r w:rsidR="00E81BF6" w:rsidRPr="004512BC">
        <w:rPr>
          <w:rFonts w:ascii="Times New Roman" w:hAnsi="Times New Roman"/>
        </w:rPr>
        <w:t>wyznacza kapitał wewnętrzny na wszystkie zidentyfikowane ryzyka istotne dla Banku, które nie zostały objęte wyznaczaniem kapitału regulacyjnego lub w</w:t>
      </w:r>
      <w:r w:rsidR="00756A58" w:rsidRPr="004512BC">
        <w:rPr>
          <w:rFonts w:ascii="Times New Roman" w:hAnsi="Times New Roman"/>
        </w:rPr>
        <w:t xml:space="preserve"> ocenie Banku kapitał ten nie w </w:t>
      </w:r>
      <w:r w:rsidR="00E81BF6" w:rsidRPr="004512BC">
        <w:rPr>
          <w:rFonts w:ascii="Times New Roman" w:hAnsi="Times New Roman"/>
        </w:rPr>
        <w:t>pełni pokrywa ryzyko, a w szczególności na:</w:t>
      </w:r>
    </w:p>
    <w:p w14:paraId="6451A3AA" w14:textId="77777777" w:rsidR="00F8210E" w:rsidRPr="004512BC" w:rsidRDefault="00756A58" w:rsidP="00FD5E9F">
      <w:pPr>
        <w:numPr>
          <w:ilvl w:val="0"/>
          <w:numId w:val="16"/>
        </w:numPr>
        <w:spacing w:after="0" w:line="276" w:lineRule="auto"/>
        <w:ind w:right="6" w:hanging="360"/>
        <w:rPr>
          <w:rFonts w:ascii="Times New Roman" w:hAnsi="Times New Roman" w:cs="Times New Roman"/>
          <w:color w:val="auto"/>
        </w:rPr>
      </w:pPr>
      <w:r w:rsidRPr="004512BC">
        <w:rPr>
          <w:rFonts w:ascii="Times New Roman" w:hAnsi="Times New Roman" w:cs="Times New Roman"/>
          <w:color w:val="auto"/>
        </w:rPr>
        <w:t>ryzyko kredytowe;</w:t>
      </w:r>
    </w:p>
    <w:p w14:paraId="2B00A652" w14:textId="77777777" w:rsidR="002C50F6" w:rsidRPr="004512BC" w:rsidRDefault="00F8210E" w:rsidP="00FD5E9F">
      <w:pPr>
        <w:numPr>
          <w:ilvl w:val="0"/>
          <w:numId w:val="16"/>
        </w:numPr>
        <w:spacing w:after="0" w:line="276" w:lineRule="auto"/>
        <w:ind w:right="6" w:hanging="360"/>
        <w:rPr>
          <w:rFonts w:ascii="Times New Roman" w:hAnsi="Times New Roman" w:cs="Times New Roman"/>
          <w:color w:val="auto"/>
        </w:rPr>
      </w:pPr>
      <w:r w:rsidRPr="004512BC">
        <w:rPr>
          <w:rFonts w:ascii="Times New Roman" w:hAnsi="Times New Roman" w:cs="Times New Roman"/>
          <w:color w:val="auto"/>
        </w:rPr>
        <w:t>ryzyko koncentracji</w:t>
      </w:r>
      <w:r w:rsidR="00E81BF6" w:rsidRPr="004512BC">
        <w:rPr>
          <w:rFonts w:ascii="Times New Roman" w:hAnsi="Times New Roman" w:cs="Times New Roman"/>
          <w:color w:val="auto"/>
        </w:rPr>
        <w:t>;</w:t>
      </w:r>
    </w:p>
    <w:p w14:paraId="52F97167" w14:textId="77777777" w:rsidR="002C50F6" w:rsidRPr="004512BC" w:rsidRDefault="00E81BF6" w:rsidP="00FD5E9F">
      <w:pPr>
        <w:numPr>
          <w:ilvl w:val="0"/>
          <w:numId w:val="16"/>
        </w:numPr>
        <w:spacing w:after="0" w:line="276" w:lineRule="auto"/>
        <w:ind w:right="6" w:hanging="360"/>
        <w:rPr>
          <w:rFonts w:ascii="Times New Roman" w:hAnsi="Times New Roman" w:cs="Times New Roman"/>
          <w:color w:val="auto"/>
        </w:rPr>
      </w:pPr>
      <w:r w:rsidRPr="004512BC">
        <w:rPr>
          <w:rFonts w:ascii="Times New Roman" w:hAnsi="Times New Roman" w:cs="Times New Roman"/>
          <w:color w:val="auto"/>
        </w:rPr>
        <w:t>ryzyko płynności;</w:t>
      </w:r>
    </w:p>
    <w:p w14:paraId="46805F8C" w14:textId="77777777" w:rsidR="002C50F6" w:rsidRPr="004512BC" w:rsidRDefault="00E81BF6" w:rsidP="00FD5E9F">
      <w:pPr>
        <w:numPr>
          <w:ilvl w:val="0"/>
          <w:numId w:val="16"/>
        </w:numPr>
        <w:spacing w:after="0" w:line="276" w:lineRule="auto"/>
        <w:ind w:left="714" w:right="6" w:hanging="357"/>
        <w:rPr>
          <w:rFonts w:ascii="Times New Roman" w:hAnsi="Times New Roman" w:cs="Times New Roman"/>
          <w:color w:val="auto"/>
        </w:rPr>
      </w:pPr>
      <w:r w:rsidRPr="004512BC">
        <w:rPr>
          <w:rFonts w:ascii="Times New Roman" w:hAnsi="Times New Roman" w:cs="Times New Roman"/>
          <w:color w:val="auto"/>
        </w:rPr>
        <w:t>ryzyko operacyjne;</w:t>
      </w:r>
    </w:p>
    <w:p w14:paraId="45DE639D" w14:textId="77777777" w:rsidR="004E0484" w:rsidRPr="004512BC" w:rsidRDefault="00E81BF6" w:rsidP="00FD5E9F">
      <w:pPr>
        <w:numPr>
          <w:ilvl w:val="0"/>
          <w:numId w:val="16"/>
        </w:numPr>
        <w:spacing w:after="0" w:line="276" w:lineRule="auto"/>
        <w:ind w:left="714" w:right="6" w:hanging="357"/>
        <w:rPr>
          <w:rFonts w:ascii="Times New Roman" w:hAnsi="Times New Roman" w:cs="Times New Roman"/>
          <w:color w:val="auto"/>
        </w:rPr>
      </w:pPr>
      <w:r w:rsidRPr="004512BC">
        <w:rPr>
          <w:rFonts w:ascii="Times New Roman" w:hAnsi="Times New Roman" w:cs="Times New Roman"/>
          <w:color w:val="auto"/>
        </w:rPr>
        <w:t>ryzyko rynkowe – w postaci ryzyka walutowego i stopy procentowej w księdze bankowej;</w:t>
      </w:r>
    </w:p>
    <w:p w14:paraId="7FA04B22" w14:textId="77777777" w:rsidR="002C50F6" w:rsidRPr="004512BC" w:rsidRDefault="00E81BF6" w:rsidP="00FD5E9F">
      <w:pPr>
        <w:numPr>
          <w:ilvl w:val="0"/>
          <w:numId w:val="16"/>
        </w:numPr>
        <w:spacing w:after="0" w:line="276" w:lineRule="auto"/>
        <w:ind w:right="6" w:hanging="360"/>
        <w:rPr>
          <w:rFonts w:ascii="Times New Roman" w:hAnsi="Times New Roman" w:cs="Times New Roman"/>
          <w:color w:val="auto"/>
        </w:rPr>
      </w:pPr>
      <w:r w:rsidRPr="004512BC">
        <w:rPr>
          <w:rFonts w:ascii="Times New Roman" w:hAnsi="Times New Roman" w:cs="Times New Roman"/>
          <w:color w:val="auto"/>
        </w:rPr>
        <w:t xml:space="preserve">ryzyko </w:t>
      </w:r>
      <w:r w:rsidR="00F8210E" w:rsidRPr="004512BC">
        <w:rPr>
          <w:rFonts w:ascii="Times New Roman" w:hAnsi="Times New Roman" w:cs="Times New Roman"/>
          <w:color w:val="auto"/>
        </w:rPr>
        <w:t>braku zgodności</w:t>
      </w:r>
      <w:r w:rsidRPr="004512BC">
        <w:rPr>
          <w:rFonts w:ascii="Times New Roman" w:hAnsi="Times New Roman" w:cs="Times New Roman"/>
          <w:color w:val="auto"/>
        </w:rPr>
        <w:t>;</w:t>
      </w:r>
    </w:p>
    <w:p w14:paraId="436F5408" w14:textId="77777777" w:rsidR="00F8210E" w:rsidRPr="004512BC" w:rsidRDefault="00F8210E" w:rsidP="00FD5E9F">
      <w:pPr>
        <w:numPr>
          <w:ilvl w:val="0"/>
          <w:numId w:val="16"/>
        </w:numPr>
        <w:spacing w:after="0" w:line="276" w:lineRule="auto"/>
        <w:ind w:right="6" w:hanging="360"/>
        <w:rPr>
          <w:rFonts w:ascii="Times New Roman" w:hAnsi="Times New Roman" w:cs="Times New Roman"/>
          <w:color w:val="auto"/>
        </w:rPr>
      </w:pPr>
      <w:r w:rsidRPr="004512BC">
        <w:rPr>
          <w:rFonts w:ascii="Times New Roman" w:hAnsi="Times New Roman" w:cs="Times New Roman"/>
          <w:color w:val="auto"/>
        </w:rPr>
        <w:t>inne ryzyka, które spełniły przyjęte w „Instrukcji funkcjonowania procesu oceny adekwatności poziomu kapitału wewnętrznego (ICAAP) w Warmińsko-Mazurskim Banku Spółdzielczym” kryterium istotności.</w:t>
      </w:r>
    </w:p>
    <w:p w14:paraId="20F79A57" w14:textId="77777777" w:rsidR="002C50F6" w:rsidRPr="004512BC" w:rsidRDefault="00E81BF6" w:rsidP="002E2D69">
      <w:pPr>
        <w:spacing w:after="0" w:line="276" w:lineRule="auto"/>
        <w:ind w:left="0" w:right="8"/>
        <w:rPr>
          <w:rFonts w:ascii="Times New Roman" w:hAnsi="Times New Roman" w:cs="Times New Roman"/>
          <w:color w:val="auto"/>
          <w:szCs w:val="24"/>
        </w:rPr>
      </w:pPr>
      <w:r w:rsidRPr="004512BC">
        <w:rPr>
          <w:rFonts w:ascii="Times New Roman" w:hAnsi="Times New Roman" w:cs="Times New Roman"/>
          <w:color w:val="auto"/>
          <w:szCs w:val="24"/>
        </w:rPr>
        <w:t xml:space="preserve">Punktem wyjściowym dla ustalenia kapitału wewnętrznego Banku są rozwiązania oparte o kapitał regulacyjny, wynikające z zasad określonych w </w:t>
      </w:r>
      <w:r w:rsidRPr="004512BC">
        <w:rPr>
          <w:rFonts w:ascii="Times New Roman" w:hAnsi="Times New Roman" w:cs="Times New Roman"/>
          <w:i/>
          <w:color w:val="auto"/>
          <w:szCs w:val="24"/>
        </w:rPr>
        <w:t>Rozporządzeniu CRR</w:t>
      </w:r>
      <w:r w:rsidRPr="004512BC">
        <w:rPr>
          <w:rFonts w:ascii="Times New Roman" w:hAnsi="Times New Roman" w:cs="Times New Roman"/>
          <w:color w:val="auto"/>
          <w:szCs w:val="24"/>
        </w:rPr>
        <w:t>.</w:t>
      </w:r>
    </w:p>
    <w:p w14:paraId="55E8B081" w14:textId="74BA9BD0" w:rsidR="002C50F6" w:rsidRPr="004512BC" w:rsidRDefault="00617592" w:rsidP="002E2D69">
      <w:pPr>
        <w:spacing w:after="0" w:line="276" w:lineRule="auto"/>
        <w:ind w:left="-5" w:right="8"/>
        <w:rPr>
          <w:rFonts w:ascii="Times New Roman" w:hAnsi="Times New Roman" w:cs="Times New Roman"/>
          <w:color w:val="auto"/>
        </w:rPr>
      </w:pPr>
      <w:r w:rsidRPr="004512BC">
        <w:rPr>
          <w:rFonts w:ascii="Times New Roman" w:hAnsi="Times New Roman" w:cs="Times New Roman"/>
          <w:color w:val="auto"/>
        </w:rPr>
        <w:t>Na dzień 31.12.20</w:t>
      </w:r>
      <w:r w:rsidR="004512BC" w:rsidRPr="004512BC">
        <w:rPr>
          <w:rFonts w:ascii="Times New Roman" w:hAnsi="Times New Roman" w:cs="Times New Roman"/>
          <w:color w:val="auto"/>
        </w:rPr>
        <w:t>20</w:t>
      </w:r>
      <w:r w:rsidR="00E81BF6" w:rsidRPr="004512BC">
        <w:rPr>
          <w:rFonts w:ascii="Times New Roman" w:hAnsi="Times New Roman" w:cs="Times New Roman"/>
          <w:color w:val="auto"/>
        </w:rPr>
        <w:t xml:space="preserve"> r. Bank w kalkulacji kapitału regulacyjnego uwzględniał łączną kwotę ekspozycji na ryzyko</w:t>
      </w:r>
      <w:r w:rsidR="00756A58" w:rsidRPr="004512BC">
        <w:rPr>
          <w:rFonts w:ascii="Times New Roman" w:hAnsi="Times New Roman" w:cs="Times New Roman"/>
          <w:color w:val="auto"/>
        </w:rPr>
        <w:t>,</w:t>
      </w:r>
      <w:r w:rsidR="00E81BF6" w:rsidRPr="004512BC">
        <w:rPr>
          <w:rFonts w:ascii="Times New Roman" w:hAnsi="Times New Roman" w:cs="Times New Roman"/>
          <w:color w:val="auto"/>
        </w:rPr>
        <w:t xml:space="preserve"> obejmującą:</w:t>
      </w:r>
    </w:p>
    <w:p w14:paraId="5AC827D8" w14:textId="77777777" w:rsidR="00EA4AA6" w:rsidRPr="004512BC" w:rsidRDefault="00EA4AA6" w:rsidP="002E2D69">
      <w:pPr>
        <w:pStyle w:val="Akapitzlist"/>
        <w:spacing w:line="276" w:lineRule="auto"/>
        <w:ind w:left="360" w:right="141"/>
        <w:rPr>
          <w:rFonts w:eastAsia="Calibri"/>
          <w:sz w:val="24"/>
          <w:szCs w:val="22"/>
        </w:rPr>
      </w:pPr>
      <w:r w:rsidRPr="004512BC">
        <w:rPr>
          <w:rFonts w:eastAsia="Calibri"/>
          <w:sz w:val="24"/>
          <w:szCs w:val="22"/>
        </w:rPr>
        <w:t xml:space="preserve">1) ekspozycję na ryzyko kredytowe według metody standardowej; </w:t>
      </w:r>
    </w:p>
    <w:p w14:paraId="4BAD6149" w14:textId="77777777" w:rsidR="00EA4AA6" w:rsidRPr="004512BC" w:rsidRDefault="00EA4AA6" w:rsidP="002E2D69">
      <w:pPr>
        <w:pStyle w:val="Akapitzlist"/>
        <w:spacing w:line="276" w:lineRule="auto"/>
        <w:ind w:left="360" w:right="141"/>
        <w:rPr>
          <w:rFonts w:eastAsia="Calibri"/>
          <w:sz w:val="24"/>
          <w:szCs w:val="22"/>
        </w:rPr>
      </w:pPr>
      <w:r w:rsidRPr="004512BC">
        <w:rPr>
          <w:rFonts w:eastAsia="Calibri"/>
          <w:sz w:val="24"/>
          <w:szCs w:val="22"/>
        </w:rPr>
        <w:t xml:space="preserve">2) ekspozycję na ryzyko operacyjne według metody wskaźnika bazowego; </w:t>
      </w:r>
    </w:p>
    <w:p w14:paraId="557A02DD" w14:textId="77777777" w:rsidR="00EA4AA6" w:rsidRPr="004512BC" w:rsidRDefault="00EA4AA6" w:rsidP="002E2D69">
      <w:pPr>
        <w:pStyle w:val="Akapitzlist"/>
        <w:spacing w:line="276" w:lineRule="auto"/>
        <w:ind w:left="360" w:right="141"/>
        <w:rPr>
          <w:rFonts w:eastAsia="Calibri"/>
          <w:sz w:val="24"/>
          <w:szCs w:val="22"/>
        </w:rPr>
      </w:pPr>
      <w:r w:rsidRPr="004512BC">
        <w:rPr>
          <w:rFonts w:eastAsia="Calibri"/>
          <w:sz w:val="24"/>
          <w:szCs w:val="22"/>
        </w:rPr>
        <w:t xml:space="preserve">3) ekspozycję na ryzyko walutowe według metody de </w:t>
      </w:r>
      <w:proofErr w:type="spellStart"/>
      <w:r w:rsidRPr="004512BC">
        <w:rPr>
          <w:rFonts w:eastAsia="Calibri"/>
          <w:sz w:val="24"/>
          <w:szCs w:val="22"/>
        </w:rPr>
        <w:t>minimis</w:t>
      </w:r>
      <w:proofErr w:type="spellEnd"/>
      <w:r w:rsidRPr="004512BC">
        <w:rPr>
          <w:rFonts w:eastAsia="Calibri"/>
          <w:sz w:val="24"/>
          <w:szCs w:val="22"/>
        </w:rPr>
        <w:t xml:space="preserve">. </w:t>
      </w:r>
    </w:p>
    <w:p w14:paraId="44CCADDA" w14:textId="77777777" w:rsidR="00630812" w:rsidRPr="004512BC" w:rsidRDefault="00630812" w:rsidP="002E2D69">
      <w:pPr>
        <w:spacing w:after="0" w:line="276" w:lineRule="auto"/>
        <w:ind w:left="0" w:right="141"/>
        <w:rPr>
          <w:rFonts w:ascii="Times New Roman" w:hAnsi="Times New Roman" w:cs="Times New Roman"/>
          <w:color w:val="auto"/>
          <w:szCs w:val="24"/>
        </w:rPr>
      </w:pPr>
      <w:r w:rsidRPr="004512BC">
        <w:rPr>
          <w:rFonts w:ascii="Times New Roman" w:hAnsi="Times New Roman" w:cs="Times New Roman"/>
          <w:color w:val="auto"/>
          <w:szCs w:val="24"/>
        </w:rPr>
        <w:t xml:space="preserve">Następnie Bank wylicza wewnętrzne wymogi kapitałowe na pokrycie </w:t>
      </w:r>
      <w:r w:rsidR="005267E6" w:rsidRPr="004512BC">
        <w:rPr>
          <w:rFonts w:ascii="Times New Roman" w:hAnsi="Times New Roman" w:cs="Times New Roman"/>
          <w:color w:val="auto"/>
          <w:szCs w:val="24"/>
        </w:rPr>
        <w:t>pozostałych</w:t>
      </w:r>
      <w:r w:rsidRPr="004512BC">
        <w:rPr>
          <w:rFonts w:ascii="Times New Roman" w:hAnsi="Times New Roman" w:cs="Times New Roman"/>
          <w:color w:val="auto"/>
          <w:szCs w:val="24"/>
        </w:rPr>
        <w:t xml:space="preserve"> </w:t>
      </w:r>
      <w:proofErr w:type="spellStart"/>
      <w:r w:rsidRPr="004512BC">
        <w:rPr>
          <w:rFonts w:ascii="Times New Roman" w:hAnsi="Times New Roman" w:cs="Times New Roman"/>
          <w:color w:val="auto"/>
          <w:szCs w:val="24"/>
        </w:rPr>
        <w:t>ryzyk</w:t>
      </w:r>
      <w:proofErr w:type="spellEnd"/>
      <w:r w:rsidRPr="004512BC">
        <w:rPr>
          <w:rFonts w:ascii="Times New Roman" w:hAnsi="Times New Roman" w:cs="Times New Roman"/>
          <w:color w:val="auto"/>
          <w:szCs w:val="24"/>
        </w:rPr>
        <w:t>,</w:t>
      </w:r>
      <w:r w:rsidR="00CF5A49" w:rsidRPr="004512BC">
        <w:rPr>
          <w:rFonts w:ascii="Times New Roman" w:hAnsi="Times New Roman" w:cs="Times New Roman"/>
          <w:color w:val="auto"/>
          <w:szCs w:val="24"/>
        </w:rPr>
        <w:t xml:space="preserve"> </w:t>
      </w:r>
      <w:r w:rsidRPr="004512BC">
        <w:rPr>
          <w:rFonts w:ascii="Times New Roman" w:hAnsi="Times New Roman" w:cs="Times New Roman"/>
          <w:color w:val="auto"/>
          <w:szCs w:val="24"/>
        </w:rPr>
        <w:t>które są zdefiniowane w „Instrukcji funkcjonowania procesu oceny adekwatności poziomu kapitału wewnętrznego (ICAAP) w Warmińsko-Mazurskim Banku Spółdzielczym”.</w:t>
      </w:r>
    </w:p>
    <w:p w14:paraId="7B366EAA" w14:textId="77777777" w:rsidR="002C2FA5" w:rsidRPr="004512BC" w:rsidRDefault="002C2FA5" w:rsidP="002E2D69">
      <w:pPr>
        <w:spacing w:after="0" w:line="276" w:lineRule="auto"/>
        <w:ind w:right="0"/>
        <w:rPr>
          <w:rFonts w:ascii="Times New Roman" w:hAnsi="Times New Roman" w:cs="Times New Roman"/>
          <w:color w:val="auto"/>
          <w:szCs w:val="24"/>
        </w:rPr>
      </w:pPr>
      <w:r w:rsidRPr="004512BC">
        <w:rPr>
          <w:rFonts w:ascii="Times New Roman" w:hAnsi="Times New Roman" w:cs="Times New Roman"/>
          <w:color w:val="auto"/>
          <w:szCs w:val="24"/>
        </w:rPr>
        <w:t>Stosowane metody lub systemy pomiaru ryzyka, w szczególności ich założenia</w:t>
      </w:r>
      <w:r w:rsidR="00756A58" w:rsidRPr="004512BC">
        <w:rPr>
          <w:rFonts w:ascii="Times New Roman" w:hAnsi="Times New Roman" w:cs="Times New Roman"/>
          <w:color w:val="auto"/>
          <w:szCs w:val="24"/>
        </w:rPr>
        <w:t>,</w:t>
      </w:r>
      <w:r w:rsidRPr="004512BC">
        <w:rPr>
          <w:rFonts w:ascii="Times New Roman" w:hAnsi="Times New Roman" w:cs="Times New Roman"/>
          <w:color w:val="auto"/>
          <w:szCs w:val="24"/>
        </w:rPr>
        <w:t xml:space="preserve"> są poddawane okresowej ocenie uwzględniającej testowanie i weryfikację historyczną.</w:t>
      </w:r>
      <w:bookmarkStart w:id="13" w:name="_Toc431987632"/>
    </w:p>
    <w:p w14:paraId="7240743A" w14:textId="77777777" w:rsidR="002C2FA5" w:rsidRPr="004512BC" w:rsidRDefault="002C2FA5" w:rsidP="002E2D69">
      <w:pPr>
        <w:spacing w:after="0" w:line="276" w:lineRule="auto"/>
        <w:ind w:right="0"/>
        <w:rPr>
          <w:rFonts w:ascii="Times New Roman" w:hAnsi="Times New Roman" w:cs="Times New Roman"/>
          <w:color w:val="auto"/>
          <w:szCs w:val="24"/>
        </w:rPr>
      </w:pPr>
      <w:r w:rsidRPr="004512BC">
        <w:rPr>
          <w:rFonts w:ascii="Times New Roman" w:hAnsi="Times New Roman" w:cs="Times New Roman"/>
          <w:color w:val="auto"/>
          <w:szCs w:val="24"/>
        </w:rPr>
        <w:t>W ramach pomiaru ryzyka Bank przeprowadza testy warunków skrajnych.</w:t>
      </w:r>
      <w:bookmarkStart w:id="14" w:name="_Toc431987633"/>
      <w:bookmarkEnd w:id="13"/>
    </w:p>
    <w:p w14:paraId="2DB7DAAB" w14:textId="77777777" w:rsidR="002C2FA5" w:rsidRPr="004512BC" w:rsidRDefault="002C2FA5" w:rsidP="002E2D69">
      <w:pPr>
        <w:spacing w:after="0" w:line="276" w:lineRule="auto"/>
        <w:ind w:right="0"/>
        <w:rPr>
          <w:rFonts w:ascii="Times New Roman" w:hAnsi="Times New Roman" w:cs="Times New Roman"/>
          <w:color w:val="auto"/>
          <w:szCs w:val="24"/>
        </w:rPr>
      </w:pPr>
      <w:r w:rsidRPr="004512BC">
        <w:rPr>
          <w:rFonts w:ascii="Times New Roman" w:hAnsi="Times New Roman" w:cs="Times New Roman"/>
          <w:color w:val="auto"/>
          <w:szCs w:val="24"/>
        </w:rPr>
        <w:t>Bank wprowadza odpowiednie do skali i złożoności działalności limity wewnętrzne ograniczające poziom ryzyka występującego w poszczególnych obszarach działania Banku.</w:t>
      </w:r>
      <w:bookmarkStart w:id="15" w:name="_Toc431987634"/>
      <w:bookmarkEnd w:id="14"/>
    </w:p>
    <w:p w14:paraId="014CA6DF" w14:textId="77777777" w:rsidR="002C2FA5" w:rsidRPr="004512BC" w:rsidRDefault="002C2FA5" w:rsidP="002E2D69">
      <w:pPr>
        <w:spacing w:after="0" w:line="276" w:lineRule="auto"/>
        <w:ind w:right="0"/>
        <w:rPr>
          <w:rFonts w:ascii="Times New Roman" w:hAnsi="Times New Roman" w:cs="Times New Roman"/>
          <w:color w:val="auto"/>
          <w:szCs w:val="24"/>
        </w:rPr>
      </w:pPr>
      <w:r w:rsidRPr="004512BC">
        <w:rPr>
          <w:rFonts w:ascii="Times New Roman" w:hAnsi="Times New Roman" w:cs="Times New Roman"/>
          <w:color w:val="auto"/>
          <w:szCs w:val="24"/>
        </w:rPr>
        <w:t>Bank określa w procedurach wewnętrznych zasady ustalania i aktualizowania</w:t>
      </w:r>
      <w:r w:rsidR="00756A58" w:rsidRPr="004512BC">
        <w:rPr>
          <w:rFonts w:ascii="Times New Roman" w:hAnsi="Times New Roman" w:cs="Times New Roman"/>
          <w:color w:val="auto"/>
          <w:szCs w:val="24"/>
        </w:rPr>
        <w:t xml:space="preserve"> wysokości limitów wewnętrznych</w:t>
      </w:r>
      <w:r w:rsidRPr="004512BC">
        <w:rPr>
          <w:rFonts w:ascii="Times New Roman" w:hAnsi="Times New Roman" w:cs="Times New Roman"/>
          <w:color w:val="auto"/>
          <w:szCs w:val="24"/>
        </w:rPr>
        <w:t xml:space="preserve"> </w:t>
      </w:r>
      <w:r w:rsidR="00D77494" w:rsidRPr="004512BC">
        <w:rPr>
          <w:rFonts w:ascii="Times New Roman" w:hAnsi="Times New Roman" w:cs="Times New Roman"/>
          <w:color w:val="auto"/>
          <w:szCs w:val="24"/>
        </w:rPr>
        <w:t>oraz częstotliwość</w:t>
      </w:r>
      <w:r w:rsidRPr="004512BC">
        <w:rPr>
          <w:rFonts w:ascii="Times New Roman" w:hAnsi="Times New Roman" w:cs="Times New Roman"/>
          <w:color w:val="auto"/>
          <w:szCs w:val="24"/>
        </w:rPr>
        <w:t xml:space="preserve"> monitorowania ich przestrzegania i raportowania o limitach.</w:t>
      </w:r>
      <w:bookmarkStart w:id="16" w:name="_Toc431987635"/>
      <w:bookmarkEnd w:id="15"/>
    </w:p>
    <w:p w14:paraId="74AA56D5" w14:textId="77777777" w:rsidR="002C2FA5" w:rsidRPr="004512BC" w:rsidRDefault="002C2FA5" w:rsidP="002E2D69">
      <w:pPr>
        <w:spacing w:after="0" w:line="276" w:lineRule="auto"/>
        <w:ind w:right="0"/>
        <w:rPr>
          <w:rFonts w:ascii="Times New Roman" w:hAnsi="Times New Roman" w:cs="Times New Roman"/>
          <w:color w:val="auto"/>
          <w:szCs w:val="24"/>
        </w:rPr>
      </w:pPr>
      <w:r w:rsidRPr="004512BC">
        <w:rPr>
          <w:rFonts w:ascii="Times New Roman" w:hAnsi="Times New Roman" w:cs="Times New Roman"/>
          <w:color w:val="auto"/>
          <w:szCs w:val="24"/>
        </w:rPr>
        <w:t>Poziom limitów</w:t>
      </w:r>
      <w:r w:rsidR="00D77494" w:rsidRPr="004512BC">
        <w:rPr>
          <w:rFonts w:ascii="Times New Roman" w:hAnsi="Times New Roman" w:cs="Times New Roman"/>
          <w:color w:val="auto"/>
          <w:szCs w:val="24"/>
        </w:rPr>
        <w:t xml:space="preserve"> jest</w:t>
      </w:r>
      <w:r w:rsidRPr="004512BC">
        <w:rPr>
          <w:rFonts w:ascii="Times New Roman" w:hAnsi="Times New Roman" w:cs="Times New Roman"/>
          <w:color w:val="auto"/>
          <w:szCs w:val="24"/>
        </w:rPr>
        <w:t xml:space="preserve"> dostosowany do akceptowanego przez Radę Nadzorczą ogólnego poziomu ryzyka Banku.</w:t>
      </w:r>
      <w:bookmarkStart w:id="17" w:name="_Toc431987636"/>
      <w:bookmarkEnd w:id="16"/>
    </w:p>
    <w:p w14:paraId="45D20E75" w14:textId="1836D8BD" w:rsidR="002C2FA5" w:rsidRPr="004512BC" w:rsidRDefault="002C2FA5" w:rsidP="002E2D69">
      <w:pPr>
        <w:spacing w:after="0" w:line="276" w:lineRule="auto"/>
        <w:ind w:right="0"/>
        <w:rPr>
          <w:rFonts w:ascii="Times New Roman" w:hAnsi="Times New Roman" w:cs="Times New Roman"/>
          <w:color w:val="auto"/>
          <w:szCs w:val="24"/>
        </w:rPr>
      </w:pPr>
      <w:r w:rsidRPr="004512BC">
        <w:rPr>
          <w:rFonts w:ascii="Times New Roman" w:hAnsi="Times New Roman" w:cs="Times New Roman"/>
          <w:color w:val="auto"/>
          <w:szCs w:val="24"/>
        </w:rPr>
        <w:t>Bank, z zachowaniem</w:t>
      </w:r>
      <w:r w:rsidR="00F42F77" w:rsidRPr="004512BC">
        <w:rPr>
          <w:rFonts w:ascii="Times New Roman" w:hAnsi="Times New Roman" w:cs="Times New Roman"/>
          <w:color w:val="auto"/>
          <w:szCs w:val="24"/>
        </w:rPr>
        <w:t xml:space="preserve"> limitów określonych w ustawie P</w:t>
      </w:r>
      <w:r w:rsidRPr="004512BC">
        <w:rPr>
          <w:rFonts w:ascii="Times New Roman" w:hAnsi="Times New Roman" w:cs="Times New Roman"/>
          <w:color w:val="auto"/>
          <w:szCs w:val="24"/>
        </w:rPr>
        <w:t xml:space="preserve">rawo bankowe, ustala i weryfikuje wewnętrzne limity </w:t>
      </w:r>
      <w:proofErr w:type="spellStart"/>
      <w:r w:rsidRPr="004512BC">
        <w:rPr>
          <w:rFonts w:ascii="Times New Roman" w:hAnsi="Times New Roman" w:cs="Times New Roman"/>
          <w:color w:val="auto"/>
          <w:szCs w:val="24"/>
        </w:rPr>
        <w:t>zaangażowań</w:t>
      </w:r>
      <w:proofErr w:type="spellEnd"/>
      <w:r w:rsidRPr="004512BC">
        <w:rPr>
          <w:rFonts w:ascii="Times New Roman" w:hAnsi="Times New Roman" w:cs="Times New Roman"/>
          <w:color w:val="auto"/>
          <w:szCs w:val="24"/>
        </w:rPr>
        <w:t xml:space="preserve"> według kryteriów uwzględniających specyfikę ich działalności.</w:t>
      </w:r>
      <w:bookmarkStart w:id="18" w:name="_Toc431987637"/>
      <w:bookmarkEnd w:id="17"/>
    </w:p>
    <w:p w14:paraId="2681853C" w14:textId="77777777" w:rsidR="002C2FA5" w:rsidRPr="004512BC" w:rsidRDefault="002C2FA5" w:rsidP="002E2D69">
      <w:pPr>
        <w:spacing w:after="0" w:line="276" w:lineRule="auto"/>
        <w:ind w:right="0"/>
        <w:rPr>
          <w:rFonts w:ascii="Times New Roman" w:hAnsi="Times New Roman" w:cs="Times New Roman"/>
          <w:color w:val="auto"/>
          <w:szCs w:val="24"/>
        </w:rPr>
      </w:pPr>
      <w:r w:rsidRPr="004512BC">
        <w:rPr>
          <w:rFonts w:ascii="Times New Roman" w:hAnsi="Times New Roman" w:cs="Times New Roman"/>
          <w:color w:val="auto"/>
          <w:szCs w:val="24"/>
        </w:rPr>
        <w:t>Bank określa sytuacje, w których dopuszczalne jest przekroczenie limitów wewnętrznych oraz sposób postępowania w przypadku przekroczenia limitów wewnętrznych.</w:t>
      </w:r>
      <w:bookmarkStart w:id="19" w:name="_Toc431987638"/>
      <w:bookmarkEnd w:id="18"/>
    </w:p>
    <w:p w14:paraId="51E10365" w14:textId="77777777" w:rsidR="002C2FA5" w:rsidRPr="004512BC" w:rsidRDefault="002C2FA5" w:rsidP="002E2D69">
      <w:pPr>
        <w:spacing w:after="0" w:line="276" w:lineRule="auto"/>
        <w:ind w:right="0"/>
        <w:rPr>
          <w:rFonts w:ascii="Times New Roman" w:hAnsi="Times New Roman" w:cs="Times New Roman"/>
          <w:color w:val="auto"/>
          <w:szCs w:val="24"/>
        </w:rPr>
      </w:pPr>
      <w:r w:rsidRPr="004512BC">
        <w:rPr>
          <w:rFonts w:ascii="Times New Roman" w:hAnsi="Times New Roman" w:cs="Times New Roman"/>
          <w:color w:val="auto"/>
          <w:szCs w:val="24"/>
        </w:rPr>
        <w:t xml:space="preserve">Przyjęte rodzaje limitów wewnętrznych dotyczących poszczególnych </w:t>
      </w:r>
      <w:proofErr w:type="spellStart"/>
      <w:r w:rsidRPr="004512BC">
        <w:rPr>
          <w:rFonts w:ascii="Times New Roman" w:hAnsi="Times New Roman" w:cs="Times New Roman"/>
          <w:color w:val="auto"/>
          <w:szCs w:val="24"/>
        </w:rPr>
        <w:t>ryzyk</w:t>
      </w:r>
      <w:proofErr w:type="spellEnd"/>
      <w:r w:rsidRPr="004512BC">
        <w:rPr>
          <w:rFonts w:ascii="Times New Roman" w:hAnsi="Times New Roman" w:cs="Times New Roman"/>
          <w:color w:val="auto"/>
          <w:szCs w:val="24"/>
        </w:rPr>
        <w:t xml:space="preserve"> oraz ich wysokość zatwierdza Zarząd Banku.</w:t>
      </w:r>
      <w:bookmarkStart w:id="20" w:name="_Toc431987639"/>
      <w:bookmarkEnd w:id="19"/>
    </w:p>
    <w:p w14:paraId="404C2729" w14:textId="77777777" w:rsidR="002C2FA5" w:rsidRPr="004512BC" w:rsidRDefault="002C2FA5" w:rsidP="002E2D69">
      <w:pPr>
        <w:spacing w:after="0" w:line="276" w:lineRule="auto"/>
        <w:ind w:right="0"/>
        <w:rPr>
          <w:rFonts w:ascii="Times New Roman" w:hAnsi="Times New Roman" w:cs="Times New Roman"/>
          <w:color w:val="auto"/>
          <w:szCs w:val="24"/>
        </w:rPr>
      </w:pPr>
      <w:r w:rsidRPr="004512BC">
        <w:rPr>
          <w:rFonts w:ascii="Times New Roman" w:hAnsi="Times New Roman" w:cs="Times New Roman"/>
          <w:color w:val="auto"/>
          <w:szCs w:val="24"/>
        </w:rPr>
        <w:t>Przekroczenia limitów wewnętrznych są monitorowane i poddawane szczegółowej analizie - zadania te wykonują komórki i jednostki organizacyjne Banku zgodnie z obowiązującym Regulaminem Organizacyjnym.</w:t>
      </w:r>
      <w:bookmarkStart w:id="21" w:name="_Toc431987640"/>
      <w:bookmarkEnd w:id="20"/>
    </w:p>
    <w:p w14:paraId="44873832" w14:textId="77777777" w:rsidR="002C2FA5" w:rsidRPr="004512BC" w:rsidRDefault="002C2FA5" w:rsidP="002E2D69">
      <w:pPr>
        <w:spacing w:after="0" w:line="276" w:lineRule="auto"/>
        <w:ind w:right="0"/>
        <w:rPr>
          <w:rFonts w:ascii="Times New Roman" w:hAnsi="Times New Roman" w:cs="Times New Roman"/>
          <w:color w:val="auto"/>
          <w:szCs w:val="24"/>
        </w:rPr>
      </w:pPr>
      <w:r w:rsidRPr="004512BC">
        <w:rPr>
          <w:rFonts w:ascii="Times New Roman" w:hAnsi="Times New Roman" w:cs="Times New Roman"/>
          <w:color w:val="auto"/>
          <w:szCs w:val="24"/>
        </w:rPr>
        <w:lastRenderedPageBreak/>
        <w:t xml:space="preserve">Proces oceny adekwatności kapitału wewnętrznego podlegał zatwierdzeniu przez Radę Nadzorczą. </w:t>
      </w:r>
      <w:bookmarkStart w:id="22" w:name="_Toc431987641"/>
      <w:bookmarkEnd w:id="21"/>
    </w:p>
    <w:p w14:paraId="1283AA03" w14:textId="77777777" w:rsidR="002C2FA5" w:rsidRPr="004512BC" w:rsidRDefault="002C2FA5" w:rsidP="002E2D69">
      <w:pPr>
        <w:spacing w:after="0" w:line="276" w:lineRule="auto"/>
        <w:ind w:right="0"/>
        <w:rPr>
          <w:rFonts w:ascii="Times New Roman" w:hAnsi="Times New Roman" w:cs="Times New Roman"/>
          <w:color w:val="auto"/>
          <w:szCs w:val="24"/>
        </w:rPr>
      </w:pPr>
      <w:r w:rsidRPr="004512BC">
        <w:rPr>
          <w:rFonts w:ascii="Times New Roman" w:hAnsi="Times New Roman" w:cs="Times New Roman"/>
          <w:color w:val="auto"/>
          <w:szCs w:val="24"/>
        </w:rPr>
        <w:t>Kwoty ekspozycji ważonych ryzykiem, tj. 8% kwot ekspozycji ważonych ryzykiem dla każdej kategorii e</w:t>
      </w:r>
      <w:r w:rsidR="00756A58" w:rsidRPr="004512BC">
        <w:rPr>
          <w:rFonts w:ascii="Times New Roman" w:hAnsi="Times New Roman" w:cs="Times New Roman"/>
          <w:color w:val="auto"/>
          <w:szCs w:val="24"/>
        </w:rPr>
        <w:t>kspozycji określonej w art. 112</w:t>
      </w:r>
      <w:r w:rsidRPr="004512BC">
        <w:rPr>
          <w:rFonts w:ascii="Times New Roman" w:hAnsi="Times New Roman" w:cs="Times New Roman"/>
          <w:color w:val="auto"/>
          <w:szCs w:val="24"/>
        </w:rPr>
        <w:t xml:space="preserve"> Rozporządzenia CRR </w:t>
      </w:r>
      <w:bookmarkEnd w:id="22"/>
      <w:r w:rsidR="00756A58" w:rsidRPr="004512BC">
        <w:rPr>
          <w:rFonts w:ascii="Times New Roman" w:hAnsi="Times New Roman" w:cs="Times New Roman"/>
          <w:color w:val="auto"/>
          <w:szCs w:val="24"/>
        </w:rPr>
        <w:t>zawarto w pkt 5.3. niniejszego ujawnienia.</w:t>
      </w:r>
      <w:r w:rsidRPr="004512BC">
        <w:rPr>
          <w:rFonts w:ascii="Times New Roman" w:hAnsi="Times New Roman" w:cs="Times New Roman"/>
          <w:color w:val="auto"/>
          <w:szCs w:val="24"/>
        </w:rPr>
        <w:t xml:space="preserve"> </w:t>
      </w:r>
    </w:p>
    <w:p w14:paraId="601DF261" w14:textId="77777777" w:rsidR="00D77494" w:rsidRPr="00065790" w:rsidRDefault="00D77494" w:rsidP="006B4951">
      <w:pPr>
        <w:spacing w:after="0" w:line="264" w:lineRule="auto"/>
        <w:ind w:left="-5" w:right="0"/>
        <w:jc w:val="left"/>
        <w:rPr>
          <w:rFonts w:ascii="Times New Roman" w:hAnsi="Times New Roman" w:cs="Times New Roman"/>
          <w:b/>
          <w:color w:val="FF0000"/>
        </w:rPr>
      </w:pPr>
    </w:p>
    <w:p w14:paraId="77E86367" w14:textId="77777777" w:rsidR="002C50F6" w:rsidRPr="00A87A8B" w:rsidRDefault="00E81BF6">
      <w:pPr>
        <w:spacing w:after="248" w:line="259" w:lineRule="auto"/>
        <w:ind w:left="-5" w:right="0"/>
        <w:jc w:val="left"/>
        <w:rPr>
          <w:rFonts w:ascii="Times New Roman" w:hAnsi="Times New Roman" w:cs="Times New Roman"/>
          <w:color w:val="auto"/>
        </w:rPr>
      </w:pPr>
      <w:r w:rsidRPr="00A87A8B">
        <w:rPr>
          <w:rFonts w:ascii="Times New Roman" w:hAnsi="Times New Roman" w:cs="Times New Roman"/>
          <w:b/>
          <w:color w:val="auto"/>
        </w:rPr>
        <w:t>KAPITAŁ WEWNĘTRZNY NA RYZYKO KREDYTOWE</w:t>
      </w:r>
    </w:p>
    <w:p w14:paraId="293A6366" w14:textId="77777777" w:rsidR="007A3621" w:rsidRPr="00A87A8B" w:rsidRDefault="007A3621" w:rsidP="002E2D69">
      <w:pPr>
        <w:spacing w:after="0" w:line="276" w:lineRule="auto"/>
        <w:ind w:firstLine="708"/>
        <w:rPr>
          <w:rFonts w:ascii="Times New Roman" w:hAnsi="Times New Roman" w:cs="Times New Roman"/>
          <w:color w:val="auto"/>
          <w:szCs w:val="24"/>
        </w:rPr>
      </w:pPr>
      <w:r w:rsidRPr="00A87A8B">
        <w:rPr>
          <w:rFonts w:ascii="Times New Roman" w:hAnsi="Times New Roman" w:cs="Times New Roman"/>
          <w:color w:val="auto"/>
          <w:szCs w:val="24"/>
        </w:rPr>
        <w:t>Punktem wyjściowym dla ustalenia kapitału wewnętrznego na ryzyko kredytowe jest wyliczony kapitał regulacyjny, obliczony zgodnie z zasadami określonymi w Instrukcji wyznaczania wymogów kapitałowych z tytułu poszczególnych r</w:t>
      </w:r>
      <w:r w:rsidR="00756A58" w:rsidRPr="00A87A8B">
        <w:rPr>
          <w:rFonts w:ascii="Times New Roman" w:hAnsi="Times New Roman" w:cs="Times New Roman"/>
          <w:color w:val="auto"/>
          <w:szCs w:val="24"/>
        </w:rPr>
        <w:t>odzajów ryzyka oraz Instrukcji S</w:t>
      </w:r>
      <w:r w:rsidRPr="00A87A8B">
        <w:rPr>
          <w:rFonts w:ascii="Times New Roman" w:hAnsi="Times New Roman" w:cs="Times New Roman"/>
          <w:color w:val="auto"/>
          <w:szCs w:val="24"/>
        </w:rPr>
        <w:t xml:space="preserve">egmentacja ekspozycji i wagi ryzyka dla metody standardowej, z uwzględnieniem zapisów Rozporządzenia CRR. </w:t>
      </w:r>
    </w:p>
    <w:p w14:paraId="400418FF" w14:textId="77777777" w:rsidR="007A3621" w:rsidRPr="00A87A8B" w:rsidRDefault="007A3621" w:rsidP="002E2D69">
      <w:pPr>
        <w:spacing w:after="0" w:line="276" w:lineRule="auto"/>
        <w:rPr>
          <w:rFonts w:ascii="Times New Roman" w:hAnsi="Times New Roman" w:cs="Times New Roman"/>
          <w:color w:val="auto"/>
          <w:szCs w:val="24"/>
        </w:rPr>
      </w:pPr>
      <w:r w:rsidRPr="00A87A8B">
        <w:rPr>
          <w:rFonts w:ascii="Times New Roman" w:hAnsi="Times New Roman" w:cs="Times New Roman"/>
          <w:color w:val="auto"/>
          <w:szCs w:val="24"/>
        </w:rPr>
        <w:t>Kapitałem regulacyjnym zabezpieczona została znaczna c</w:t>
      </w:r>
      <w:r w:rsidR="00756A58" w:rsidRPr="00A87A8B">
        <w:rPr>
          <w:rFonts w:ascii="Times New Roman" w:hAnsi="Times New Roman" w:cs="Times New Roman"/>
          <w:color w:val="auto"/>
          <w:szCs w:val="24"/>
        </w:rPr>
        <w:t>zęść ryzyka, związana głównie z </w:t>
      </w:r>
      <w:r w:rsidRPr="00A87A8B">
        <w:rPr>
          <w:rFonts w:ascii="Times New Roman" w:hAnsi="Times New Roman" w:cs="Times New Roman"/>
          <w:color w:val="auto"/>
          <w:szCs w:val="24"/>
        </w:rPr>
        <w:t xml:space="preserve">ryzykiem niewypłacalności kontrahenta. </w:t>
      </w:r>
    </w:p>
    <w:p w14:paraId="783FB969" w14:textId="77777777" w:rsidR="007A3621" w:rsidRPr="00A87A8B" w:rsidRDefault="007A3621" w:rsidP="002E2D69">
      <w:pPr>
        <w:tabs>
          <w:tab w:val="left" w:pos="0"/>
        </w:tabs>
        <w:spacing w:after="0" w:line="276" w:lineRule="auto"/>
        <w:rPr>
          <w:rFonts w:ascii="Times New Roman" w:hAnsi="Times New Roman" w:cs="Times New Roman"/>
          <w:color w:val="auto"/>
          <w:szCs w:val="24"/>
        </w:rPr>
      </w:pPr>
      <w:r w:rsidRPr="00A87A8B">
        <w:rPr>
          <w:rFonts w:ascii="Times New Roman" w:hAnsi="Times New Roman" w:cs="Times New Roman"/>
          <w:color w:val="auto"/>
          <w:szCs w:val="24"/>
        </w:rPr>
        <w:t xml:space="preserve">Podstawą analizy istotności ryzyka kredytowego dla wyliczenia kapitału </w:t>
      </w:r>
      <w:r w:rsidR="00C30180" w:rsidRPr="00A87A8B">
        <w:rPr>
          <w:rFonts w:ascii="Times New Roman" w:hAnsi="Times New Roman" w:cs="Times New Roman"/>
          <w:color w:val="auto"/>
          <w:szCs w:val="24"/>
        </w:rPr>
        <w:t>wewnętrznego w F</w:t>
      </w:r>
      <w:r w:rsidRPr="00A87A8B">
        <w:rPr>
          <w:rFonts w:ascii="Times New Roman" w:hAnsi="Times New Roman" w:cs="Times New Roman"/>
          <w:color w:val="auto"/>
          <w:szCs w:val="24"/>
        </w:rPr>
        <w:t>ilarze II jest następujący wskaźnik:</w:t>
      </w:r>
    </w:p>
    <w:tbl>
      <w:tblPr>
        <w:tblW w:w="7370" w:type="dxa"/>
        <w:tblInd w:w="1101" w:type="dxa"/>
        <w:tblLook w:val="01E0" w:firstRow="1" w:lastRow="1" w:firstColumn="1" w:lastColumn="1" w:noHBand="0" w:noVBand="0"/>
      </w:tblPr>
      <w:tblGrid>
        <w:gridCol w:w="7370"/>
      </w:tblGrid>
      <w:tr w:rsidR="00A87A8B" w:rsidRPr="00A87A8B" w14:paraId="36A7E2B7" w14:textId="77777777" w:rsidTr="006B4951">
        <w:trPr>
          <w:trHeight w:hRule="exact" w:val="397"/>
        </w:trPr>
        <w:tc>
          <w:tcPr>
            <w:tcW w:w="7370" w:type="dxa"/>
            <w:tcBorders>
              <w:top w:val="nil"/>
              <w:left w:val="nil"/>
              <w:bottom w:val="single" w:sz="4" w:space="0" w:color="auto"/>
              <w:right w:val="nil"/>
            </w:tcBorders>
            <w:shd w:val="clear" w:color="auto" w:fill="auto"/>
            <w:vAlign w:val="center"/>
          </w:tcPr>
          <w:p w14:paraId="3FB8FBFD" w14:textId="77777777" w:rsidR="007A3621" w:rsidRPr="00A87A8B" w:rsidRDefault="007A3621" w:rsidP="002E2D69">
            <w:pPr>
              <w:pStyle w:val="Tekstkomentarza"/>
              <w:tabs>
                <w:tab w:val="num" w:pos="900"/>
              </w:tabs>
              <w:spacing w:before="0" w:after="0"/>
              <w:rPr>
                <w:szCs w:val="24"/>
                <w:lang w:val="pl-PL" w:eastAsia="pl-PL"/>
              </w:rPr>
            </w:pPr>
            <w:r w:rsidRPr="00A87A8B">
              <w:rPr>
                <w:szCs w:val="24"/>
                <w:lang w:val="pl-PL" w:eastAsia="pl-PL"/>
              </w:rPr>
              <w:t>aktywa i zobowiązania pozabilansowe o wagach ryzyka 100 % i więcej</w:t>
            </w:r>
          </w:p>
        </w:tc>
      </w:tr>
      <w:tr w:rsidR="00A87A8B" w:rsidRPr="00A87A8B" w14:paraId="6F8FEDF5" w14:textId="77777777" w:rsidTr="006B4951">
        <w:trPr>
          <w:trHeight w:hRule="exact" w:val="624"/>
        </w:trPr>
        <w:tc>
          <w:tcPr>
            <w:tcW w:w="7370" w:type="dxa"/>
            <w:tcBorders>
              <w:top w:val="single" w:sz="4" w:space="0" w:color="auto"/>
              <w:left w:val="nil"/>
              <w:bottom w:val="nil"/>
              <w:right w:val="nil"/>
            </w:tcBorders>
            <w:shd w:val="clear" w:color="auto" w:fill="auto"/>
            <w:vAlign w:val="center"/>
          </w:tcPr>
          <w:p w14:paraId="61B15D19" w14:textId="77777777" w:rsidR="007A3621" w:rsidRPr="00A87A8B" w:rsidRDefault="007A3621" w:rsidP="002E2D69">
            <w:pPr>
              <w:pStyle w:val="Tekstkomentarza"/>
              <w:tabs>
                <w:tab w:val="num" w:pos="900"/>
              </w:tabs>
              <w:spacing w:before="0" w:after="0"/>
              <w:rPr>
                <w:szCs w:val="24"/>
                <w:lang w:val="pl-PL" w:eastAsia="pl-PL"/>
              </w:rPr>
            </w:pPr>
            <w:r w:rsidRPr="00A87A8B">
              <w:rPr>
                <w:szCs w:val="24"/>
                <w:lang w:val="pl-PL" w:eastAsia="pl-PL"/>
              </w:rPr>
              <w:t>suma aktywów według wartości bilansowej powiększona o udzielone zobowiązania   pozabilansowe</w:t>
            </w:r>
          </w:p>
          <w:p w14:paraId="6C4D6105" w14:textId="77777777" w:rsidR="007A3621" w:rsidRPr="00A87A8B" w:rsidRDefault="007A3621" w:rsidP="002E2D69">
            <w:pPr>
              <w:pStyle w:val="Tekstkomentarza"/>
              <w:tabs>
                <w:tab w:val="num" w:pos="900"/>
              </w:tabs>
              <w:spacing w:before="0" w:after="0"/>
              <w:rPr>
                <w:szCs w:val="24"/>
                <w:lang w:val="pl-PL" w:eastAsia="pl-PL"/>
              </w:rPr>
            </w:pPr>
          </w:p>
        </w:tc>
      </w:tr>
    </w:tbl>
    <w:p w14:paraId="7FA8B4A1" w14:textId="77777777" w:rsidR="007A3621" w:rsidRPr="00A87A8B" w:rsidRDefault="007A3621" w:rsidP="002E2D69">
      <w:pPr>
        <w:spacing w:after="0" w:line="276" w:lineRule="auto"/>
        <w:rPr>
          <w:rFonts w:ascii="Times New Roman" w:hAnsi="Times New Roman" w:cs="Times New Roman"/>
          <w:color w:val="auto"/>
          <w:szCs w:val="24"/>
        </w:rPr>
      </w:pPr>
      <w:r w:rsidRPr="00A87A8B">
        <w:rPr>
          <w:rFonts w:ascii="Times New Roman" w:hAnsi="Times New Roman" w:cs="Times New Roman"/>
          <w:color w:val="auto"/>
          <w:szCs w:val="24"/>
        </w:rPr>
        <w:t>Jeżeli wartość wskaźnik</w:t>
      </w:r>
      <w:r w:rsidR="00E346E7" w:rsidRPr="00A87A8B">
        <w:rPr>
          <w:rFonts w:ascii="Times New Roman" w:hAnsi="Times New Roman" w:cs="Times New Roman"/>
          <w:color w:val="auto"/>
          <w:szCs w:val="24"/>
        </w:rPr>
        <w:t>a przyjmie wartość większą niż 3</w:t>
      </w:r>
      <w:r w:rsidR="00C30180" w:rsidRPr="00A87A8B">
        <w:rPr>
          <w:rFonts w:ascii="Times New Roman" w:hAnsi="Times New Roman" w:cs="Times New Roman"/>
          <w:color w:val="auto"/>
          <w:szCs w:val="24"/>
        </w:rPr>
        <w:t>0%, ryzyko kredytowe w F</w:t>
      </w:r>
      <w:r w:rsidRPr="00A87A8B">
        <w:rPr>
          <w:rFonts w:ascii="Times New Roman" w:hAnsi="Times New Roman" w:cs="Times New Roman"/>
          <w:color w:val="auto"/>
          <w:szCs w:val="24"/>
        </w:rPr>
        <w:t>ilarze II jest istotne i Bank wylicza dodatkowy kapitał alokowany na to ryzyko.</w:t>
      </w:r>
    </w:p>
    <w:p w14:paraId="06268299" w14:textId="77777777" w:rsidR="007A3621" w:rsidRPr="00A87A8B" w:rsidRDefault="007A3621" w:rsidP="002E2D69">
      <w:pPr>
        <w:spacing w:after="0" w:line="276" w:lineRule="auto"/>
        <w:rPr>
          <w:rFonts w:ascii="Times New Roman" w:hAnsi="Times New Roman" w:cs="Times New Roman"/>
          <w:color w:val="auto"/>
          <w:szCs w:val="24"/>
        </w:rPr>
      </w:pPr>
      <w:r w:rsidRPr="00A87A8B">
        <w:rPr>
          <w:rFonts w:ascii="Times New Roman" w:hAnsi="Times New Roman" w:cs="Times New Roman"/>
          <w:color w:val="auto"/>
          <w:szCs w:val="24"/>
        </w:rPr>
        <w:t>Kapitał wewnętrzny na ryzyko kredytowe stanowi sumę kapitału regulacyjnego na ryzyko kredytowe oraz wewnętrznych wymogów kapitałowych wyznaczonych zgodnie z powyższym wskaźnikiem</w:t>
      </w:r>
      <w:r w:rsidR="006B4951" w:rsidRPr="00A87A8B">
        <w:rPr>
          <w:rFonts w:ascii="Times New Roman" w:hAnsi="Times New Roman" w:cs="Times New Roman"/>
          <w:color w:val="auto"/>
          <w:szCs w:val="24"/>
        </w:rPr>
        <w:t>.</w:t>
      </w:r>
    </w:p>
    <w:p w14:paraId="6BA67DB7" w14:textId="77777777" w:rsidR="001C7E3D" w:rsidRPr="00065790" w:rsidRDefault="001C7E3D" w:rsidP="002E2D69">
      <w:pPr>
        <w:spacing w:after="0" w:line="276" w:lineRule="auto"/>
        <w:rPr>
          <w:rFonts w:ascii="Times New Roman" w:hAnsi="Times New Roman" w:cs="Times New Roman"/>
          <w:color w:val="FF0000"/>
          <w:szCs w:val="24"/>
        </w:rPr>
      </w:pPr>
    </w:p>
    <w:p w14:paraId="26823135" w14:textId="2B02165B" w:rsidR="001C7E3D" w:rsidRPr="00A87A8B" w:rsidRDefault="001C7E3D" w:rsidP="001C7E3D">
      <w:pPr>
        <w:spacing w:after="248" w:line="259" w:lineRule="auto"/>
        <w:ind w:left="-5" w:right="0"/>
        <w:jc w:val="left"/>
        <w:rPr>
          <w:rFonts w:ascii="Times New Roman" w:hAnsi="Times New Roman" w:cs="Times New Roman"/>
          <w:color w:val="auto"/>
        </w:rPr>
      </w:pPr>
      <w:r w:rsidRPr="00A87A8B">
        <w:rPr>
          <w:rFonts w:ascii="Times New Roman" w:hAnsi="Times New Roman" w:cs="Times New Roman"/>
          <w:b/>
          <w:color w:val="auto"/>
        </w:rPr>
        <w:t>KAPITAŁ WEWNĘTRZNY NA RYZYKO KONCENTRACJI</w:t>
      </w:r>
    </w:p>
    <w:p w14:paraId="622C2B55" w14:textId="77777777" w:rsidR="001C7E3D" w:rsidRPr="00A87A8B" w:rsidRDefault="001C7E3D" w:rsidP="001C7E3D">
      <w:pPr>
        <w:pStyle w:val="Tekstkomentarza"/>
        <w:spacing w:before="120"/>
        <w:rPr>
          <w:szCs w:val="24"/>
        </w:rPr>
      </w:pPr>
      <w:r w:rsidRPr="00A87A8B">
        <w:t xml:space="preserve">Badaniu podlega dywersyfikacja ryzyka kredytowego mierzona jako odpowiednie rozproszenie posiadanych w portfelu kredytowym ekspozycji według wartości bilansowej netto w kwotach ustalonych dla celów obliczania wymogu kapitałowego z tytułu ryzyka kredytowego (bez stosowania wag ryzyka kontrahenta) oraz zobowiązań pozabilansowych (bez uwzględnienia wag ryzyka produktu). Przy badaniu koncentracji </w:t>
      </w:r>
      <w:proofErr w:type="spellStart"/>
      <w:r w:rsidRPr="00A87A8B">
        <w:t>zaangażowań</w:t>
      </w:r>
      <w:proofErr w:type="spellEnd"/>
      <w:r w:rsidRPr="00A87A8B">
        <w:t xml:space="preserve"> Bank stosuje wyłączenia określone </w:t>
      </w:r>
      <w:r w:rsidRPr="00A87A8B">
        <w:rPr>
          <w:bCs/>
          <w:szCs w:val="24"/>
        </w:rPr>
        <w:t xml:space="preserve">w </w:t>
      </w:r>
      <w:r w:rsidRPr="00A87A8B">
        <w:rPr>
          <w:szCs w:val="24"/>
        </w:rPr>
        <w:t xml:space="preserve">Rozporządzeniu. W zakresie </w:t>
      </w:r>
      <w:proofErr w:type="spellStart"/>
      <w:r w:rsidRPr="00A87A8B">
        <w:rPr>
          <w:szCs w:val="24"/>
        </w:rPr>
        <w:t>ryzyk</w:t>
      </w:r>
      <w:proofErr w:type="spellEnd"/>
      <w:r w:rsidRPr="00A87A8B">
        <w:rPr>
          <w:szCs w:val="24"/>
        </w:rPr>
        <w:t xml:space="preserve"> Filaru II, Bank bada istotność </w:t>
      </w:r>
      <w:proofErr w:type="spellStart"/>
      <w:r w:rsidRPr="00A87A8B">
        <w:rPr>
          <w:szCs w:val="24"/>
        </w:rPr>
        <w:t>ryzyk</w:t>
      </w:r>
      <w:proofErr w:type="spellEnd"/>
      <w:r w:rsidRPr="00A87A8B">
        <w:rPr>
          <w:szCs w:val="24"/>
        </w:rPr>
        <w:t xml:space="preserve"> wynikających z </w:t>
      </w:r>
      <w:proofErr w:type="spellStart"/>
      <w:r w:rsidRPr="00A87A8B">
        <w:rPr>
          <w:szCs w:val="24"/>
        </w:rPr>
        <w:t>zaangażowań</w:t>
      </w:r>
      <w:proofErr w:type="spellEnd"/>
      <w:r w:rsidRPr="00A87A8B">
        <w:rPr>
          <w:szCs w:val="24"/>
        </w:rPr>
        <w:t xml:space="preserve"> kredytowych odnoszących się do następujących rodzajów ryzyka koncentracji:</w:t>
      </w:r>
    </w:p>
    <w:p w14:paraId="53875915" w14:textId="0304AFE3" w:rsidR="001C7E3D" w:rsidRPr="00A87A8B" w:rsidRDefault="001C7E3D" w:rsidP="003B3DA4">
      <w:pPr>
        <w:pStyle w:val="Tekstkomentarza"/>
        <w:numPr>
          <w:ilvl w:val="0"/>
          <w:numId w:val="78"/>
        </w:numPr>
        <w:spacing w:before="120"/>
        <w:ind w:left="0" w:firstLine="142"/>
        <w:rPr>
          <w:szCs w:val="24"/>
        </w:rPr>
      </w:pPr>
      <w:r w:rsidRPr="00A87A8B">
        <w:rPr>
          <w:szCs w:val="24"/>
        </w:rPr>
        <w:t xml:space="preserve">dużych </w:t>
      </w:r>
      <w:proofErr w:type="spellStart"/>
      <w:r w:rsidRPr="00A87A8B">
        <w:rPr>
          <w:szCs w:val="24"/>
        </w:rPr>
        <w:t>zaangażowań</w:t>
      </w:r>
      <w:proofErr w:type="spellEnd"/>
      <w:r w:rsidRPr="00A87A8B">
        <w:rPr>
          <w:szCs w:val="24"/>
        </w:rPr>
        <w:t>.</w:t>
      </w:r>
    </w:p>
    <w:p w14:paraId="68F5A92C" w14:textId="77777777" w:rsidR="00A87A8B" w:rsidRPr="00A87A8B" w:rsidRDefault="001C7E3D" w:rsidP="00A87A8B">
      <w:pPr>
        <w:pStyle w:val="Tekstkomentarza"/>
        <w:tabs>
          <w:tab w:val="num" w:pos="900"/>
        </w:tabs>
        <w:spacing w:before="120" w:after="0" w:line="240" w:lineRule="auto"/>
        <w:ind w:left="426"/>
        <w:rPr>
          <w:bCs/>
          <w:szCs w:val="24"/>
          <w:lang w:val="pl-PL"/>
        </w:rPr>
      </w:pPr>
      <w:r w:rsidRPr="00A87A8B">
        <w:rPr>
          <w:bCs/>
          <w:szCs w:val="24"/>
        </w:rPr>
        <w:t xml:space="preserve">Bank zalicza do „dużych” </w:t>
      </w:r>
      <w:proofErr w:type="spellStart"/>
      <w:r w:rsidRPr="00A87A8B">
        <w:rPr>
          <w:bCs/>
          <w:szCs w:val="24"/>
        </w:rPr>
        <w:t>zaangażowań</w:t>
      </w:r>
      <w:proofErr w:type="spellEnd"/>
      <w:r w:rsidRPr="00A87A8B">
        <w:rPr>
          <w:bCs/>
          <w:szCs w:val="24"/>
        </w:rPr>
        <w:t xml:space="preserve"> ekspozycje wobec podmiotów powiązanych, których łączne zaangażowanie</w:t>
      </w:r>
      <w:r w:rsidRPr="00A87A8B">
        <w:rPr>
          <w:bCs/>
          <w:szCs w:val="24"/>
          <w:lang w:val="pl-PL"/>
        </w:rPr>
        <w:t xml:space="preserve"> jest równe lub</w:t>
      </w:r>
      <w:r w:rsidRPr="00A87A8B">
        <w:rPr>
          <w:bCs/>
          <w:szCs w:val="24"/>
        </w:rPr>
        <w:t xml:space="preserve"> przekracza 10% posiadanych na datę analizy funduszy własnych Banku. </w:t>
      </w:r>
      <w:r w:rsidR="00A87A8B" w:rsidRPr="00A87A8B">
        <w:rPr>
          <w:bCs/>
          <w:szCs w:val="24"/>
        </w:rPr>
        <w:t xml:space="preserve">Limit sumy „dużych” </w:t>
      </w:r>
      <w:proofErr w:type="spellStart"/>
      <w:r w:rsidR="00A87A8B" w:rsidRPr="00A87A8B">
        <w:rPr>
          <w:bCs/>
          <w:szCs w:val="24"/>
        </w:rPr>
        <w:t>zaangażowań</w:t>
      </w:r>
      <w:proofErr w:type="spellEnd"/>
      <w:r w:rsidR="00A87A8B" w:rsidRPr="00A87A8B">
        <w:rPr>
          <w:bCs/>
          <w:szCs w:val="24"/>
        </w:rPr>
        <w:t xml:space="preserve"> </w:t>
      </w:r>
      <w:r w:rsidR="00A87A8B" w:rsidRPr="00A87A8B">
        <w:rPr>
          <w:bCs/>
          <w:szCs w:val="24"/>
          <w:lang w:val="pl-PL"/>
        </w:rPr>
        <w:t xml:space="preserve">wobec sektora finansowego nie może przekroczyć 250% funduszy własnych Banku, a wobec sektora niefinansowego i sektora </w:t>
      </w:r>
      <w:r w:rsidR="00A87A8B" w:rsidRPr="00A87A8B">
        <w:rPr>
          <w:bCs/>
          <w:szCs w:val="24"/>
          <w:lang w:val="pl-PL"/>
        </w:rPr>
        <w:lastRenderedPageBreak/>
        <w:t>budżetowego nie może przekroczyć 100% funduszy własnych Banku.</w:t>
      </w:r>
    </w:p>
    <w:p w14:paraId="31053DDE" w14:textId="25E1C0F9" w:rsidR="00A87A8B" w:rsidRPr="00A87A8B" w:rsidRDefault="00A87A8B" w:rsidP="00A87A8B">
      <w:pPr>
        <w:pStyle w:val="Tekstkomentarza"/>
        <w:tabs>
          <w:tab w:val="num" w:pos="900"/>
        </w:tabs>
        <w:spacing w:before="120" w:after="0" w:line="240" w:lineRule="auto"/>
        <w:ind w:left="426"/>
        <w:rPr>
          <w:bCs/>
          <w:szCs w:val="24"/>
        </w:rPr>
      </w:pPr>
      <w:r w:rsidRPr="00A87A8B">
        <w:rPr>
          <w:bCs/>
          <w:szCs w:val="24"/>
        </w:rPr>
        <w:t xml:space="preserve">Bank wylicza wewnętrzny wymóg kapitałowy na pokrycie ryzyka koncentracji dużych </w:t>
      </w:r>
      <w:proofErr w:type="spellStart"/>
      <w:r w:rsidRPr="00A87A8B">
        <w:rPr>
          <w:bCs/>
          <w:szCs w:val="24"/>
        </w:rPr>
        <w:t>zaangażowań</w:t>
      </w:r>
      <w:proofErr w:type="spellEnd"/>
      <w:r w:rsidRPr="00A87A8B">
        <w:rPr>
          <w:bCs/>
          <w:szCs w:val="24"/>
        </w:rPr>
        <w:t xml:space="preserve"> wówczas, gdy „duże” zaangażowania wobec sektora finansowego oraz  sektora niefinansowego i sektora budżetowego przekroczą ustalony limit.</w:t>
      </w:r>
    </w:p>
    <w:p w14:paraId="0A71687A" w14:textId="26B1118F" w:rsidR="001C7E3D" w:rsidRPr="00A87A8B" w:rsidRDefault="00D8051F" w:rsidP="003B3DA4">
      <w:pPr>
        <w:pStyle w:val="Tekstkomentarza"/>
        <w:numPr>
          <w:ilvl w:val="0"/>
          <w:numId w:val="78"/>
        </w:numPr>
        <w:spacing w:before="120"/>
        <w:ind w:left="0" w:firstLine="142"/>
        <w:rPr>
          <w:szCs w:val="24"/>
        </w:rPr>
      </w:pPr>
      <w:r w:rsidRPr="00A87A8B">
        <w:rPr>
          <w:szCs w:val="24"/>
          <w:lang w:val="pl-PL"/>
        </w:rPr>
        <w:t>b</w:t>
      </w:r>
      <w:proofErr w:type="spellStart"/>
      <w:r w:rsidR="001C7E3D" w:rsidRPr="00A87A8B">
        <w:rPr>
          <w:szCs w:val="24"/>
        </w:rPr>
        <w:t>ranżow</w:t>
      </w:r>
      <w:r w:rsidRPr="00A87A8B">
        <w:rPr>
          <w:szCs w:val="24"/>
          <w:lang w:val="pl-PL"/>
        </w:rPr>
        <w:t>ej</w:t>
      </w:r>
      <w:proofErr w:type="spellEnd"/>
      <w:r w:rsidR="001C7E3D" w:rsidRPr="00A87A8B">
        <w:rPr>
          <w:szCs w:val="24"/>
          <w:lang w:val="pl-PL"/>
        </w:rPr>
        <w:t>.</w:t>
      </w:r>
    </w:p>
    <w:p w14:paraId="4F5DDC49" w14:textId="7A253904" w:rsidR="001C7E3D" w:rsidRPr="00A87A8B" w:rsidRDefault="001C7E3D" w:rsidP="001C7E3D">
      <w:pPr>
        <w:pStyle w:val="Tekstkomentarza"/>
        <w:spacing w:before="120" w:after="0" w:line="240" w:lineRule="auto"/>
      </w:pPr>
      <w:r w:rsidRPr="00A87A8B">
        <w:rPr>
          <w:bCs/>
          <w:szCs w:val="24"/>
        </w:rPr>
        <w:t xml:space="preserve">Na potrzeby procesu oceny adekwatności kapitału wewnętrznego, Bank przyjmuje klasyfikację branż i poziom limitu koncentracji dla segmentów branżowych określone w Instrukcji - Zasady ustalania i monitorowania limitów koncentracji </w:t>
      </w:r>
      <w:proofErr w:type="spellStart"/>
      <w:r w:rsidRPr="00A87A8B">
        <w:rPr>
          <w:bCs/>
          <w:szCs w:val="24"/>
        </w:rPr>
        <w:t>zaangażowań</w:t>
      </w:r>
      <w:proofErr w:type="spellEnd"/>
      <w:r w:rsidRPr="00A87A8B">
        <w:rPr>
          <w:bCs/>
          <w:szCs w:val="24"/>
        </w:rPr>
        <w:t xml:space="preserve"> i </w:t>
      </w:r>
      <w:proofErr w:type="spellStart"/>
      <w:r w:rsidRPr="00A87A8B">
        <w:rPr>
          <w:bCs/>
          <w:szCs w:val="24"/>
        </w:rPr>
        <w:t>zaangażowań</w:t>
      </w:r>
      <w:proofErr w:type="spellEnd"/>
      <w:r w:rsidRPr="00A87A8B">
        <w:rPr>
          <w:bCs/>
          <w:szCs w:val="24"/>
        </w:rPr>
        <w:t xml:space="preserve"> kapitałowych w Warmińsko-Mazurskim Banku Spółdzielczym. Podstawą zakwalifikowania zaangażowania </w:t>
      </w:r>
      <w:r w:rsidRPr="00A87A8B">
        <w:rPr>
          <w:bCs/>
          <w:szCs w:val="24"/>
          <w:lang w:val="pl-PL"/>
        </w:rPr>
        <w:t xml:space="preserve">(wartość netto ekspozycji) </w:t>
      </w:r>
      <w:r w:rsidRPr="00A87A8B">
        <w:rPr>
          <w:bCs/>
          <w:szCs w:val="24"/>
        </w:rPr>
        <w:t>według podziału sektorowego gospodarki jest podział stosowany przez Główny Urząd Statystyczny. Analizie podlega</w:t>
      </w:r>
      <w:r w:rsidR="006102F1" w:rsidRPr="00A87A8B">
        <w:rPr>
          <w:bCs/>
          <w:szCs w:val="24"/>
        </w:rPr>
        <w:t>ć będą branże przekraczające 10</w:t>
      </w:r>
      <w:r w:rsidRPr="00A87A8B">
        <w:rPr>
          <w:bCs/>
          <w:szCs w:val="24"/>
        </w:rPr>
        <w:t xml:space="preserve">% portfela podlegającego ocenie ze względu na sektor gospodarki, zgodny z polską </w:t>
      </w:r>
      <w:r w:rsidRPr="00A87A8B">
        <w:t>klasyfikacją działalności (PKD).</w:t>
      </w:r>
    </w:p>
    <w:p w14:paraId="50CCD8CA" w14:textId="77777777" w:rsidR="001C7E3D" w:rsidRPr="00A87A8B" w:rsidRDefault="001C7E3D" w:rsidP="001C7E3D">
      <w:pPr>
        <w:pStyle w:val="Tekstkomentarza"/>
        <w:spacing w:before="120" w:after="0" w:line="240" w:lineRule="auto"/>
      </w:pPr>
      <w:r w:rsidRPr="00A87A8B">
        <w:t>Na potrzeby procesu oceny adekwatności kapitału wewnętrznego Bank przyjmuje limit dla zaangażowania w poniższe segmenty branżowe na poziomie:</w:t>
      </w:r>
    </w:p>
    <w:p w14:paraId="5DA5AEF9" w14:textId="77777777" w:rsidR="001C7E3D" w:rsidRPr="00A87A8B" w:rsidRDefault="001C7E3D" w:rsidP="001C7E3D">
      <w:pPr>
        <w:pStyle w:val="Tekstkomentarza"/>
        <w:spacing w:before="120" w:after="0" w:line="240" w:lineRule="auto"/>
        <w:ind w:left="851" w:hanging="425"/>
      </w:pPr>
      <w:r w:rsidRPr="00A87A8B">
        <w:t>a)</w:t>
      </w:r>
      <w:r w:rsidRPr="00A87A8B">
        <w:tab/>
        <w:t>Rolnictwo, leśnictwo, łowiectwo i rybactwo – 40% portfela podlegającego ocenie ze względu na sektor gospodarki,</w:t>
      </w:r>
    </w:p>
    <w:p w14:paraId="38366E62" w14:textId="77777777" w:rsidR="001C7E3D" w:rsidRPr="00A87A8B" w:rsidRDefault="001C7E3D" w:rsidP="001C7E3D">
      <w:pPr>
        <w:pStyle w:val="Tekstkomentarza"/>
        <w:spacing w:before="120" w:after="0" w:line="240" w:lineRule="auto"/>
        <w:ind w:left="851" w:hanging="425"/>
      </w:pPr>
      <w:r w:rsidRPr="00A87A8B">
        <w:t>b)</w:t>
      </w:r>
      <w:r w:rsidRPr="00A87A8B">
        <w:tab/>
        <w:t>Administracja publiczna – 40% portfela podlegającego ocenie ze względu na sektor gospodarki,</w:t>
      </w:r>
    </w:p>
    <w:p w14:paraId="1B357CF8" w14:textId="77777777" w:rsidR="001C7E3D" w:rsidRPr="00A87A8B" w:rsidRDefault="001C7E3D" w:rsidP="001C7E3D">
      <w:pPr>
        <w:pStyle w:val="Tekstkomentarza"/>
        <w:spacing w:before="120" w:after="0" w:line="240" w:lineRule="auto"/>
        <w:ind w:left="851" w:hanging="425"/>
      </w:pPr>
      <w:r w:rsidRPr="00A87A8B">
        <w:t>c)</w:t>
      </w:r>
      <w:r w:rsidRPr="00A87A8B">
        <w:tab/>
        <w:t>Każda inna branża objęta limitowaniem – 20% portfela podlegającego ocenie ze względu na sektor gospodarki.</w:t>
      </w:r>
    </w:p>
    <w:p w14:paraId="69FE51EF" w14:textId="3695CC9A" w:rsidR="001C7E3D" w:rsidRPr="00A87A8B" w:rsidRDefault="001C7E3D" w:rsidP="00E076DF">
      <w:pPr>
        <w:pStyle w:val="Tekstkomentarza"/>
        <w:spacing w:before="120" w:after="0" w:line="240" w:lineRule="auto"/>
        <w:rPr>
          <w:szCs w:val="24"/>
        </w:rPr>
      </w:pPr>
      <w:r w:rsidRPr="00A87A8B">
        <w:t>W przypadku</w:t>
      </w:r>
      <w:r w:rsidR="00716C58" w:rsidRPr="00A87A8B">
        <w:rPr>
          <w:lang w:val="pl-PL"/>
        </w:rPr>
        <w:t xml:space="preserve"> przekroczenia powyższych limitów i</w:t>
      </w:r>
      <w:r w:rsidRPr="00A87A8B">
        <w:t xml:space="preserve"> sklasyfikowania ryzyka koncentracji branżowej jako istotne, </w:t>
      </w:r>
      <w:r w:rsidR="00E076DF" w:rsidRPr="00A87A8B">
        <w:t>Bank wylicza kapitał wewnętrzny.</w:t>
      </w:r>
    </w:p>
    <w:p w14:paraId="3BC1CEBC" w14:textId="116ECBDF" w:rsidR="001C7E3D" w:rsidRPr="00A87A8B" w:rsidRDefault="001C7E3D" w:rsidP="003B3DA4">
      <w:pPr>
        <w:pStyle w:val="Tekstkomentarza"/>
        <w:numPr>
          <w:ilvl w:val="0"/>
          <w:numId w:val="78"/>
        </w:numPr>
        <w:spacing w:before="120"/>
        <w:ind w:left="0" w:firstLine="142"/>
        <w:rPr>
          <w:szCs w:val="24"/>
        </w:rPr>
      </w:pPr>
      <w:r w:rsidRPr="00A87A8B">
        <w:rPr>
          <w:szCs w:val="24"/>
          <w:lang w:val="pl-PL"/>
        </w:rPr>
        <w:t>z tytułu tego samego zabezpieczenia</w:t>
      </w:r>
      <w:r w:rsidRPr="00A87A8B">
        <w:rPr>
          <w:szCs w:val="24"/>
        </w:rPr>
        <w:t>,</w:t>
      </w:r>
    </w:p>
    <w:p w14:paraId="73F96FFE" w14:textId="77777777" w:rsidR="001C7E3D" w:rsidRPr="00A87A8B" w:rsidRDefault="001C7E3D" w:rsidP="001C7E3D">
      <w:pPr>
        <w:pStyle w:val="Tekstkomentarza"/>
        <w:tabs>
          <w:tab w:val="left" w:pos="-426"/>
          <w:tab w:val="num" w:pos="900"/>
        </w:tabs>
        <w:spacing w:before="120" w:after="0" w:line="240" w:lineRule="auto"/>
        <w:ind w:left="426"/>
        <w:rPr>
          <w:bCs/>
          <w:szCs w:val="24"/>
          <w:lang w:val="pl-PL"/>
        </w:rPr>
      </w:pPr>
      <w:r w:rsidRPr="00A87A8B">
        <w:rPr>
          <w:bCs/>
          <w:szCs w:val="24"/>
        </w:rPr>
        <w:t>Na potrzeby procesu oceny adekwatności kapitału wewnętrznego, Bank przyjmuje wartość graniczną (limit) wynoszący</w:t>
      </w:r>
      <w:r w:rsidRPr="00A87A8B">
        <w:rPr>
          <w:bCs/>
          <w:szCs w:val="24"/>
          <w:lang w:val="pl-PL"/>
        </w:rPr>
        <w:t xml:space="preserve"> dla:</w:t>
      </w:r>
    </w:p>
    <w:p w14:paraId="434A4787" w14:textId="1400E027" w:rsidR="001C7E3D" w:rsidRPr="00A87A8B" w:rsidRDefault="001C7E3D" w:rsidP="003B3DA4">
      <w:pPr>
        <w:pStyle w:val="Tekstkomentarza"/>
        <w:numPr>
          <w:ilvl w:val="2"/>
          <w:numId w:val="79"/>
        </w:numPr>
        <w:tabs>
          <w:tab w:val="clear" w:pos="2160"/>
          <w:tab w:val="left" w:pos="-426"/>
          <w:tab w:val="num" w:pos="1134"/>
        </w:tabs>
        <w:spacing w:before="120" w:after="0" w:line="240" w:lineRule="auto"/>
        <w:ind w:left="1134" w:hanging="283"/>
        <w:rPr>
          <w:bCs/>
          <w:szCs w:val="24"/>
          <w:lang w:val="pl-PL"/>
        </w:rPr>
      </w:pPr>
      <w:r w:rsidRPr="00A87A8B">
        <w:rPr>
          <w:bCs/>
          <w:szCs w:val="24"/>
          <w:lang w:val="pl-PL"/>
        </w:rPr>
        <w:t>Łącznego zaangażowania zabezpieczonego w formie hipoteki n</w:t>
      </w:r>
      <w:r w:rsidR="00A87A8B" w:rsidRPr="00A87A8B">
        <w:rPr>
          <w:bCs/>
          <w:szCs w:val="24"/>
          <w:lang w:val="pl-PL"/>
        </w:rPr>
        <w:t>a nieruchomości mieszkalnej – 25</w:t>
      </w:r>
      <w:r w:rsidRPr="00A87A8B">
        <w:rPr>
          <w:bCs/>
          <w:szCs w:val="24"/>
          <w:lang w:val="pl-PL"/>
        </w:rPr>
        <w:t>0% funduszy własnych,</w:t>
      </w:r>
    </w:p>
    <w:p w14:paraId="13A6E162" w14:textId="77777777" w:rsidR="001C7E3D" w:rsidRPr="00A87A8B" w:rsidRDefault="001C7E3D" w:rsidP="003B3DA4">
      <w:pPr>
        <w:pStyle w:val="Tekstkomentarza"/>
        <w:numPr>
          <w:ilvl w:val="2"/>
          <w:numId w:val="79"/>
        </w:numPr>
        <w:tabs>
          <w:tab w:val="clear" w:pos="2160"/>
          <w:tab w:val="left" w:pos="-426"/>
          <w:tab w:val="num" w:pos="1134"/>
        </w:tabs>
        <w:spacing w:before="120" w:after="0" w:line="240" w:lineRule="auto"/>
        <w:ind w:left="1134" w:hanging="283"/>
        <w:rPr>
          <w:bCs/>
          <w:szCs w:val="24"/>
          <w:lang w:val="pl-PL"/>
        </w:rPr>
      </w:pPr>
      <w:r w:rsidRPr="00A87A8B">
        <w:rPr>
          <w:bCs/>
          <w:szCs w:val="24"/>
          <w:lang w:val="pl-PL"/>
        </w:rPr>
        <w:t>Łącznego zaangażowania zabezpieczonego w formie hipoteki na nieruchomości komercyjnej – 400 % funduszy własnych,</w:t>
      </w:r>
    </w:p>
    <w:p w14:paraId="04213031" w14:textId="77777777" w:rsidR="001C7E3D" w:rsidRPr="00A87A8B" w:rsidRDefault="001C7E3D" w:rsidP="003B3DA4">
      <w:pPr>
        <w:pStyle w:val="Tekstkomentarza"/>
        <w:numPr>
          <w:ilvl w:val="2"/>
          <w:numId w:val="79"/>
        </w:numPr>
        <w:tabs>
          <w:tab w:val="clear" w:pos="2160"/>
          <w:tab w:val="left" w:pos="-426"/>
          <w:tab w:val="num" w:pos="1134"/>
        </w:tabs>
        <w:spacing w:before="120" w:after="0" w:line="240" w:lineRule="auto"/>
        <w:ind w:left="1134" w:hanging="283"/>
        <w:rPr>
          <w:bCs/>
          <w:szCs w:val="24"/>
          <w:lang w:val="pl-PL"/>
        </w:rPr>
      </w:pPr>
      <w:r w:rsidRPr="00A87A8B">
        <w:rPr>
          <w:bCs/>
          <w:szCs w:val="24"/>
          <w:lang w:val="pl-PL"/>
        </w:rPr>
        <w:t xml:space="preserve">Łącznego zaangażowania nie zabezpieczonego lub zabezpieczonego w formie zabezpieczeń, dla których wskaźnik korygujący wynosi 0 (np. weksel in blanco, pełnomocnictwo do rachunku) – 200 % funduszy własnych. </w:t>
      </w:r>
    </w:p>
    <w:p w14:paraId="628FE7FA" w14:textId="5D28B279" w:rsidR="001C7E3D" w:rsidRPr="00A87A8B" w:rsidRDefault="001C7E3D" w:rsidP="00E076DF">
      <w:pPr>
        <w:pStyle w:val="Tekstkomentarza"/>
        <w:tabs>
          <w:tab w:val="left" w:pos="-426"/>
          <w:tab w:val="num" w:pos="900"/>
        </w:tabs>
        <w:spacing w:before="120" w:after="0" w:line="240" w:lineRule="auto"/>
        <w:ind w:left="426"/>
        <w:rPr>
          <w:szCs w:val="24"/>
        </w:rPr>
      </w:pPr>
      <w:r w:rsidRPr="00A87A8B">
        <w:rPr>
          <w:bCs/>
          <w:szCs w:val="24"/>
        </w:rPr>
        <w:t>W przypadku przekroczenia ustalonego poziomu limitu koncentracji zabezpieczeń Bank uznaje, że ryzyko koncentracji z tytułu tego samego typu zabezpieczenia jest ryzykiem istotn</w:t>
      </w:r>
      <w:r w:rsidR="00E076DF" w:rsidRPr="00A87A8B">
        <w:rPr>
          <w:bCs/>
          <w:szCs w:val="24"/>
        </w:rPr>
        <w:t>ym i wylicza kapitał wewnętrzny.</w:t>
      </w:r>
    </w:p>
    <w:p w14:paraId="1524E7E7" w14:textId="521A0F15" w:rsidR="001C7E3D" w:rsidRPr="00A87A8B" w:rsidRDefault="001C7E3D" w:rsidP="003B3DA4">
      <w:pPr>
        <w:pStyle w:val="Tekstkomentarza"/>
        <w:numPr>
          <w:ilvl w:val="0"/>
          <w:numId w:val="78"/>
        </w:numPr>
        <w:spacing w:before="120"/>
        <w:ind w:left="0" w:firstLine="142"/>
        <w:rPr>
          <w:szCs w:val="24"/>
        </w:rPr>
      </w:pPr>
      <w:r w:rsidRPr="00A87A8B">
        <w:rPr>
          <w:szCs w:val="24"/>
          <w:lang w:val="pl-PL"/>
        </w:rPr>
        <w:t xml:space="preserve"> w poszczególne jednostkowe instrumenty finansowe</w:t>
      </w:r>
      <w:r w:rsidR="00E076DF" w:rsidRPr="00A87A8B">
        <w:rPr>
          <w:szCs w:val="24"/>
        </w:rPr>
        <w:t>.</w:t>
      </w:r>
    </w:p>
    <w:p w14:paraId="419BD060" w14:textId="77777777" w:rsidR="001C7E3D" w:rsidRPr="00A87A8B" w:rsidRDefault="001C7E3D" w:rsidP="001C7E3D">
      <w:pPr>
        <w:pStyle w:val="Tekstkomentarza"/>
        <w:spacing w:before="120"/>
        <w:rPr>
          <w:szCs w:val="24"/>
        </w:rPr>
      </w:pPr>
      <w:r w:rsidRPr="00A87A8B">
        <w:rPr>
          <w:szCs w:val="24"/>
        </w:rPr>
        <w:t>Analizie podlegać będą instrumenty finansowe, których udział w portfelu przekracza 10%.</w:t>
      </w:r>
    </w:p>
    <w:p w14:paraId="1195BF4E" w14:textId="77777777" w:rsidR="001C7E3D" w:rsidRPr="00A87A8B" w:rsidRDefault="001C7E3D" w:rsidP="001C7E3D">
      <w:pPr>
        <w:pStyle w:val="Tekstkomentarza"/>
        <w:spacing w:before="120"/>
        <w:rPr>
          <w:szCs w:val="24"/>
        </w:rPr>
      </w:pPr>
      <w:r w:rsidRPr="00A87A8B">
        <w:rPr>
          <w:szCs w:val="24"/>
        </w:rPr>
        <w:lastRenderedPageBreak/>
        <w:t xml:space="preserve">Na potrzeby procesu oceny adekwatności kapitału wewnętrznego, Bank przyjmuje zaangażowanie w poszczególne jednostkowe instrumenty finansowe i poziom limitów zgodnie  z Instrukcją - Zasady ustalania i monitorowania limitów koncentracji </w:t>
      </w:r>
      <w:proofErr w:type="spellStart"/>
      <w:r w:rsidRPr="00A87A8B">
        <w:rPr>
          <w:szCs w:val="24"/>
        </w:rPr>
        <w:t>zaangażowań</w:t>
      </w:r>
      <w:proofErr w:type="spellEnd"/>
      <w:r w:rsidRPr="00A87A8B">
        <w:rPr>
          <w:szCs w:val="24"/>
        </w:rPr>
        <w:t xml:space="preserve"> w Warmińsko-Mazurskim Banku Spółdzielczym:</w:t>
      </w:r>
    </w:p>
    <w:p w14:paraId="38D8D14D" w14:textId="2B322F03" w:rsidR="001C7E3D" w:rsidRPr="00A87A8B" w:rsidRDefault="001C7E3D" w:rsidP="001C7E3D">
      <w:pPr>
        <w:pStyle w:val="Tekstkomentarza"/>
        <w:spacing w:before="120"/>
        <w:rPr>
          <w:szCs w:val="24"/>
        </w:rPr>
      </w:pPr>
      <w:r w:rsidRPr="00A87A8B">
        <w:rPr>
          <w:szCs w:val="24"/>
        </w:rPr>
        <w:t>a)</w:t>
      </w:r>
      <w:r w:rsidRPr="00A87A8B">
        <w:rPr>
          <w:szCs w:val="24"/>
        </w:rPr>
        <w:tab/>
        <w:t>Kredyty finansuj</w:t>
      </w:r>
      <w:r w:rsidR="00A87A8B" w:rsidRPr="00A87A8B">
        <w:rPr>
          <w:szCs w:val="24"/>
        </w:rPr>
        <w:t>ące nieruchomości mieszkalne – 4</w:t>
      </w:r>
      <w:r w:rsidRPr="00A87A8B">
        <w:rPr>
          <w:szCs w:val="24"/>
        </w:rPr>
        <w:t>0% portfela kredytowego,</w:t>
      </w:r>
    </w:p>
    <w:p w14:paraId="70E25920" w14:textId="77777777" w:rsidR="001C7E3D" w:rsidRPr="00A87A8B" w:rsidRDefault="001C7E3D" w:rsidP="001C7E3D">
      <w:pPr>
        <w:pStyle w:val="Tekstkomentarza"/>
        <w:spacing w:before="120"/>
        <w:rPr>
          <w:szCs w:val="24"/>
        </w:rPr>
      </w:pPr>
      <w:r w:rsidRPr="00A87A8B">
        <w:rPr>
          <w:szCs w:val="24"/>
        </w:rPr>
        <w:t>b)</w:t>
      </w:r>
      <w:r w:rsidRPr="00A87A8B">
        <w:rPr>
          <w:szCs w:val="24"/>
        </w:rPr>
        <w:tab/>
        <w:t>Kredyty finansujące nieruchomości komercyjne i pozostałe – 50% portfela kredytowego,</w:t>
      </w:r>
    </w:p>
    <w:p w14:paraId="36821EE1" w14:textId="77777777" w:rsidR="001C7E3D" w:rsidRPr="00A87A8B" w:rsidRDefault="001C7E3D" w:rsidP="001C7E3D">
      <w:pPr>
        <w:pStyle w:val="Tekstkomentarza"/>
        <w:spacing w:before="120"/>
        <w:rPr>
          <w:szCs w:val="24"/>
        </w:rPr>
      </w:pPr>
      <w:r w:rsidRPr="00A87A8B">
        <w:rPr>
          <w:szCs w:val="24"/>
        </w:rPr>
        <w:t>c)</w:t>
      </w:r>
      <w:r w:rsidRPr="00A87A8B">
        <w:rPr>
          <w:szCs w:val="24"/>
        </w:rPr>
        <w:tab/>
        <w:t>Kredyty inwestycyjne – 60% portfela kredytowego</w:t>
      </w:r>
    </w:p>
    <w:p w14:paraId="38E77A20" w14:textId="77777777" w:rsidR="001C7E3D" w:rsidRPr="00A87A8B" w:rsidRDefault="001C7E3D" w:rsidP="001C7E3D">
      <w:pPr>
        <w:pStyle w:val="Tekstkomentarza"/>
        <w:spacing w:before="120"/>
        <w:rPr>
          <w:szCs w:val="24"/>
        </w:rPr>
      </w:pPr>
      <w:r w:rsidRPr="00A87A8B">
        <w:rPr>
          <w:szCs w:val="24"/>
        </w:rPr>
        <w:t>d)</w:t>
      </w:r>
      <w:r w:rsidRPr="00A87A8B">
        <w:rPr>
          <w:szCs w:val="24"/>
        </w:rPr>
        <w:tab/>
        <w:t xml:space="preserve">Każdy inny produkt objęty limitowaniem – 20% portfela kredytowego </w:t>
      </w:r>
    </w:p>
    <w:p w14:paraId="2344F60B" w14:textId="77777777" w:rsidR="001C7E3D" w:rsidRPr="00A87A8B" w:rsidRDefault="001C7E3D" w:rsidP="001C7E3D">
      <w:pPr>
        <w:pStyle w:val="Tekstkomentarza"/>
        <w:spacing w:before="120"/>
        <w:rPr>
          <w:szCs w:val="24"/>
        </w:rPr>
      </w:pPr>
      <w:r w:rsidRPr="00A87A8B">
        <w:rPr>
          <w:szCs w:val="24"/>
        </w:rPr>
        <w:t xml:space="preserve">W przypadku, gdy koncentracja </w:t>
      </w:r>
      <w:proofErr w:type="spellStart"/>
      <w:r w:rsidRPr="00A87A8B">
        <w:rPr>
          <w:szCs w:val="24"/>
        </w:rPr>
        <w:t>zaangażowań</w:t>
      </w:r>
      <w:proofErr w:type="spellEnd"/>
      <w:r w:rsidRPr="00A87A8B">
        <w:rPr>
          <w:szCs w:val="24"/>
        </w:rPr>
        <w:t xml:space="preserve"> w choćby jeden produkt przekroczy poziom określonych limitów Bank oblicza dodatkowy wymóg kapitałowy.</w:t>
      </w:r>
    </w:p>
    <w:p w14:paraId="71687EC1" w14:textId="465A72A9" w:rsidR="001C7E3D" w:rsidRPr="00A87A8B" w:rsidRDefault="001C7E3D" w:rsidP="00E076DF">
      <w:pPr>
        <w:pStyle w:val="Tekstkomentarza"/>
        <w:spacing w:before="120"/>
        <w:rPr>
          <w:szCs w:val="24"/>
        </w:rPr>
      </w:pPr>
      <w:r w:rsidRPr="00A87A8B">
        <w:rPr>
          <w:szCs w:val="24"/>
        </w:rPr>
        <w:t>W przypadku sklasyfikowania ryzyka koncentracji w poszczególne jednostkowe instrumenty finansowe jako istotne, Bank wylicza kapitał wewnętrzny na pokrycie ryzyka koncentracji produktowej.</w:t>
      </w:r>
    </w:p>
    <w:p w14:paraId="43E14815" w14:textId="77777777" w:rsidR="001C7E3D" w:rsidRPr="00A87A8B" w:rsidRDefault="001C7E3D" w:rsidP="003B3DA4">
      <w:pPr>
        <w:pStyle w:val="Tekstkomentarza"/>
        <w:numPr>
          <w:ilvl w:val="0"/>
          <w:numId w:val="78"/>
        </w:numPr>
        <w:spacing w:before="120"/>
        <w:ind w:left="0" w:firstLine="142"/>
        <w:rPr>
          <w:szCs w:val="24"/>
        </w:rPr>
      </w:pPr>
      <w:proofErr w:type="spellStart"/>
      <w:r w:rsidRPr="00A87A8B">
        <w:rPr>
          <w:szCs w:val="24"/>
        </w:rPr>
        <w:t>zaangażowań</w:t>
      </w:r>
      <w:proofErr w:type="spellEnd"/>
      <w:r w:rsidRPr="00A87A8B">
        <w:rPr>
          <w:szCs w:val="24"/>
        </w:rPr>
        <w:t xml:space="preserve"> z terminem zapadalności powyżej 10 lat.</w:t>
      </w:r>
    </w:p>
    <w:p w14:paraId="460B7681" w14:textId="77777777" w:rsidR="001C7E3D" w:rsidRPr="00A87A8B" w:rsidRDefault="001C7E3D" w:rsidP="001C7E3D">
      <w:pPr>
        <w:pStyle w:val="Tekstkomentarza"/>
        <w:tabs>
          <w:tab w:val="left" w:pos="-426"/>
          <w:tab w:val="num" w:pos="900"/>
        </w:tabs>
        <w:spacing w:before="120" w:after="0" w:line="240" w:lineRule="auto"/>
        <w:ind w:left="426"/>
        <w:rPr>
          <w:bCs/>
          <w:szCs w:val="24"/>
        </w:rPr>
      </w:pPr>
      <w:r w:rsidRPr="00A87A8B">
        <w:rPr>
          <w:bCs/>
          <w:szCs w:val="24"/>
        </w:rPr>
        <w:t>Na potrzeby procesu oceny adekwatności kapitału wewnętrznego, Bank przyjmuje wartość graniczną (limit) wynoszący 100% funduszy własnych.</w:t>
      </w:r>
    </w:p>
    <w:p w14:paraId="3C91B773" w14:textId="3487A231" w:rsidR="001C7E3D" w:rsidRPr="00A87A8B" w:rsidRDefault="001C7E3D" w:rsidP="00E076DF">
      <w:pPr>
        <w:pStyle w:val="Tekstkomentarza"/>
        <w:tabs>
          <w:tab w:val="left" w:pos="-426"/>
        </w:tabs>
        <w:spacing w:before="120" w:line="240" w:lineRule="auto"/>
        <w:ind w:left="360"/>
        <w:rPr>
          <w:bCs/>
          <w:szCs w:val="24"/>
          <w:lang w:val="pl-PL"/>
        </w:rPr>
      </w:pPr>
      <w:r w:rsidRPr="00A87A8B">
        <w:rPr>
          <w:bCs/>
          <w:szCs w:val="24"/>
        </w:rPr>
        <w:t xml:space="preserve">W przypadku, gdy suma tych </w:t>
      </w:r>
      <w:proofErr w:type="spellStart"/>
      <w:r w:rsidRPr="00A87A8B">
        <w:rPr>
          <w:bCs/>
          <w:szCs w:val="24"/>
        </w:rPr>
        <w:t>zaangażowań</w:t>
      </w:r>
      <w:proofErr w:type="spellEnd"/>
      <w:r w:rsidRPr="00A87A8B">
        <w:rPr>
          <w:bCs/>
          <w:szCs w:val="24"/>
        </w:rPr>
        <w:t xml:space="preserve"> osiągnie poziom, co najmniej 100 % funduszy własnych Bank oblicza z tego tytułu wewnętrzny wymóg kapitałowy</w:t>
      </w:r>
      <w:r w:rsidR="00E076DF" w:rsidRPr="00A87A8B">
        <w:rPr>
          <w:bCs/>
          <w:szCs w:val="24"/>
          <w:lang w:val="pl-PL"/>
        </w:rPr>
        <w:t>.</w:t>
      </w:r>
    </w:p>
    <w:p w14:paraId="5A31478E" w14:textId="36D21EB4" w:rsidR="00E076DF" w:rsidRPr="00A87A8B" w:rsidRDefault="00E076DF" w:rsidP="00E076DF">
      <w:pPr>
        <w:pStyle w:val="Tekstpodstawowy"/>
        <w:jc w:val="both"/>
        <w:rPr>
          <w:rFonts w:ascii="Times New Roman" w:hAnsi="Times New Roman"/>
          <w:szCs w:val="24"/>
          <w:u w:val="single"/>
        </w:rPr>
      </w:pPr>
      <w:r w:rsidRPr="00A87A8B">
        <w:rPr>
          <w:rFonts w:ascii="Times New Roman" w:hAnsi="Times New Roman"/>
          <w:szCs w:val="24"/>
        </w:rPr>
        <w:t xml:space="preserve">Łączny wewnętrzny wymóg kapitałowy z tytułu ryzyka koncentracji, stanowi suma wewnętrznych wymogów z wymienionych wyżej </w:t>
      </w:r>
      <w:proofErr w:type="spellStart"/>
      <w:r w:rsidRPr="00A87A8B">
        <w:rPr>
          <w:rFonts w:ascii="Times New Roman" w:hAnsi="Times New Roman"/>
          <w:szCs w:val="24"/>
        </w:rPr>
        <w:t>ryzyk</w:t>
      </w:r>
      <w:proofErr w:type="spellEnd"/>
      <w:r w:rsidRPr="00A87A8B">
        <w:rPr>
          <w:rFonts w:ascii="Times New Roman" w:hAnsi="Times New Roman"/>
          <w:szCs w:val="24"/>
        </w:rPr>
        <w:t>.</w:t>
      </w:r>
    </w:p>
    <w:p w14:paraId="0E6CCFAC" w14:textId="77777777" w:rsidR="007A3621" w:rsidRPr="0097451D" w:rsidRDefault="007A3621">
      <w:pPr>
        <w:spacing w:after="248" w:line="259" w:lineRule="auto"/>
        <w:ind w:left="-5" w:right="0"/>
        <w:jc w:val="left"/>
        <w:rPr>
          <w:rFonts w:ascii="Times New Roman" w:hAnsi="Times New Roman" w:cs="Times New Roman"/>
          <w:b/>
          <w:color w:val="auto"/>
          <w:u w:val="single"/>
        </w:rPr>
      </w:pPr>
    </w:p>
    <w:p w14:paraId="7F67B3C6" w14:textId="77777777" w:rsidR="002C50F6" w:rsidRPr="0097451D" w:rsidRDefault="00E81BF6">
      <w:pPr>
        <w:spacing w:after="248" w:line="259" w:lineRule="auto"/>
        <w:ind w:left="-5" w:right="0"/>
        <w:jc w:val="left"/>
        <w:rPr>
          <w:rFonts w:ascii="Times New Roman" w:hAnsi="Times New Roman" w:cs="Times New Roman"/>
          <w:color w:val="auto"/>
        </w:rPr>
      </w:pPr>
      <w:r w:rsidRPr="0097451D">
        <w:rPr>
          <w:rFonts w:ascii="Times New Roman" w:hAnsi="Times New Roman" w:cs="Times New Roman"/>
          <w:b/>
          <w:color w:val="auto"/>
        </w:rPr>
        <w:t>KAPITAŁ WEWNĘTRZNY NA RYZYKO OPERACYJNE</w:t>
      </w:r>
    </w:p>
    <w:p w14:paraId="4868BF45" w14:textId="77777777" w:rsidR="007A3621" w:rsidRPr="0097451D" w:rsidRDefault="007A3621" w:rsidP="002E2D69">
      <w:pPr>
        <w:spacing w:after="0" w:line="276" w:lineRule="auto"/>
        <w:ind w:firstLine="708"/>
        <w:rPr>
          <w:rFonts w:ascii="Times New Roman" w:hAnsi="Times New Roman" w:cs="Times New Roman"/>
          <w:color w:val="auto"/>
          <w:szCs w:val="24"/>
        </w:rPr>
      </w:pPr>
      <w:r w:rsidRPr="0097451D">
        <w:rPr>
          <w:rFonts w:ascii="Times New Roman" w:hAnsi="Times New Roman" w:cs="Times New Roman"/>
          <w:color w:val="auto"/>
          <w:szCs w:val="24"/>
        </w:rPr>
        <w:t xml:space="preserve">Punktem wyjściowym dla ustalenia kapitału wewnętrznego na ryzyko operacyjne jest kapitał regulacyjny, obliczony zgodnie z zasadami określonymi w Instrukcji wyznaczania wymogów kapitałowych z tytułu poszczególnych rodzajów ryzyka. </w:t>
      </w:r>
    </w:p>
    <w:p w14:paraId="757E9C25" w14:textId="77777777" w:rsidR="007A3621" w:rsidRPr="0097451D" w:rsidRDefault="007A3621" w:rsidP="002E2D69">
      <w:pPr>
        <w:spacing w:after="0" w:line="276" w:lineRule="auto"/>
        <w:rPr>
          <w:rFonts w:ascii="Times New Roman" w:hAnsi="Times New Roman" w:cs="Times New Roman"/>
          <w:color w:val="auto"/>
          <w:szCs w:val="24"/>
        </w:rPr>
      </w:pPr>
      <w:r w:rsidRPr="0097451D">
        <w:rPr>
          <w:rFonts w:ascii="Times New Roman" w:hAnsi="Times New Roman" w:cs="Times New Roman"/>
          <w:color w:val="auto"/>
          <w:szCs w:val="24"/>
        </w:rPr>
        <w:t xml:space="preserve">Kapitałem regulacyjnym zabezpieczona została znaczna część ryzyka wynikająca ze skali prowadzonej przez Bank działalności. </w:t>
      </w:r>
    </w:p>
    <w:p w14:paraId="15392EBB" w14:textId="77777777" w:rsidR="007A3621" w:rsidRPr="0097451D" w:rsidRDefault="007A3621" w:rsidP="002E2D69">
      <w:pPr>
        <w:pStyle w:val="Tekstkomentarza"/>
        <w:widowControl/>
        <w:tabs>
          <w:tab w:val="left" w:pos="0"/>
        </w:tabs>
        <w:adjustRightInd/>
        <w:spacing w:before="0" w:after="0"/>
        <w:textAlignment w:val="auto"/>
        <w:rPr>
          <w:szCs w:val="24"/>
        </w:rPr>
      </w:pPr>
      <w:r w:rsidRPr="0097451D">
        <w:rPr>
          <w:szCs w:val="24"/>
        </w:rPr>
        <w:tab/>
        <w:t>Badaniu i ocenie podlegają straty rzeczywiste i potencjalne netto dla zdarzeń i incydentów zarejestrowanych w systemie do ewidencji zdarzeń operacyjn</w:t>
      </w:r>
      <w:r w:rsidR="00756A58" w:rsidRPr="0097451D">
        <w:rPr>
          <w:szCs w:val="24"/>
        </w:rPr>
        <w:t>ych, które wystąpiły w Banku na </w:t>
      </w:r>
      <w:r w:rsidRPr="0097451D">
        <w:rPr>
          <w:szCs w:val="24"/>
        </w:rPr>
        <w:t xml:space="preserve">przestrzeni ostatnich 12 miesięcy od daty analizy. </w:t>
      </w:r>
    </w:p>
    <w:p w14:paraId="4DC27601" w14:textId="77777777" w:rsidR="007A3621" w:rsidRPr="0097451D" w:rsidRDefault="002E2D69" w:rsidP="002E2D69">
      <w:pPr>
        <w:pStyle w:val="Tekstkomentarza"/>
        <w:widowControl/>
        <w:tabs>
          <w:tab w:val="left" w:pos="0"/>
        </w:tabs>
        <w:adjustRightInd/>
        <w:spacing w:before="0" w:after="0"/>
        <w:textAlignment w:val="auto"/>
        <w:rPr>
          <w:szCs w:val="24"/>
        </w:rPr>
      </w:pPr>
      <w:r w:rsidRPr="0097451D">
        <w:rPr>
          <w:szCs w:val="24"/>
        </w:rPr>
        <w:tab/>
      </w:r>
      <w:r w:rsidR="007A3621" w:rsidRPr="0097451D">
        <w:rPr>
          <w:szCs w:val="24"/>
        </w:rPr>
        <w:t>Bank definiuje poniższe straty rzeczywiste i potencjalne</w:t>
      </w:r>
      <w:r w:rsidR="00756A58" w:rsidRPr="0097451D">
        <w:rPr>
          <w:szCs w:val="24"/>
        </w:rPr>
        <w:t>, które będą podlegać badaniu w </w:t>
      </w:r>
      <w:r w:rsidR="007A3621" w:rsidRPr="0097451D">
        <w:rPr>
          <w:szCs w:val="24"/>
        </w:rPr>
        <w:t>ramach oceny stopnia narażenia Banku na ryzyko operacyjne, tj.:</w:t>
      </w:r>
    </w:p>
    <w:p w14:paraId="3835D570" w14:textId="77777777" w:rsidR="007A3621" w:rsidRPr="0097451D" w:rsidRDefault="007A3621" w:rsidP="003B3DA4">
      <w:pPr>
        <w:pStyle w:val="Tekstkomentarza"/>
        <w:widowControl/>
        <w:numPr>
          <w:ilvl w:val="0"/>
          <w:numId w:val="59"/>
        </w:numPr>
        <w:tabs>
          <w:tab w:val="left" w:pos="284"/>
        </w:tabs>
        <w:adjustRightInd/>
        <w:spacing w:before="0" w:after="0"/>
        <w:ind w:left="426" w:hanging="284"/>
        <w:textAlignment w:val="auto"/>
        <w:rPr>
          <w:szCs w:val="24"/>
        </w:rPr>
      </w:pPr>
      <w:r w:rsidRPr="0097451D">
        <w:rPr>
          <w:szCs w:val="24"/>
        </w:rPr>
        <w:t>koszty niedoborów kasowych,</w:t>
      </w:r>
    </w:p>
    <w:p w14:paraId="0449F1B3" w14:textId="77777777" w:rsidR="007A3621" w:rsidRPr="0097451D" w:rsidRDefault="007A3621" w:rsidP="003B3DA4">
      <w:pPr>
        <w:pStyle w:val="Tekstkomentarza"/>
        <w:widowControl/>
        <w:numPr>
          <w:ilvl w:val="0"/>
          <w:numId w:val="59"/>
        </w:numPr>
        <w:tabs>
          <w:tab w:val="left" w:pos="284"/>
        </w:tabs>
        <w:adjustRightInd/>
        <w:spacing w:before="0" w:after="0"/>
        <w:ind w:left="426" w:hanging="284"/>
        <w:textAlignment w:val="auto"/>
        <w:rPr>
          <w:szCs w:val="24"/>
        </w:rPr>
      </w:pPr>
      <w:r w:rsidRPr="0097451D">
        <w:rPr>
          <w:szCs w:val="24"/>
        </w:rPr>
        <w:t>koszty innych niedoborów,</w:t>
      </w:r>
    </w:p>
    <w:p w14:paraId="23CA027F" w14:textId="77777777" w:rsidR="007A3621" w:rsidRPr="0097451D" w:rsidRDefault="007A3621" w:rsidP="003B3DA4">
      <w:pPr>
        <w:pStyle w:val="Tekstkomentarza"/>
        <w:widowControl/>
        <w:numPr>
          <w:ilvl w:val="0"/>
          <w:numId w:val="59"/>
        </w:numPr>
        <w:tabs>
          <w:tab w:val="left" w:pos="284"/>
        </w:tabs>
        <w:adjustRightInd/>
        <w:spacing w:before="0" w:after="0"/>
        <w:ind w:left="426" w:hanging="284"/>
        <w:textAlignment w:val="auto"/>
        <w:rPr>
          <w:szCs w:val="24"/>
        </w:rPr>
      </w:pPr>
      <w:r w:rsidRPr="0097451D">
        <w:rPr>
          <w:szCs w:val="24"/>
        </w:rPr>
        <w:t>koszty tworzenia rezerw celowych na ekspozycje kredytowe wyłudzone przez klientów</w:t>
      </w:r>
      <w:r w:rsidRPr="0097451D">
        <w:rPr>
          <w:szCs w:val="24"/>
          <w:lang w:val="pl-PL"/>
        </w:rPr>
        <w:t xml:space="preserve"> </w:t>
      </w:r>
      <w:r w:rsidR="00756A58" w:rsidRPr="0097451D">
        <w:rPr>
          <w:szCs w:val="24"/>
        </w:rPr>
        <w:t>lub </w:t>
      </w:r>
      <w:r w:rsidRPr="0097451D">
        <w:rPr>
          <w:szCs w:val="24"/>
        </w:rPr>
        <w:t>udzielone z naruszeniem obowiązujących w Banku procedur kredytowych,</w:t>
      </w:r>
    </w:p>
    <w:p w14:paraId="17CE8AE5" w14:textId="77777777" w:rsidR="007A3621" w:rsidRPr="0097451D" w:rsidRDefault="007A3621" w:rsidP="003B3DA4">
      <w:pPr>
        <w:pStyle w:val="Tekstkomentarza"/>
        <w:widowControl/>
        <w:numPr>
          <w:ilvl w:val="0"/>
          <w:numId w:val="59"/>
        </w:numPr>
        <w:tabs>
          <w:tab w:val="left" w:pos="284"/>
        </w:tabs>
        <w:adjustRightInd/>
        <w:spacing w:before="0" w:after="0"/>
        <w:ind w:left="426" w:hanging="284"/>
        <w:textAlignment w:val="auto"/>
        <w:rPr>
          <w:szCs w:val="24"/>
        </w:rPr>
      </w:pPr>
      <w:r w:rsidRPr="0097451D">
        <w:rPr>
          <w:szCs w:val="24"/>
        </w:rPr>
        <w:lastRenderedPageBreak/>
        <w:t>poniesione straty z tytułu zaboru mienia lub uszkodzenia aktywów,</w:t>
      </w:r>
    </w:p>
    <w:p w14:paraId="69B334FA" w14:textId="77777777" w:rsidR="007A3621" w:rsidRPr="0097451D" w:rsidRDefault="007A3621" w:rsidP="003B3DA4">
      <w:pPr>
        <w:pStyle w:val="Tekstkomentarza"/>
        <w:widowControl/>
        <w:numPr>
          <w:ilvl w:val="0"/>
          <w:numId w:val="59"/>
        </w:numPr>
        <w:tabs>
          <w:tab w:val="left" w:pos="284"/>
        </w:tabs>
        <w:adjustRightInd/>
        <w:spacing w:before="0" w:after="0"/>
        <w:ind w:left="426" w:hanging="284"/>
        <w:textAlignment w:val="auto"/>
        <w:rPr>
          <w:szCs w:val="24"/>
        </w:rPr>
      </w:pPr>
      <w:r w:rsidRPr="0097451D">
        <w:rPr>
          <w:szCs w:val="24"/>
        </w:rPr>
        <w:t>inne pozycje kosztowe związane z incydentami, które wystąpiły w Banku w ramach ryzyka operacyjnego</w:t>
      </w:r>
      <w:r w:rsidR="00756A58" w:rsidRPr="0097451D">
        <w:rPr>
          <w:szCs w:val="24"/>
          <w:lang w:val="pl-PL"/>
        </w:rPr>
        <w:t>,</w:t>
      </w:r>
      <w:r w:rsidRPr="0097451D">
        <w:rPr>
          <w:szCs w:val="24"/>
        </w:rPr>
        <w:t xml:space="preserve"> zarejestrowane w systemie do ewidencji zdarzeń operacyjnych.</w:t>
      </w:r>
    </w:p>
    <w:p w14:paraId="1B044718" w14:textId="77777777" w:rsidR="007A3621" w:rsidRPr="0097451D" w:rsidRDefault="007A3621" w:rsidP="002E2D69">
      <w:pPr>
        <w:pStyle w:val="Tekstkomentarza"/>
        <w:widowControl/>
        <w:tabs>
          <w:tab w:val="left" w:pos="0"/>
        </w:tabs>
        <w:adjustRightInd/>
        <w:spacing w:before="0" w:after="0"/>
        <w:textAlignment w:val="auto"/>
        <w:rPr>
          <w:szCs w:val="24"/>
        </w:rPr>
      </w:pPr>
      <w:r w:rsidRPr="0097451D">
        <w:rPr>
          <w:szCs w:val="24"/>
        </w:rPr>
        <w:t>Powyższe straty wykazywane są według faktycznej wielkości netto na dzień analizy.</w:t>
      </w:r>
    </w:p>
    <w:p w14:paraId="0E282941" w14:textId="77777777" w:rsidR="007A3621" w:rsidRPr="0097451D" w:rsidRDefault="007A3621" w:rsidP="002E2D69">
      <w:pPr>
        <w:pStyle w:val="Tekstkomentarza"/>
        <w:widowControl/>
        <w:tabs>
          <w:tab w:val="left" w:pos="0"/>
        </w:tabs>
        <w:adjustRightInd/>
        <w:spacing w:before="0" w:after="0"/>
        <w:textAlignment w:val="auto"/>
        <w:rPr>
          <w:szCs w:val="24"/>
          <w:lang w:val="pl-PL"/>
        </w:rPr>
      </w:pPr>
      <w:r w:rsidRPr="0097451D">
        <w:rPr>
          <w:szCs w:val="24"/>
        </w:rPr>
        <w:tab/>
        <w:t>Bank dokonuje analizy porównawczej poniesionych oraz potencjalnych strat</w:t>
      </w:r>
      <w:r w:rsidRPr="0097451D">
        <w:rPr>
          <w:szCs w:val="24"/>
          <w:lang w:val="pl-PL"/>
        </w:rPr>
        <w:t xml:space="preserve"> wynikających z zastosowania testów warunków skrajnych</w:t>
      </w:r>
      <w:r w:rsidRPr="0097451D">
        <w:rPr>
          <w:szCs w:val="24"/>
        </w:rPr>
        <w:t xml:space="preserve">, z wyliczonym zgodnie z zasadami dla Filaru I wymogiem kapitałowym na ryzyko operacyjne. </w:t>
      </w:r>
      <w:r w:rsidRPr="0097451D">
        <w:rPr>
          <w:szCs w:val="24"/>
          <w:lang w:val="pl-PL"/>
        </w:rPr>
        <w:t>W</w:t>
      </w:r>
      <w:r w:rsidRPr="0097451D">
        <w:rPr>
          <w:szCs w:val="24"/>
        </w:rPr>
        <w:t xml:space="preserve"> przypadku przekroczeni</w:t>
      </w:r>
      <w:r w:rsidRPr="0097451D">
        <w:rPr>
          <w:szCs w:val="24"/>
          <w:lang w:val="pl-PL"/>
        </w:rPr>
        <w:t>a sumy</w:t>
      </w:r>
      <w:r w:rsidRPr="0097451D">
        <w:rPr>
          <w:szCs w:val="24"/>
        </w:rPr>
        <w:t xml:space="preserve"> strat </w:t>
      </w:r>
      <w:r w:rsidRPr="0097451D">
        <w:rPr>
          <w:szCs w:val="24"/>
          <w:lang w:val="pl-PL"/>
        </w:rPr>
        <w:t xml:space="preserve">operacyjnych z uwzględnieniem testów warunków skrajnych  wyliczonego wymogu kapitałowego w Filarze I </w:t>
      </w:r>
      <w:r w:rsidRPr="0097451D">
        <w:rPr>
          <w:szCs w:val="24"/>
        </w:rPr>
        <w:t>Bank uznaje, że wymóg kapitałowy wyliczony według zasad Filaru I na pokrycie ryzyka operacyjnego</w:t>
      </w:r>
      <w:r w:rsidR="00756A58" w:rsidRPr="0097451D">
        <w:rPr>
          <w:szCs w:val="24"/>
          <w:lang w:val="pl-PL"/>
        </w:rPr>
        <w:t>,</w:t>
      </w:r>
      <w:r w:rsidRPr="0097451D">
        <w:rPr>
          <w:szCs w:val="24"/>
        </w:rPr>
        <w:t xml:space="preserve"> jest niewystarczający i w konsekwencji wyznacza dodatkowy wewnętrzny wymóg kapitałowy z tego tytułu.</w:t>
      </w:r>
    </w:p>
    <w:p w14:paraId="35C36BAB" w14:textId="77777777" w:rsidR="007A3621" w:rsidRPr="0097451D" w:rsidRDefault="007A3621" w:rsidP="002E2D69">
      <w:pPr>
        <w:pStyle w:val="Tekstkomentarza"/>
        <w:widowControl/>
        <w:tabs>
          <w:tab w:val="left" w:pos="0"/>
        </w:tabs>
        <w:adjustRightInd/>
        <w:spacing w:before="0" w:after="0"/>
        <w:textAlignment w:val="auto"/>
        <w:rPr>
          <w:szCs w:val="24"/>
        </w:rPr>
      </w:pPr>
      <w:r w:rsidRPr="0097451D">
        <w:rPr>
          <w:szCs w:val="24"/>
        </w:rPr>
        <w:tab/>
        <w:t>Dodatkowy wewnętrzny wymóg kapitałowy z tytułu ryzyka operacyjnego ustalany jest w kwocie stanowiącej różnicę pomiędzy ponies</w:t>
      </w:r>
      <w:r w:rsidR="00756A58" w:rsidRPr="0097451D">
        <w:rPr>
          <w:szCs w:val="24"/>
        </w:rPr>
        <w:t>ionymi i potencjalnymi stratami</w:t>
      </w:r>
      <w:r w:rsidRPr="0097451D">
        <w:rPr>
          <w:szCs w:val="24"/>
        </w:rPr>
        <w:t xml:space="preserve"> a wymogiem wyliczonym w ramach Filaru I.</w:t>
      </w:r>
    </w:p>
    <w:p w14:paraId="25065CC9" w14:textId="77777777" w:rsidR="007A3621" w:rsidRPr="00065790" w:rsidRDefault="007A3621" w:rsidP="007A3621">
      <w:pPr>
        <w:spacing w:after="0" w:line="264" w:lineRule="auto"/>
        <w:rPr>
          <w:rFonts w:ascii="Times New Roman" w:hAnsi="Times New Roman" w:cs="Times New Roman"/>
          <w:color w:val="FF0000"/>
          <w:szCs w:val="24"/>
        </w:rPr>
      </w:pPr>
    </w:p>
    <w:p w14:paraId="00224073" w14:textId="77777777" w:rsidR="002C50F6" w:rsidRPr="0097451D" w:rsidRDefault="00E81BF6">
      <w:pPr>
        <w:spacing w:after="248" w:line="259" w:lineRule="auto"/>
        <w:ind w:left="-5" w:right="0"/>
        <w:jc w:val="left"/>
        <w:rPr>
          <w:rFonts w:ascii="Times New Roman" w:hAnsi="Times New Roman" w:cs="Times New Roman"/>
          <w:color w:val="auto"/>
        </w:rPr>
      </w:pPr>
      <w:r w:rsidRPr="0097451D">
        <w:rPr>
          <w:rFonts w:ascii="Times New Roman" w:hAnsi="Times New Roman" w:cs="Times New Roman"/>
          <w:b/>
          <w:color w:val="auto"/>
        </w:rPr>
        <w:t>KAPITAŁ WEWNĘTRZNY NA RYZYKO RYNKOWE</w:t>
      </w:r>
    </w:p>
    <w:p w14:paraId="3D0F1C72" w14:textId="6F9A192C" w:rsidR="007A3621" w:rsidRPr="0097451D" w:rsidRDefault="002E2D69" w:rsidP="002E2D69">
      <w:pPr>
        <w:pStyle w:val="Tekstkomentarza"/>
        <w:widowControl/>
        <w:tabs>
          <w:tab w:val="left" w:pos="0"/>
        </w:tabs>
        <w:adjustRightInd/>
        <w:spacing w:before="0" w:after="0"/>
        <w:textAlignment w:val="auto"/>
        <w:rPr>
          <w:szCs w:val="24"/>
        </w:rPr>
      </w:pPr>
      <w:r w:rsidRPr="0097451D">
        <w:rPr>
          <w:szCs w:val="24"/>
        </w:rPr>
        <w:tab/>
      </w:r>
      <w:r w:rsidR="007A3621" w:rsidRPr="0097451D">
        <w:rPr>
          <w:szCs w:val="24"/>
        </w:rPr>
        <w:t xml:space="preserve">Badaniu podlega wymóg kapitałowy na ryzyko rynkowe w ramach Filaru I wyznaczony przez Bank na przestrzeni ostatnich </w:t>
      </w:r>
      <w:r w:rsidR="002D6831" w:rsidRPr="0097451D">
        <w:rPr>
          <w:szCs w:val="24"/>
          <w:lang w:val="pl-PL"/>
        </w:rPr>
        <w:t>3</w:t>
      </w:r>
      <w:r w:rsidR="007A3621" w:rsidRPr="0097451D">
        <w:rPr>
          <w:szCs w:val="24"/>
        </w:rPr>
        <w:t xml:space="preserve"> miesięcy poprzedzających datę analizy.</w:t>
      </w:r>
    </w:p>
    <w:p w14:paraId="07C322C0" w14:textId="77777777" w:rsidR="007A3621" w:rsidRPr="0097451D" w:rsidRDefault="007A3621" w:rsidP="002E2D69">
      <w:pPr>
        <w:pStyle w:val="Tekstkomentarza"/>
        <w:widowControl/>
        <w:tabs>
          <w:tab w:val="left" w:pos="0"/>
        </w:tabs>
        <w:adjustRightInd/>
        <w:spacing w:before="0" w:after="0"/>
        <w:textAlignment w:val="auto"/>
        <w:rPr>
          <w:szCs w:val="24"/>
        </w:rPr>
      </w:pPr>
      <w:r w:rsidRPr="0097451D">
        <w:rPr>
          <w:szCs w:val="24"/>
        </w:rPr>
        <w:t>Ze względu na skalę prowadzonej działalności, ryzyko rynkowe w warunkach Banku ograniczone jest do ryzyka walutowego.</w:t>
      </w:r>
    </w:p>
    <w:p w14:paraId="6418DFBD" w14:textId="65D5D4F1" w:rsidR="007A3621" w:rsidRPr="0097451D" w:rsidRDefault="007A3621" w:rsidP="002E2D69">
      <w:pPr>
        <w:pStyle w:val="Tekstkomentarza"/>
        <w:widowControl/>
        <w:tabs>
          <w:tab w:val="left" w:pos="0"/>
        </w:tabs>
        <w:adjustRightInd/>
        <w:spacing w:before="0" w:after="0"/>
        <w:textAlignment w:val="auto"/>
        <w:rPr>
          <w:szCs w:val="24"/>
        </w:rPr>
      </w:pPr>
      <w:r w:rsidRPr="0097451D">
        <w:rPr>
          <w:szCs w:val="24"/>
        </w:rPr>
        <w:tab/>
        <w:t xml:space="preserve">Jeśli wymóg kapitałowy z tytułu ryzyka rynkowego na przestrzeni ostatnich </w:t>
      </w:r>
      <w:r w:rsidR="002D6831" w:rsidRPr="0097451D">
        <w:rPr>
          <w:szCs w:val="24"/>
          <w:lang w:val="pl-PL"/>
        </w:rPr>
        <w:t>3</w:t>
      </w:r>
      <w:r w:rsidRPr="0097451D">
        <w:rPr>
          <w:szCs w:val="24"/>
        </w:rPr>
        <w:t xml:space="preserve"> miesięcy nie przekroczył</w:t>
      </w:r>
      <w:r w:rsidR="00E346E7" w:rsidRPr="0097451D">
        <w:rPr>
          <w:szCs w:val="24"/>
        </w:rPr>
        <w:t xml:space="preserve"> w żadnym z badanych miesięcy 1</w:t>
      </w:r>
      <w:r w:rsidRPr="0097451D">
        <w:rPr>
          <w:szCs w:val="24"/>
        </w:rPr>
        <w:t xml:space="preserve">% posiadanych przez Bank funduszy własnych oraz jednocześnie średnia z tego okresu nie przekroczyła </w:t>
      </w:r>
      <w:r w:rsidR="00E346E7" w:rsidRPr="0097451D">
        <w:rPr>
          <w:szCs w:val="24"/>
          <w:lang w:val="pl-PL"/>
        </w:rPr>
        <w:t>0,</w:t>
      </w:r>
      <w:r w:rsidRPr="0097451D">
        <w:rPr>
          <w:szCs w:val="24"/>
        </w:rPr>
        <w:t>5% fun</w:t>
      </w:r>
      <w:r w:rsidR="00756A58" w:rsidRPr="0097451D">
        <w:rPr>
          <w:szCs w:val="24"/>
        </w:rPr>
        <w:t>duszy własnych, Bank uznaje, że </w:t>
      </w:r>
      <w:r w:rsidRPr="0097451D">
        <w:rPr>
          <w:szCs w:val="24"/>
        </w:rPr>
        <w:t>wymóg kapitałowy na ryzyko rynkowe wyliczony według zasad Filaru I jest wystarczający i</w:t>
      </w:r>
      <w:r w:rsidR="00756A58" w:rsidRPr="0097451D">
        <w:rPr>
          <w:szCs w:val="24"/>
        </w:rPr>
        <w:t> </w:t>
      </w:r>
      <w:r w:rsidRPr="0097451D">
        <w:rPr>
          <w:szCs w:val="24"/>
        </w:rPr>
        <w:t>nie wyznacza wewnętrznego wymogu z tego tytułu.</w:t>
      </w:r>
    </w:p>
    <w:p w14:paraId="294C3425" w14:textId="77777777" w:rsidR="007A3621" w:rsidRPr="00065790" w:rsidRDefault="007A3621">
      <w:pPr>
        <w:spacing w:after="248" w:line="259" w:lineRule="auto"/>
        <w:ind w:left="-5" w:right="0"/>
        <w:jc w:val="left"/>
        <w:rPr>
          <w:rFonts w:ascii="Times New Roman" w:hAnsi="Times New Roman" w:cs="Times New Roman"/>
          <w:b/>
          <w:color w:val="FF0000"/>
        </w:rPr>
      </w:pPr>
    </w:p>
    <w:p w14:paraId="6B794B27" w14:textId="77777777" w:rsidR="007A3621" w:rsidRPr="0097451D" w:rsidRDefault="007A3621" w:rsidP="00C84EDD">
      <w:pPr>
        <w:spacing w:after="248" w:line="259" w:lineRule="auto"/>
        <w:ind w:left="-5" w:right="0"/>
        <w:rPr>
          <w:rFonts w:ascii="Times New Roman" w:hAnsi="Times New Roman" w:cs="Times New Roman"/>
          <w:color w:val="auto"/>
        </w:rPr>
      </w:pPr>
      <w:r w:rsidRPr="0097451D">
        <w:rPr>
          <w:rFonts w:ascii="Times New Roman" w:hAnsi="Times New Roman" w:cs="Times New Roman"/>
          <w:b/>
          <w:color w:val="auto"/>
        </w:rPr>
        <w:t xml:space="preserve">KAPITAŁ WEWNĘTRZNY NA RYZYKO STOPY PROCENTOWEJ W KSIĘDZE BANKOWEJ  </w:t>
      </w:r>
    </w:p>
    <w:p w14:paraId="2744FD99" w14:textId="77777777" w:rsidR="007A3621" w:rsidRPr="0097451D" w:rsidRDefault="007A3621" w:rsidP="002E2D69">
      <w:pPr>
        <w:pStyle w:val="Tekstkomentarza"/>
        <w:spacing w:before="0" w:after="0"/>
        <w:ind w:firstLine="708"/>
      </w:pPr>
      <w:r w:rsidRPr="0097451D">
        <w:t xml:space="preserve">Ze względu na nieznaczącą skalę działalności handlowej Banku, w rozumieniu Rozporządzenia, ryzyko stopy procentowej Bank wyznacza dla portfela handlowego i bankowego łącznie, według metodologii obowiązującej dla portfela bankowego. </w:t>
      </w:r>
    </w:p>
    <w:p w14:paraId="1CC195C0" w14:textId="77777777" w:rsidR="007A3621" w:rsidRPr="0097451D" w:rsidRDefault="007A3621" w:rsidP="002E2D69">
      <w:pPr>
        <w:pStyle w:val="Tekstkomentarza"/>
        <w:spacing w:before="0" w:after="0"/>
      </w:pPr>
      <w:r w:rsidRPr="0097451D">
        <w:t>Ryzyko stopy procentowej wiąże się przede wszystkim ze zmianą głównych stóp procentowych. Mając na uwadze, że przychody odsetkowe stanowią jeden z głównych elementów zysków Banku, niekorzystna, w stosunku do prognozowanych zmian stóp pr</w:t>
      </w:r>
      <w:r w:rsidR="00756A58" w:rsidRPr="0097451D">
        <w:t>ocentowych, struktura aktywów i </w:t>
      </w:r>
      <w:r w:rsidRPr="0097451D">
        <w:t xml:space="preserve">pasywów może mieć potencjalnie znaczący wpływ na zmniejszenie zysków i/lub funduszy własnych Banku.  </w:t>
      </w:r>
    </w:p>
    <w:p w14:paraId="499A9EF2" w14:textId="77777777" w:rsidR="007A3621" w:rsidRPr="0097451D" w:rsidRDefault="007A3621" w:rsidP="002E2D69">
      <w:pPr>
        <w:pStyle w:val="Tekstkomentarza"/>
        <w:spacing w:before="0" w:after="0"/>
      </w:pPr>
      <w:r w:rsidRPr="0097451D">
        <w:t>Bank monitoruje ryzyko stopy procentowej i w zależności od otrzymanych wyników wyznacza wewnętrzny wymóg kapitałowy na pokrycie ryzyka stopy procentowej, z tytułu:</w:t>
      </w:r>
    </w:p>
    <w:p w14:paraId="4BD08C98" w14:textId="2A3C6CF8" w:rsidR="006E771E" w:rsidRPr="0097451D" w:rsidRDefault="007A3621" w:rsidP="003B3DA4">
      <w:pPr>
        <w:pStyle w:val="Tekstkomentarza"/>
        <w:numPr>
          <w:ilvl w:val="0"/>
          <w:numId w:val="64"/>
        </w:numPr>
        <w:spacing w:before="0" w:after="0"/>
      </w:pPr>
      <w:r w:rsidRPr="0097451D">
        <w:lastRenderedPageBreak/>
        <w:t xml:space="preserve">ryzyka </w:t>
      </w:r>
      <w:r w:rsidR="003422CC">
        <w:rPr>
          <w:lang w:val="pl-PL"/>
        </w:rPr>
        <w:t>niedopasowania</w:t>
      </w:r>
    </w:p>
    <w:p w14:paraId="73436518" w14:textId="2EF39ED0" w:rsidR="00546659" w:rsidRPr="0097451D" w:rsidRDefault="003422CC" w:rsidP="00546659">
      <w:pPr>
        <w:pStyle w:val="Tekstkomentarza"/>
        <w:spacing w:before="0" w:after="0"/>
      </w:pPr>
      <w:r w:rsidRPr="003422CC">
        <w:t xml:space="preserve">Do pomiaru ryzyka niedopasowania Bank stosuje analizę luki terminów przeszacowania, na bazie której badany jest potencjalny wpływ zmiany stóp procentowych na wynik odsetkowy w ciągu 12 miesięcy. Obliczenia przeprowadzane są według zasad opisanych w obowiązującej Instrukcji pomiaru, limitowania, raportowania i kontroli ryzyka stopy procentowej w Warmińsko-Mazurskim Banku Spółdzielczym. Zgodnie z rekomendacją KNF zakładana jest skala szokowej zmiany stóp procentowych o 200 </w:t>
      </w:r>
      <w:proofErr w:type="spellStart"/>
      <w:r w:rsidRPr="003422CC">
        <w:t>p.b</w:t>
      </w:r>
      <w:proofErr w:type="spellEnd"/>
      <w:r w:rsidRPr="003422CC">
        <w:t>. Symulacja ta przeprowadzana jest dla pozycji przeszacowujących się do 12 miesięcy. Dopuszczalny limit zmiany wyniku odsetkowego wynosi 15% sumy funduszy własnych banku.</w:t>
      </w:r>
      <w:r>
        <w:rPr>
          <w:lang w:val="pl-PL"/>
        </w:rPr>
        <w:t xml:space="preserve"> </w:t>
      </w:r>
      <w:r w:rsidR="00546659" w:rsidRPr="0097451D">
        <w:t xml:space="preserve">Wewnętrzny wymóg kapitałowy z tytułu ryzyka </w:t>
      </w:r>
      <w:r>
        <w:rPr>
          <w:lang w:val="pl-PL"/>
        </w:rPr>
        <w:t>niedopasowania</w:t>
      </w:r>
      <w:r w:rsidR="00546659" w:rsidRPr="0097451D">
        <w:t xml:space="preserve"> wyznaczany jest w wysokości stanowiącej nadwyżkę wyliczonych skutków zmian wartości ekonomicznej kapitałów ponad 15% funduszy własnych Banku.</w:t>
      </w:r>
    </w:p>
    <w:p w14:paraId="7B8A41C0" w14:textId="77777777" w:rsidR="007A3621" w:rsidRPr="0097451D" w:rsidRDefault="00546659" w:rsidP="003B3DA4">
      <w:pPr>
        <w:pStyle w:val="Tekstkomentarza"/>
        <w:numPr>
          <w:ilvl w:val="0"/>
          <w:numId w:val="64"/>
        </w:numPr>
        <w:spacing w:before="0" w:after="0"/>
      </w:pPr>
      <w:r w:rsidRPr="0097451D">
        <w:t>ryzyka bazowego</w:t>
      </w:r>
    </w:p>
    <w:p w14:paraId="020962A8" w14:textId="77777777" w:rsidR="00546659" w:rsidRPr="0097451D" w:rsidRDefault="00546659" w:rsidP="00546659">
      <w:pPr>
        <w:pStyle w:val="Tekstkomentarza"/>
        <w:spacing w:after="0"/>
      </w:pPr>
      <w:r w:rsidRPr="0097451D">
        <w:t>Bank dokonuje analizy ryzyka bazowego poprzez zestawienie skumulowanych luk niedopasowania według poszczególnych stawek bazowych.</w:t>
      </w:r>
    </w:p>
    <w:p w14:paraId="3D1A7CE8" w14:textId="77777777" w:rsidR="00546659" w:rsidRPr="0097451D" w:rsidRDefault="00546659" w:rsidP="00546659">
      <w:pPr>
        <w:pStyle w:val="Tekstkomentarza"/>
        <w:spacing w:after="0"/>
      </w:pPr>
      <w:r w:rsidRPr="0097451D">
        <w:t xml:space="preserve">Do sporządzania analizy Bank przyjmuje następujące założenia: </w:t>
      </w:r>
    </w:p>
    <w:p w14:paraId="3C369AC3" w14:textId="77777777" w:rsidR="00546659" w:rsidRPr="0097451D" w:rsidRDefault="00546659" w:rsidP="003B3DA4">
      <w:pPr>
        <w:pStyle w:val="Tekstkomentarza"/>
        <w:numPr>
          <w:ilvl w:val="0"/>
          <w:numId w:val="66"/>
        </w:numPr>
        <w:spacing w:after="0"/>
      </w:pPr>
      <w:r w:rsidRPr="0097451D">
        <w:t>Jako stawki bazowe (stopy referencyjne):</w:t>
      </w:r>
    </w:p>
    <w:p w14:paraId="15DC0A74" w14:textId="77777777" w:rsidR="00546659" w:rsidRPr="0097451D" w:rsidRDefault="00546659" w:rsidP="003B3DA4">
      <w:pPr>
        <w:pStyle w:val="Tekstkomentarza"/>
        <w:numPr>
          <w:ilvl w:val="0"/>
          <w:numId w:val="67"/>
        </w:numPr>
        <w:spacing w:after="0"/>
        <w:ind w:left="1134" w:hanging="283"/>
      </w:pPr>
      <w:r w:rsidRPr="0097451D">
        <w:t>stopę redyskontową weksli NBP (łącznie ze stopą redyskonta uwzględnia się również stopę lombardową),</w:t>
      </w:r>
    </w:p>
    <w:p w14:paraId="3589AEED" w14:textId="77777777" w:rsidR="00546659" w:rsidRPr="0097451D" w:rsidRDefault="00546659" w:rsidP="003B3DA4">
      <w:pPr>
        <w:pStyle w:val="Tekstkomentarza"/>
        <w:numPr>
          <w:ilvl w:val="0"/>
          <w:numId w:val="67"/>
        </w:numPr>
        <w:spacing w:after="0"/>
        <w:ind w:left="1134" w:hanging="283"/>
      </w:pPr>
      <w:r w:rsidRPr="0097451D">
        <w:t>stawkę WIBID/WIBOR (w tej grupie uwzględnia się również pozycje powiązane z rentownością bonów skarbowych jako stawki o bardzo zbliżonym charakterze);</w:t>
      </w:r>
    </w:p>
    <w:p w14:paraId="7E088912" w14:textId="77777777" w:rsidR="00546659" w:rsidRPr="0097451D" w:rsidRDefault="00546659" w:rsidP="003B3DA4">
      <w:pPr>
        <w:pStyle w:val="Tekstkomentarza"/>
        <w:numPr>
          <w:ilvl w:val="0"/>
          <w:numId w:val="66"/>
        </w:numPr>
        <w:spacing w:after="0"/>
      </w:pPr>
      <w:r w:rsidRPr="0097451D">
        <w:t>szokowe niedopasowanie zmiany stawek bazowych o 35 punktów bazowych;</w:t>
      </w:r>
    </w:p>
    <w:p w14:paraId="287F629D" w14:textId="77777777" w:rsidR="002A62F1" w:rsidRPr="0097451D" w:rsidRDefault="00546659" w:rsidP="003B3DA4">
      <w:pPr>
        <w:pStyle w:val="Tekstkomentarza"/>
        <w:numPr>
          <w:ilvl w:val="0"/>
          <w:numId w:val="66"/>
        </w:numPr>
        <w:spacing w:after="0"/>
      </w:pPr>
      <w:r w:rsidRPr="0097451D">
        <w:t>wyznaczana jest zmiana wyniku odsetkowego dla każdej stawk</w:t>
      </w:r>
      <w:r w:rsidR="002A62F1" w:rsidRPr="0097451D">
        <w:t>i bazowej o 35 punktów bazowych.</w:t>
      </w:r>
    </w:p>
    <w:p w14:paraId="39F6EA3E" w14:textId="00C8016E" w:rsidR="00546659" w:rsidRPr="0097451D" w:rsidRDefault="00716915" w:rsidP="002A62F1">
      <w:pPr>
        <w:pStyle w:val="Tekstkomentarza"/>
        <w:spacing w:after="0"/>
      </w:pPr>
      <w:r w:rsidRPr="0097451D">
        <w:rPr>
          <w:lang w:val="pl-PL"/>
        </w:rPr>
        <w:t>Ł</w:t>
      </w:r>
      <w:proofErr w:type="spellStart"/>
      <w:r w:rsidR="00C95CE0" w:rsidRPr="0097451D">
        <w:t>ączna</w:t>
      </w:r>
      <w:proofErr w:type="spellEnd"/>
      <w:r w:rsidR="00546659" w:rsidRPr="0097451D">
        <w:t xml:space="preserve"> wielkość zmiany wyniku odsetkowego z tytułu ryzyka bazowego stanowi sumę zmian wyniku odsetkowego dla każdej stawki bazowej. </w:t>
      </w:r>
    </w:p>
    <w:p w14:paraId="508511C2" w14:textId="77777777" w:rsidR="00546659" w:rsidRPr="0097451D" w:rsidRDefault="00546659" w:rsidP="00546659">
      <w:pPr>
        <w:pStyle w:val="Tekstkomentarza"/>
        <w:spacing w:after="0"/>
      </w:pPr>
      <w:r w:rsidRPr="0097451D">
        <w:t>W przypadku gdy zmiana oprocentowania o 35 punktów bazowych powoduje zm</w:t>
      </w:r>
      <w:r w:rsidR="0048628F" w:rsidRPr="0097451D">
        <w:t>ianę funduszy własnych o ponad 1</w:t>
      </w:r>
      <w:r w:rsidRPr="0097451D">
        <w:t>% Bank wyznacza wewnętrzny wymóg kapitałowy na pokrycie ryzyka bazowego.</w:t>
      </w:r>
    </w:p>
    <w:p w14:paraId="1C071306" w14:textId="1B8639F5" w:rsidR="00546659" w:rsidRPr="0097451D" w:rsidRDefault="00546659" w:rsidP="00546659">
      <w:pPr>
        <w:pStyle w:val="Tekstkomentarza"/>
        <w:spacing w:before="0" w:after="0"/>
      </w:pPr>
      <w:r w:rsidRPr="0097451D">
        <w:t xml:space="preserve">Wewnętrzny wymóg kapitałowy z tytułu ryzyka </w:t>
      </w:r>
      <w:r w:rsidR="003422CC">
        <w:rPr>
          <w:lang w:val="pl-PL"/>
        </w:rPr>
        <w:t>bazowego</w:t>
      </w:r>
      <w:r w:rsidRPr="0097451D">
        <w:t xml:space="preserve"> wyznaczany jest w wysokości stanowiącej nadwyżkę wyliczonych skutków zmian wartości </w:t>
      </w:r>
      <w:r w:rsidR="0048628F" w:rsidRPr="0097451D">
        <w:t>ekonomicznej kapitałów powyżej 1</w:t>
      </w:r>
      <w:r w:rsidRPr="0097451D">
        <w:t>% funduszy własnych Banku.</w:t>
      </w:r>
    </w:p>
    <w:p w14:paraId="567194F6" w14:textId="77777777" w:rsidR="007A3621" w:rsidRPr="0097451D" w:rsidRDefault="002025C5" w:rsidP="003B3DA4">
      <w:pPr>
        <w:pStyle w:val="Tekstkomentarza"/>
        <w:numPr>
          <w:ilvl w:val="0"/>
          <w:numId w:val="64"/>
        </w:numPr>
        <w:spacing w:before="0" w:after="0"/>
      </w:pPr>
      <w:r w:rsidRPr="0097451D">
        <w:t>ryzyko opcji klienta</w:t>
      </w:r>
    </w:p>
    <w:p w14:paraId="5E6C7BA7" w14:textId="77777777" w:rsidR="00546659" w:rsidRPr="0097451D" w:rsidRDefault="00546659" w:rsidP="00546659">
      <w:pPr>
        <w:pStyle w:val="Tekstkomentarza"/>
        <w:spacing w:after="0"/>
      </w:pPr>
      <w:r w:rsidRPr="0097451D">
        <w:t>Bank dokonuje analizy poziomu wykorzystywania opcji klienta zgodnie z obowiązującą Instrukcją pomiaru, limitowania raportowania i ryzyka stopy procentowej.</w:t>
      </w:r>
    </w:p>
    <w:p w14:paraId="02D0B127" w14:textId="77777777" w:rsidR="00546659" w:rsidRPr="0097451D" w:rsidRDefault="00546659" w:rsidP="00546659">
      <w:pPr>
        <w:pStyle w:val="Tekstkomentarza"/>
        <w:spacing w:after="0"/>
      </w:pPr>
      <w:r w:rsidRPr="0097451D">
        <w:t xml:space="preserve">Analiza ryzyka opcji klienta obejmuje ocenę </w:t>
      </w:r>
      <w:proofErr w:type="spellStart"/>
      <w:r w:rsidRPr="0097451D">
        <w:t>zrywalności</w:t>
      </w:r>
      <w:proofErr w:type="spellEnd"/>
      <w:r w:rsidRPr="0097451D">
        <w:t xml:space="preserve"> depozytów z opcją oraz stopnia spłacania  kredytów przed terminem.</w:t>
      </w:r>
    </w:p>
    <w:p w14:paraId="1B28E5D5" w14:textId="77777777" w:rsidR="00546659" w:rsidRPr="0097451D" w:rsidRDefault="00546659" w:rsidP="00546659">
      <w:pPr>
        <w:pStyle w:val="Tekstkomentarza"/>
        <w:spacing w:after="0"/>
      </w:pPr>
      <w:r w:rsidRPr="0097451D">
        <w:t>Jako znaczący poziom wykorzystania opcji klienta uznaje się sytuację, gdy:</w:t>
      </w:r>
    </w:p>
    <w:p w14:paraId="0B05ECDC" w14:textId="3FDA12C9" w:rsidR="00546659" w:rsidRPr="0097451D" w:rsidRDefault="00546659" w:rsidP="003B3DA4">
      <w:pPr>
        <w:pStyle w:val="Tekstkomentarza"/>
        <w:numPr>
          <w:ilvl w:val="1"/>
          <w:numId w:val="68"/>
        </w:numPr>
        <w:spacing w:after="0"/>
        <w:ind w:left="709" w:hanging="425"/>
      </w:pPr>
      <w:proofErr w:type="spellStart"/>
      <w:r w:rsidRPr="0097451D">
        <w:t>zrywalność</w:t>
      </w:r>
      <w:proofErr w:type="spellEnd"/>
      <w:r w:rsidRPr="0097451D">
        <w:t xml:space="preserve"> depozytów (z opcją) w miesiącu przekroczy poziom 2% kwoty depozytów </w:t>
      </w:r>
      <w:r w:rsidR="002D6831" w:rsidRPr="0097451D">
        <w:rPr>
          <w:lang w:val="pl-PL"/>
        </w:rPr>
        <w:lastRenderedPageBreak/>
        <w:t>terminowych</w:t>
      </w:r>
      <w:r w:rsidRPr="0097451D">
        <w:t>, lub</w:t>
      </w:r>
    </w:p>
    <w:p w14:paraId="7D5C5B2E" w14:textId="2C0F6FC1" w:rsidR="00546659" w:rsidRPr="0097451D" w:rsidRDefault="00546659" w:rsidP="003B3DA4">
      <w:pPr>
        <w:pStyle w:val="Tekstkomentarza"/>
        <w:numPr>
          <w:ilvl w:val="1"/>
          <w:numId w:val="68"/>
        </w:numPr>
        <w:spacing w:after="0"/>
        <w:ind w:left="709" w:hanging="425"/>
      </w:pPr>
      <w:r w:rsidRPr="0097451D">
        <w:t>łączna kwota kredytów spłacanych przed terminem w miesiąc  przekroczy poziom 2% kwoty kredytów</w:t>
      </w:r>
      <w:r w:rsidR="002D6831" w:rsidRPr="0097451D">
        <w:rPr>
          <w:lang w:val="pl-PL"/>
        </w:rPr>
        <w:t xml:space="preserve"> terminowych</w:t>
      </w:r>
      <w:r w:rsidRPr="0097451D">
        <w:t>.</w:t>
      </w:r>
    </w:p>
    <w:p w14:paraId="5B22FACE" w14:textId="77777777" w:rsidR="00546659" w:rsidRPr="0097451D" w:rsidRDefault="00546659" w:rsidP="00546659">
      <w:pPr>
        <w:pStyle w:val="Tekstkomentarza"/>
        <w:spacing w:before="0" w:after="0"/>
      </w:pPr>
      <w:r w:rsidRPr="0097451D">
        <w:t>Wymóg kapitałowy z tytułu ryzyka opcji klienta wyznaczany jest w wysokości równowartości kwot stanowiących przekroczenie poziomu dopuszczalnego narażenia Banku na ryzyko opcji klienta</w:t>
      </w:r>
      <w:r w:rsidRPr="0097451D">
        <w:rPr>
          <w:lang w:val="pl-PL"/>
        </w:rPr>
        <w:t xml:space="preserve">, </w:t>
      </w:r>
      <w:r w:rsidRPr="0097451D">
        <w:t xml:space="preserve"> z zastosowaniem wagi 8%.</w:t>
      </w:r>
    </w:p>
    <w:p w14:paraId="00CA4AAF" w14:textId="0FFE2410" w:rsidR="007A3621" w:rsidRPr="0097451D" w:rsidRDefault="007A3621" w:rsidP="002E2D69">
      <w:pPr>
        <w:pStyle w:val="Tekstpodstawowy"/>
        <w:spacing w:line="276" w:lineRule="auto"/>
        <w:jc w:val="both"/>
        <w:rPr>
          <w:rFonts w:ascii="Times New Roman" w:hAnsi="Times New Roman"/>
          <w:szCs w:val="24"/>
        </w:rPr>
      </w:pPr>
      <w:r w:rsidRPr="0097451D">
        <w:rPr>
          <w:rFonts w:ascii="Times New Roman" w:hAnsi="Times New Roman"/>
          <w:szCs w:val="24"/>
        </w:rPr>
        <w:t xml:space="preserve">Łączny wewnętrzny wymóg kapitałowy na  ryzyko stopy procentowej stanowi sumę wewnętrznych wymogów kapitałowych wyliczonych dla ryzyka </w:t>
      </w:r>
      <w:r w:rsidR="003422CC">
        <w:rPr>
          <w:rFonts w:ascii="Times New Roman" w:hAnsi="Times New Roman"/>
          <w:szCs w:val="24"/>
        </w:rPr>
        <w:t>niedopasowania</w:t>
      </w:r>
      <w:r w:rsidR="00716915" w:rsidRPr="0097451D">
        <w:rPr>
          <w:rFonts w:ascii="Times New Roman" w:hAnsi="Times New Roman"/>
          <w:szCs w:val="24"/>
        </w:rPr>
        <w:t>, ryzyka bazowego oraz ryzyko</w:t>
      </w:r>
      <w:r w:rsidRPr="0097451D">
        <w:rPr>
          <w:rFonts w:ascii="Times New Roman" w:hAnsi="Times New Roman"/>
          <w:szCs w:val="24"/>
        </w:rPr>
        <w:t xml:space="preserve"> opcji klienta.</w:t>
      </w:r>
      <w:r w:rsidR="00147006" w:rsidRPr="0097451D">
        <w:rPr>
          <w:rFonts w:ascii="Times New Roman" w:hAnsi="Times New Roman"/>
          <w:szCs w:val="24"/>
        </w:rPr>
        <w:t xml:space="preserve"> </w:t>
      </w:r>
    </w:p>
    <w:p w14:paraId="6B9FDCE9" w14:textId="77777777" w:rsidR="007A3621" w:rsidRPr="00065790" w:rsidRDefault="007A3621">
      <w:pPr>
        <w:spacing w:after="248" w:line="259" w:lineRule="auto"/>
        <w:ind w:left="-5" w:right="0"/>
        <w:jc w:val="left"/>
        <w:rPr>
          <w:rFonts w:ascii="Times New Roman" w:hAnsi="Times New Roman" w:cs="Times New Roman"/>
          <w:b/>
          <w:color w:val="FF0000"/>
        </w:rPr>
      </w:pPr>
    </w:p>
    <w:p w14:paraId="6EEABF78" w14:textId="77777777" w:rsidR="002C50F6" w:rsidRPr="0097451D" w:rsidRDefault="00E81BF6">
      <w:pPr>
        <w:spacing w:after="248" w:line="259" w:lineRule="auto"/>
        <w:ind w:left="-5" w:right="0"/>
        <w:jc w:val="left"/>
        <w:rPr>
          <w:rFonts w:ascii="Times New Roman" w:hAnsi="Times New Roman" w:cs="Times New Roman"/>
          <w:color w:val="auto"/>
        </w:rPr>
      </w:pPr>
      <w:r w:rsidRPr="0097451D">
        <w:rPr>
          <w:rFonts w:ascii="Times New Roman" w:hAnsi="Times New Roman" w:cs="Times New Roman"/>
          <w:b/>
          <w:color w:val="auto"/>
        </w:rPr>
        <w:t>KAPITAŁ WEWNĘTRZNY NA RYZYKO PŁYNNOŚCI</w:t>
      </w:r>
    </w:p>
    <w:p w14:paraId="7B953E2A" w14:textId="77777777" w:rsidR="002D6831" w:rsidRPr="0097451D" w:rsidRDefault="002D6831" w:rsidP="002D6831">
      <w:pPr>
        <w:pStyle w:val="Tekstkomentarza"/>
        <w:tabs>
          <w:tab w:val="num" w:pos="900"/>
        </w:tabs>
        <w:spacing w:before="120" w:after="0" w:line="240" w:lineRule="auto"/>
      </w:pPr>
      <w:r w:rsidRPr="0097451D">
        <w:rPr>
          <w:snapToGrid/>
        </w:rPr>
        <w:t>Do wyliczenia kapitału wewnętrznego</w:t>
      </w:r>
      <w:r w:rsidRPr="0097451D">
        <w:t xml:space="preserve"> z tytułu ryzyka płynności Bank przyjmuje następujące założenia:</w:t>
      </w:r>
    </w:p>
    <w:p w14:paraId="277ECA1E" w14:textId="77777777" w:rsidR="002D6831" w:rsidRPr="0097451D" w:rsidRDefault="002D6831" w:rsidP="003B3DA4">
      <w:pPr>
        <w:pStyle w:val="Tekstkomentarza"/>
        <w:numPr>
          <w:ilvl w:val="0"/>
          <w:numId w:val="76"/>
        </w:numPr>
        <w:spacing w:before="120" w:line="240" w:lineRule="auto"/>
        <w:ind w:left="1134" w:hanging="425"/>
        <w:rPr>
          <w:snapToGrid/>
        </w:rPr>
      </w:pPr>
      <w:r w:rsidRPr="0097451D">
        <w:rPr>
          <w:snapToGrid/>
        </w:rPr>
        <w:t xml:space="preserve">Bank wylicza kapitał wewnętrzny z tytułu ryzyka płynności, wykorzystując </w:t>
      </w:r>
      <w:r w:rsidRPr="0097451D">
        <w:rPr>
          <w:snapToGrid/>
          <w:lang w:val="pl-PL"/>
        </w:rPr>
        <w:t>wskaźnik LCR</w:t>
      </w:r>
      <w:r w:rsidRPr="0097451D">
        <w:rPr>
          <w:snapToGrid/>
        </w:rPr>
        <w:t xml:space="preserve"> wyznacza</w:t>
      </w:r>
      <w:r w:rsidRPr="0097451D">
        <w:rPr>
          <w:snapToGrid/>
          <w:lang w:val="pl-PL"/>
        </w:rPr>
        <w:t>ny</w:t>
      </w:r>
      <w:r w:rsidRPr="0097451D">
        <w:rPr>
          <w:snapToGrid/>
        </w:rPr>
        <w:t xml:space="preserve">zgodnie z </w:t>
      </w:r>
      <w:r w:rsidRPr="0097451D">
        <w:rPr>
          <w:i/>
          <w:snapToGrid/>
        </w:rPr>
        <w:t xml:space="preserve">Instrukcją </w:t>
      </w:r>
      <w:r w:rsidRPr="0097451D">
        <w:rPr>
          <w:i/>
          <w:snapToGrid/>
          <w:lang w:val="pl-PL"/>
        </w:rPr>
        <w:t xml:space="preserve">Zasady </w:t>
      </w:r>
      <w:r w:rsidRPr="0097451D">
        <w:rPr>
          <w:i/>
          <w:snapToGrid/>
        </w:rPr>
        <w:t>zarządzania ryzykiem płynności w Warmińsko – Mazurskim Banku Spółdzielczym</w:t>
      </w:r>
      <w:r w:rsidRPr="0097451D">
        <w:rPr>
          <w:snapToGrid/>
        </w:rPr>
        <w:t>;</w:t>
      </w:r>
    </w:p>
    <w:p w14:paraId="461CBA4A" w14:textId="77777777" w:rsidR="002D6831" w:rsidRPr="0097451D" w:rsidRDefault="002D6831" w:rsidP="003B3DA4">
      <w:pPr>
        <w:pStyle w:val="Tekstkomentarza"/>
        <w:numPr>
          <w:ilvl w:val="0"/>
          <w:numId w:val="76"/>
        </w:numPr>
        <w:spacing w:before="120" w:line="240" w:lineRule="auto"/>
        <w:ind w:left="1134" w:hanging="425"/>
        <w:rPr>
          <w:snapToGrid/>
        </w:rPr>
      </w:pPr>
      <w:r w:rsidRPr="0097451D">
        <w:rPr>
          <w:snapToGrid/>
        </w:rPr>
        <w:t>W celu wyliczenia wewnętrznego wymogu kapitałowego na pokrycie ryzyka płynności Bank bada, jak wypływ depozytów, w okresie do 30 dni, oszacowany w oparciu o test</w:t>
      </w:r>
      <w:r w:rsidRPr="0097451D">
        <w:rPr>
          <w:snapToGrid/>
          <w:lang w:val="pl-PL"/>
        </w:rPr>
        <w:t xml:space="preserve"> warunków skrajnych</w:t>
      </w:r>
      <w:r w:rsidRPr="0097451D">
        <w:rPr>
          <w:snapToGrid/>
        </w:rPr>
        <w:t xml:space="preserve"> wpłynie na wskaźnik LCR.</w:t>
      </w:r>
    </w:p>
    <w:p w14:paraId="5723771B" w14:textId="77777777" w:rsidR="002D6831" w:rsidRPr="0097451D" w:rsidRDefault="002D6831" w:rsidP="003B3DA4">
      <w:pPr>
        <w:pStyle w:val="Tekstkomentarza"/>
        <w:numPr>
          <w:ilvl w:val="0"/>
          <w:numId w:val="76"/>
        </w:numPr>
        <w:spacing w:before="120" w:line="240" w:lineRule="auto"/>
        <w:ind w:left="1134" w:hanging="425"/>
        <w:rPr>
          <w:snapToGrid/>
        </w:rPr>
      </w:pPr>
      <w:r w:rsidRPr="0097451D">
        <w:rPr>
          <w:snapToGrid/>
        </w:rPr>
        <w:t>Koszt przywrócenia wskaźnika LCR do minimalnego, wymaganego przepisami poziomu, stanowiący jednocześnie podstawę do oszacowania kapitału wewnętrznego, obliczany jest według następujących zasad:</w:t>
      </w:r>
    </w:p>
    <w:p w14:paraId="069D38EE" w14:textId="77777777" w:rsidR="002D6831" w:rsidRPr="0097451D" w:rsidRDefault="002D6831" w:rsidP="003B3DA4">
      <w:pPr>
        <w:pStyle w:val="Tekstkomentarza"/>
        <w:numPr>
          <w:ilvl w:val="6"/>
          <w:numId w:val="75"/>
        </w:numPr>
        <w:spacing w:before="120" w:line="240" w:lineRule="auto"/>
        <w:ind w:left="1418" w:hanging="284"/>
        <w:rPr>
          <w:snapToGrid/>
        </w:rPr>
      </w:pPr>
      <w:r w:rsidRPr="0097451D">
        <w:rPr>
          <w:snapToGrid/>
        </w:rPr>
        <w:t>skorygowanie wskaźnika LCR poprzez zamianę kwoty z tytułu wypływu depozytów na kwotę wynikającą z ust. 1;</w:t>
      </w:r>
    </w:p>
    <w:p w14:paraId="589DA813" w14:textId="77777777" w:rsidR="002D6831" w:rsidRPr="0097451D" w:rsidRDefault="002D6831" w:rsidP="003B3DA4">
      <w:pPr>
        <w:pStyle w:val="Tekstkomentarza"/>
        <w:numPr>
          <w:ilvl w:val="6"/>
          <w:numId w:val="75"/>
        </w:numPr>
        <w:spacing w:before="120" w:line="240" w:lineRule="auto"/>
        <w:ind w:left="1418" w:hanging="284"/>
        <w:rPr>
          <w:snapToGrid/>
        </w:rPr>
      </w:pPr>
      <w:r w:rsidRPr="0097451D">
        <w:rPr>
          <w:snapToGrid/>
        </w:rPr>
        <w:t>wyznaczenie brakującej kwoty aktywów płynnych, jeżeli wypływ depozytów spowoduje spadek wskaźnika LCR poniżej minimalnego, wymaganego przepisami poziomu;</w:t>
      </w:r>
    </w:p>
    <w:p w14:paraId="3345C1C9" w14:textId="77777777" w:rsidR="002D6831" w:rsidRPr="0097451D" w:rsidRDefault="002D6831" w:rsidP="003B3DA4">
      <w:pPr>
        <w:pStyle w:val="Tekstkomentarza"/>
        <w:numPr>
          <w:ilvl w:val="6"/>
          <w:numId w:val="75"/>
        </w:numPr>
        <w:spacing w:before="120" w:line="240" w:lineRule="auto"/>
        <w:ind w:left="1418" w:hanging="284"/>
        <w:rPr>
          <w:snapToGrid/>
        </w:rPr>
      </w:pPr>
      <w:r w:rsidRPr="0097451D">
        <w:rPr>
          <w:snapToGrid/>
        </w:rPr>
        <w:t>wyznaczenie kosztu (w skali 12 miesięcy) jako: iloczyn kwoty niedoboru, o której mowa w pkt 2 oraz różnicy stawek pomiędzy oprocentowaniem kredytu w rachunku bieżącym, a stawką oprocentowania oferowaną dla lokat terminowych składanych w Banku BPS lub innym banku na okres 1 miesiąca włącznie - stawki aktualne na dzień analizy.</w:t>
      </w:r>
    </w:p>
    <w:p w14:paraId="1628108B" w14:textId="77777777" w:rsidR="002D6831" w:rsidRPr="0097451D" w:rsidRDefault="002D6831" w:rsidP="003B3DA4">
      <w:pPr>
        <w:pStyle w:val="Tekstkomentarza"/>
        <w:numPr>
          <w:ilvl w:val="0"/>
          <w:numId w:val="76"/>
        </w:numPr>
        <w:spacing w:before="120" w:line="240" w:lineRule="auto"/>
        <w:ind w:left="1276" w:hanging="709"/>
        <w:rPr>
          <w:snapToGrid/>
        </w:rPr>
      </w:pPr>
      <w:r w:rsidRPr="0097451D">
        <w:rPr>
          <w:snapToGrid/>
        </w:rPr>
        <w:t xml:space="preserve">W przypadku, gdy roczny koszt utrzymania wskaźnika, przy założeniu zaistnienia sytuacji szokowej przekroczy </w:t>
      </w:r>
      <w:r w:rsidRPr="0097451D">
        <w:rPr>
          <w:snapToGrid/>
          <w:lang w:val="pl-PL"/>
        </w:rPr>
        <w:t>1</w:t>
      </w:r>
      <w:r w:rsidRPr="0097451D">
        <w:rPr>
          <w:snapToGrid/>
        </w:rPr>
        <w:t>% funduszy własnych Bank wyznacza wewnętrzny wymóg kapitałowy na pokrycie ryzyka płynności.</w:t>
      </w:r>
    </w:p>
    <w:p w14:paraId="38086FA2" w14:textId="77777777" w:rsidR="002D6831" w:rsidRPr="0097451D" w:rsidRDefault="002D6831">
      <w:pPr>
        <w:spacing w:after="248" w:line="259" w:lineRule="auto"/>
        <w:ind w:left="-5" w:right="0"/>
        <w:jc w:val="left"/>
        <w:rPr>
          <w:rFonts w:ascii="Times New Roman" w:hAnsi="Times New Roman" w:cs="Times New Roman"/>
          <w:b/>
          <w:color w:val="auto"/>
        </w:rPr>
      </w:pPr>
    </w:p>
    <w:p w14:paraId="193EEAB1" w14:textId="77777777" w:rsidR="00C95CE0" w:rsidRPr="0097451D" w:rsidRDefault="00C95CE0" w:rsidP="00C95CE0">
      <w:pPr>
        <w:pStyle w:val="Nagwek2"/>
        <w:spacing w:after="0" w:line="276" w:lineRule="auto"/>
        <w:ind w:left="0" w:right="7" w:firstLine="0"/>
        <w:rPr>
          <w:rFonts w:ascii="Times New Roman" w:hAnsi="Times New Roman" w:cs="Times New Roman"/>
          <w:color w:val="auto"/>
          <w:sz w:val="24"/>
          <w:szCs w:val="24"/>
        </w:rPr>
      </w:pPr>
      <w:bookmarkStart w:id="23" w:name="_Toc45286166"/>
      <w:bookmarkStart w:id="24" w:name="_Toc75336256"/>
      <w:r w:rsidRPr="0097451D">
        <w:rPr>
          <w:rFonts w:ascii="Times New Roman" w:hAnsi="Times New Roman" w:cs="Times New Roman"/>
          <w:color w:val="auto"/>
          <w:sz w:val="24"/>
          <w:szCs w:val="24"/>
        </w:rPr>
        <w:lastRenderedPageBreak/>
        <w:t>KAPITAŁ WEWNĘTRZNY NA RYZYKO BRAKU ZGODNOŚCI</w:t>
      </w:r>
      <w:bookmarkEnd w:id="23"/>
      <w:bookmarkEnd w:id="24"/>
      <w:r w:rsidRPr="0097451D">
        <w:rPr>
          <w:rFonts w:ascii="Times New Roman" w:hAnsi="Times New Roman" w:cs="Times New Roman"/>
          <w:color w:val="auto"/>
          <w:sz w:val="24"/>
          <w:szCs w:val="24"/>
        </w:rPr>
        <w:t xml:space="preserve">  </w:t>
      </w:r>
    </w:p>
    <w:p w14:paraId="1DBE50C2" w14:textId="195ED6C6" w:rsidR="00C95CE0" w:rsidRPr="0097451D" w:rsidRDefault="00C95CE0" w:rsidP="00C95CE0">
      <w:pPr>
        <w:pStyle w:val="Nagwek2"/>
        <w:spacing w:after="0" w:line="269" w:lineRule="auto"/>
        <w:ind w:left="-6" w:right="6" w:hanging="11"/>
        <w:rPr>
          <w:rFonts w:ascii="Times New Roman" w:hAnsi="Times New Roman" w:cs="Times New Roman"/>
          <w:b w:val="0"/>
          <w:color w:val="auto"/>
          <w:sz w:val="24"/>
          <w:szCs w:val="24"/>
        </w:rPr>
      </w:pPr>
      <w:bookmarkStart w:id="25" w:name="_Toc45286167"/>
      <w:bookmarkStart w:id="26" w:name="_Toc75336257"/>
      <w:r w:rsidRPr="0097451D">
        <w:rPr>
          <w:rFonts w:ascii="Times New Roman" w:hAnsi="Times New Roman" w:cs="Times New Roman"/>
          <w:b w:val="0"/>
          <w:color w:val="auto"/>
          <w:sz w:val="24"/>
          <w:szCs w:val="24"/>
        </w:rPr>
        <w:t xml:space="preserve">Bank dokonuje analizy  ryzyka braku zgodności oraz wylicza wymóg kapitałowy w oparciu o dane dotyczące strat finansowych i niefinansowych z tytułu ryzyka braku zgodności oraz innych danych pozyskanych z systemu AZRO mających związek z ryzykiem braku zgodności w okresach </w:t>
      </w:r>
      <w:r w:rsidR="0067053C" w:rsidRPr="0097451D">
        <w:rPr>
          <w:rFonts w:ascii="Times New Roman" w:hAnsi="Times New Roman" w:cs="Times New Roman"/>
          <w:b w:val="0"/>
          <w:color w:val="auto"/>
          <w:sz w:val="24"/>
          <w:szCs w:val="24"/>
        </w:rPr>
        <w:t>kwartalnych</w:t>
      </w:r>
      <w:r w:rsidRPr="0097451D">
        <w:rPr>
          <w:rFonts w:ascii="Times New Roman" w:hAnsi="Times New Roman" w:cs="Times New Roman"/>
          <w:b w:val="0"/>
          <w:color w:val="auto"/>
          <w:sz w:val="24"/>
          <w:szCs w:val="24"/>
        </w:rPr>
        <w:t xml:space="preserve">,  uwzględniając następujące grupy kosztów według stanu na ostatni dzień każdego </w:t>
      </w:r>
      <w:r w:rsidR="0067053C" w:rsidRPr="0097451D">
        <w:rPr>
          <w:rFonts w:ascii="Times New Roman" w:hAnsi="Times New Roman" w:cs="Times New Roman"/>
          <w:b w:val="0"/>
          <w:color w:val="auto"/>
          <w:sz w:val="24"/>
          <w:szCs w:val="24"/>
        </w:rPr>
        <w:t>kwartału</w:t>
      </w:r>
      <w:r w:rsidRPr="0097451D">
        <w:rPr>
          <w:rFonts w:ascii="Times New Roman" w:hAnsi="Times New Roman" w:cs="Times New Roman"/>
          <w:b w:val="0"/>
          <w:color w:val="auto"/>
          <w:sz w:val="24"/>
          <w:szCs w:val="24"/>
        </w:rPr>
        <w:t>:</w:t>
      </w:r>
      <w:bookmarkEnd w:id="25"/>
      <w:bookmarkEnd w:id="26"/>
    </w:p>
    <w:p w14:paraId="286E1FCC" w14:textId="77777777" w:rsidR="0067053C" w:rsidRPr="0097451D" w:rsidRDefault="0067053C" w:rsidP="003B3DA4">
      <w:pPr>
        <w:pStyle w:val="Tekstkomentarza"/>
        <w:numPr>
          <w:ilvl w:val="1"/>
          <w:numId w:val="77"/>
        </w:numPr>
        <w:spacing w:before="120" w:after="0" w:line="240" w:lineRule="auto"/>
        <w:ind w:left="567" w:hanging="283"/>
      </w:pPr>
      <w:r w:rsidRPr="0097451D">
        <w:t>odsetki karne,</w:t>
      </w:r>
    </w:p>
    <w:p w14:paraId="23C68E35" w14:textId="77777777" w:rsidR="0067053C" w:rsidRPr="0097451D" w:rsidRDefault="0067053C" w:rsidP="003B3DA4">
      <w:pPr>
        <w:pStyle w:val="Tekstkomentarza"/>
        <w:numPr>
          <w:ilvl w:val="1"/>
          <w:numId w:val="77"/>
        </w:numPr>
        <w:spacing w:before="120" w:after="0" w:line="240" w:lineRule="auto"/>
        <w:ind w:left="567" w:hanging="283"/>
      </w:pPr>
      <w:r w:rsidRPr="0097451D">
        <w:t>zapłacone kary umowne,</w:t>
      </w:r>
    </w:p>
    <w:p w14:paraId="134A4A78" w14:textId="77777777" w:rsidR="0067053C" w:rsidRPr="0097451D" w:rsidRDefault="0067053C" w:rsidP="003B3DA4">
      <w:pPr>
        <w:pStyle w:val="Tekstkomentarza"/>
        <w:numPr>
          <w:ilvl w:val="1"/>
          <w:numId w:val="77"/>
        </w:numPr>
        <w:spacing w:before="120" w:after="0" w:line="240" w:lineRule="auto"/>
        <w:ind w:left="567" w:hanging="283"/>
      </w:pPr>
      <w:r w:rsidRPr="0097451D">
        <w:t>zapłacone odszkodowania,</w:t>
      </w:r>
    </w:p>
    <w:p w14:paraId="24178E73" w14:textId="77777777" w:rsidR="0067053C" w:rsidRPr="0097451D" w:rsidRDefault="0067053C" w:rsidP="003B3DA4">
      <w:pPr>
        <w:pStyle w:val="Tekstkomentarza"/>
        <w:numPr>
          <w:ilvl w:val="1"/>
          <w:numId w:val="77"/>
        </w:numPr>
        <w:spacing w:before="120" w:after="0" w:line="240" w:lineRule="auto"/>
        <w:ind w:left="567" w:hanging="283"/>
      </w:pPr>
      <w:r w:rsidRPr="0097451D">
        <w:t xml:space="preserve">koszty procesów i pozwów sądowych wynikających z nieprzestrzegania regulacji prawnych i </w:t>
      </w:r>
      <w:proofErr w:type="spellStart"/>
      <w:r w:rsidRPr="0097451D">
        <w:t>zachowań</w:t>
      </w:r>
      <w:proofErr w:type="spellEnd"/>
      <w:r w:rsidRPr="0097451D">
        <w:t xml:space="preserve"> nieetycznych. </w:t>
      </w:r>
    </w:p>
    <w:p w14:paraId="03FABBDA" w14:textId="77777777" w:rsidR="00D6326F" w:rsidRPr="0097451D" w:rsidRDefault="00147006" w:rsidP="00147006">
      <w:pPr>
        <w:pStyle w:val="Nagwek2"/>
        <w:ind w:left="-5" w:right="7"/>
        <w:rPr>
          <w:rFonts w:ascii="Times New Roman" w:hAnsi="Times New Roman" w:cs="Times New Roman"/>
          <w:b w:val="0"/>
          <w:color w:val="auto"/>
          <w:sz w:val="24"/>
          <w:szCs w:val="24"/>
        </w:rPr>
      </w:pPr>
      <w:bookmarkStart w:id="27" w:name="_Toc45286168"/>
      <w:bookmarkStart w:id="28" w:name="_Toc75336258"/>
      <w:r w:rsidRPr="0097451D">
        <w:rPr>
          <w:rFonts w:ascii="Times New Roman" w:hAnsi="Times New Roman" w:cs="Times New Roman"/>
          <w:b w:val="0"/>
          <w:color w:val="auto"/>
          <w:sz w:val="24"/>
          <w:szCs w:val="24"/>
        </w:rPr>
        <w:t>Jeżeli w badanym okresie poniesione straty finansowe i niefinansowe Banku z tytułu ryzyka braku zgodności stanowią poniżej 2% kosztów ogółem Banku za ubiegły rok, wówczas Bank nie wylicza wymogu z tytułu tego ryzyka.</w:t>
      </w:r>
      <w:bookmarkEnd w:id="27"/>
      <w:bookmarkEnd w:id="28"/>
    </w:p>
    <w:p w14:paraId="45055E61" w14:textId="77777777" w:rsidR="002C50F6" w:rsidRPr="0097451D" w:rsidRDefault="00E81BF6" w:rsidP="000A5551">
      <w:pPr>
        <w:pStyle w:val="Nagwek2"/>
        <w:spacing w:line="269" w:lineRule="auto"/>
        <w:ind w:left="-6" w:right="6" w:hanging="11"/>
        <w:rPr>
          <w:rFonts w:ascii="Times New Roman" w:hAnsi="Times New Roman" w:cs="Times New Roman"/>
          <w:color w:val="auto"/>
        </w:rPr>
      </w:pPr>
      <w:bookmarkStart w:id="29" w:name="_Toc75336259"/>
      <w:r w:rsidRPr="0097451D">
        <w:rPr>
          <w:rFonts w:ascii="Times New Roman" w:hAnsi="Times New Roman" w:cs="Times New Roman"/>
          <w:color w:val="auto"/>
        </w:rPr>
        <w:t xml:space="preserve">5.2. Rezultaty stosowanego przez instytucję wewnętrznego procesu oceny adekwatności kapitałowej, w tym skład dodatkowych wymogów w zakresie funduszy własnych określonych na podstawie procesu przeglądu nadzorczego, o których </w:t>
      </w:r>
      <w:r w:rsidR="00C84EDD" w:rsidRPr="0097451D">
        <w:rPr>
          <w:rFonts w:ascii="Times New Roman" w:hAnsi="Times New Roman" w:cs="Times New Roman"/>
          <w:color w:val="auto"/>
        </w:rPr>
        <w:t>mowa w art. 104 ust. 1 lit. a) D</w:t>
      </w:r>
      <w:r w:rsidRPr="0097451D">
        <w:rPr>
          <w:rFonts w:ascii="Times New Roman" w:hAnsi="Times New Roman" w:cs="Times New Roman"/>
          <w:color w:val="auto"/>
        </w:rPr>
        <w:t>yrektywy 2013/36/UE</w:t>
      </w:r>
      <w:bookmarkEnd w:id="29"/>
    </w:p>
    <w:p w14:paraId="7A029450" w14:textId="77777777" w:rsidR="002C50F6" w:rsidRPr="0097451D" w:rsidRDefault="00E81BF6">
      <w:pPr>
        <w:spacing w:line="259" w:lineRule="auto"/>
        <w:ind w:left="-5" w:right="8"/>
        <w:rPr>
          <w:rFonts w:ascii="Times New Roman" w:hAnsi="Times New Roman" w:cs="Times New Roman"/>
          <w:color w:val="auto"/>
        </w:rPr>
      </w:pPr>
      <w:r w:rsidRPr="0097451D">
        <w:rPr>
          <w:rFonts w:ascii="Times New Roman" w:hAnsi="Times New Roman" w:cs="Times New Roman"/>
          <w:color w:val="auto"/>
        </w:rPr>
        <w:t>Nie dotyczy</w:t>
      </w:r>
      <w:r w:rsidR="00C84EDD" w:rsidRPr="0097451D">
        <w:rPr>
          <w:rFonts w:ascii="Times New Roman" w:hAnsi="Times New Roman" w:cs="Times New Roman"/>
          <w:color w:val="auto"/>
        </w:rPr>
        <w:t>.</w:t>
      </w:r>
    </w:p>
    <w:p w14:paraId="5000C28A" w14:textId="77777777" w:rsidR="002C50F6" w:rsidRPr="00342D91" w:rsidRDefault="00E81BF6">
      <w:pPr>
        <w:pStyle w:val="Nagwek2"/>
        <w:spacing w:after="224"/>
        <w:ind w:left="-5" w:right="7"/>
        <w:rPr>
          <w:rFonts w:ascii="Times New Roman" w:hAnsi="Times New Roman" w:cs="Times New Roman"/>
          <w:color w:val="auto"/>
        </w:rPr>
      </w:pPr>
      <w:bookmarkStart w:id="30" w:name="_Toc75336260"/>
      <w:r w:rsidRPr="00342D91">
        <w:rPr>
          <w:rFonts w:ascii="Times New Roman" w:hAnsi="Times New Roman" w:cs="Times New Roman"/>
          <w:color w:val="auto"/>
        </w:rPr>
        <w:t>5.3. Kwoty ekspozycji ważonych ryzykiem zgodnie z przepisami części trzeciej tytuł II rozdział 2 Rozporządzenia – 8 % kwot ekspozycji ważonych ryzykiem dla każdej kategorii ekspozycji określonej w art. 112 Rozporządzenia CRR</w:t>
      </w:r>
      <w:bookmarkEnd w:id="30"/>
    </w:p>
    <w:p w14:paraId="1E3CC44E" w14:textId="77777777" w:rsidR="00342D91" w:rsidRPr="007F07EA" w:rsidRDefault="00342D91" w:rsidP="00342D91">
      <w:pPr>
        <w:spacing w:after="3" w:line="259" w:lineRule="auto"/>
        <w:ind w:left="-5" w:right="0"/>
        <w:jc w:val="left"/>
        <w:rPr>
          <w:rFonts w:ascii="Times New Roman" w:hAnsi="Times New Roman" w:cs="Times New Roman"/>
          <w:i/>
          <w:color w:val="auto"/>
          <w:sz w:val="20"/>
        </w:rPr>
      </w:pPr>
      <w:r w:rsidRPr="007F07EA">
        <w:rPr>
          <w:rFonts w:ascii="Times New Roman" w:hAnsi="Times New Roman" w:cs="Times New Roman"/>
          <w:i/>
          <w:color w:val="auto"/>
          <w:sz w:val="20"/>
        </w:rPr>
        <w:t>Tabela – 8% kwot ekspozycji ważonej ryzykiem w podziale na klasy ekspozycji – 31.12.20</w:t>
      </w:r>
      <w:r>
        <w:rPr>
          <w:rFonts w:ascii="Times New Roman" w:hAnsi="Times New Roman" w:cs="Times New Roman"/>
          <w:i/>
          <w:color w:val="auto"/>
          <w:sz w:val="20"/>
        </w:rPr>
        <w:t>20</w:t>
      </w:r>
      <w:r w:rsidRPr="007F07EA">
        <w:rPr>
          <w:rFonts w:ascii="Times New Roman" w:hAnsi="Times New Roman" w:cs="Times New Roman"/>
          <w:i/>
          <w:color w:val="auto"/>
          <w:sz w:val="20"/>
        </w:rPr>
        <w:t xml:space="preserve"> r. (w tys. zł)</w:t>
      </w:r>
    </w:p>
    <w:tbl>
      <w:tblPr>
        <w:tblW w:w="9500" w:type="dxa"/>
        <w:tblCellMar>
          <w:left w:w="70" w:type="dxa"/>
          <w:right w:w="70" w:type="dxa"/>
        </w:tblCellMar>
        <w:tblLook w:val="04A0" w:firstRow="1" w:lastRow="0" w:firstColumn="1" w:lastColumn="0" w:noHBand="0" w:noVBand="1"/>
      </w:tblPr>
      <w:tblGrid>
        <w:gridCol w:w="286"/>
        <w:gridCol w:w="3360"/>
        <w:gridCol w:w="680"/>
        <w:gridCol w:w="660"/>
        <w:gridCol w:w="848"/>
        <w:gridCol w:w="804"/>
        <w:gridCol w:w="880"/>
        <w:gridCol w:w="1067"/>
        <w:gridCol w:w="1067"/>
      </w:tblGrid>
      <w:tr w:rsidR="00342D91" w:rsidRPr="00957E40" w14:paraId="1658CC63" w14:textId="77777777" w:rsidTr="00E275CE">
        <w:trPr>
          <w:trHeight w:val="1440"/>
        </w:trPr>
        <w:tc>
          <w:tcPr>
            <w:tcW w:w="260"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1C43B0D7" w14:textId="77777777" w:rsidR="00342D91" w:rsidRPr="00957E40" w:rsidRDefault="00342D91" w:rsidP="00E275CE">
            <w:pPr>
              <w:spacing w:after="0" w:line="240" w:lineRule="auto"/>
              <w:ind w:left="0" w:right="0" w:firstLine="0"/>
              <w:jc w:val="left"/>
              <w:rPr>
                <w:rFonts w:ascii="Arial Narrow" w:eastAsia="Times New Roman" w:hAnsi="Arial Narrow"/>
                <w:b/>
                <w:bCs/>
                <w:sz w:val="18"/>
                <w:szCs w:val="18"/>
              </w:rPr>
            </w:pPr>
            <w:r w:rsidRPr="00957E40">
              <w:rPr>
                <w:rFonts w:ascii="Arial Narrow" w:eastAsia="Times New Roman" w:hAnsi="Arial Narrow"/>
                <w:b/>
                <w:bCs/>
                <w:sz w:val="18"/>
                <w:szCs w:val="18"/>
              </w:rPr>
              <w:t> </w:t>
            </w:r>
          </w:p>
        </w:tc>
        <w:tc>
          <w:tcPr>
            <w:tcW w:w="3360" w:type="dxa"/>
            <w:tcBorders>
              <w:top w:val="single" w:sz="8" w:space="0" w:color="auto"/>
              <w:left w:val="nil"/>
              <w:bottom w:val="single" w:sz="8" w:space="0" w:color="auto"/>
              <w:right w:val="single" w:sz="8" w:space="0" w:color="auto"/>
            </w:tcBorders>
            <w:shd w:val="clear" w:color="000000" w:fill="D9E1F2"/>
            <w:noWrap/>
            <w:vAlign w:val="center"/>
            <w:hideMark/>
          </w:tcPr>
          <w:p w14:paraId="6BE3ED0A" w14:textId="77777777" w:rsidR="00342D91" w:rsidRPr="00957E40" w:rsidRDefault="00342D91" w:rsidP="00E275CE">
            <w:pPr>
              <w:spacing w:after="0" w:line="240" w:lineRule="auto"/>
              <w:ind w:left="0" w:right="0" w:firstLine="0"/>
              <w:jc w:val="left"/>
              <w:rPr>
                <w:rFonts w:ascii="Arial Narrow" w:eastAsia="Times New Roman" w:hAnsi="Arial Narrow"/>
                <w:b/>
                <w:bCs/>
                <w:sz w:val="18"/>
                <w:szCs w:val="18"/>
              </w:rPr>
            </w:pPr>
            <w:r w:rsidRPr="00957E40">
              <w:rPr>
                <w:rFonts w:ascii="Arial Narrow" w:eastAsia="Times New Roman" w:hAnsi="Arial Narrow"/>
                <w:b/>
                <w:bCs/>
                <w:sz w:val="18"/>
                <w:szCs w:val="18"/>
              </w:rPr>
              <w:t>Klasy ekspozycji:</w:t>
            </w:r>
          </w:p>
        </w:tc>
        <w:tc>
          <w:tcPr>
            <w:tcW w:w="680" w:type="dxa"/>
            <w:tcBorders>
              <w:top w:val="single" w:sz="8" w:space="0" w:color="auto"/>
              <w:left w:val="nil"/>
              <w:bottom w:val="single" w:sz="8" w:space="0" w:color="auto"/>
              <w:right w:val="single" w:sz="8" w:space="0" w:color="auto"/>
            </w:tcBorders>
            <w:shd w:val="clear" w:color="000000" w:fill="D9E1F2"/>
            <w:vAlign w:val="center"/>
            <w:hideMark/>
          </w:tcPr>
          <w:p w14:paraId="220976AC" w14:textId="77777777" w:rsidR="00342D91" w:rsidRPr="00957E40" w:rsidRDefault="00342D91" w:rsidP="00E275CE">
            <w:pPr>
              <w:spacing w:after="0" w:line="240" w:lineRule="auto"/>
              <w:ind w:left="0" w:right="0" w:firstLine="0"/>
              <w:jc w:val="center"/>
              <w:rPr>
                <w:rFonts w:ascii="Arial Narrow" w:eastAsia="Times New Roman" w:hAnsi="Arial Narrow"/>
                <w:b/>
                <w:bCs/>
                <w:sz w:val="16"/>
                <w:szCs w:val="16"/>
              </w:rPr>
            </w:pPr>
            <w:r w:rsidRPr="00957E40">
              <w:rPr>
                <w:rFonts w:ascii="Arial Narrow" w:eastAsia="Times New Roman" w:hAnsi="Arial Narrow"/>
                <w:b/>
                <w:bCs/>
                <w:sz w:val="16"/>
                <w:szCs w:val="16"/>
              </w:rPr>
              <w:t>waga ryzyka</w:t>
            </w:r>
          </w:p>
        </w:tc>
        <w:tc>
          <w:tcPr>
            <w:tcW w:w="660" w:type="dxa"/>
            <w:tcBorders>
              <w:top w:val="single" w:sz="8" w:space="0" w:color="auto"/>
              <w:left w:val="nil"/>
              <w:bottom w:val="single" w:sz="8" w:space="0" w:color="auto"/>
              <w:right w:val="single" w:sz="8" w:space="0" w:color="auto"/>
            </w:tcBorders>
            <w:shd w:val="clear" w:color="000000" w:fill="D9E1F2"/>
            <w:vAlign w:val="center"/>
            <w:hideMark/>
          </w:tcPr>
          <w:p w14:paraId="601A5676" w14:textId="77777777" w:rsidR="00342D91" w:rsidRPr="00957E40" w:rsidRDefault="00342D91" w:rsidP="00E275CE">
            <w:pPr>
              <w:spacing w:after="0" w:line="240" w:lineRule="auto"/>
              <w:ind w:left="0" w:right="0" w:firstLine="0"/>
              <w:jc w:val="center"/>
              <w:rPr>
                <w:rFonts w:ascii="Arial Narrow" w:eastAsia="Times New Roman" w:hAnsi="Arial Narrow"/>
                <w:b/>
                <w:bCs/>
                <w:sz w:val="16"/>
                <w:szCs w:val="16"/>
              </w:rPr>
            </w:pPr>
            <w:r w:rsidRPr="00957E40">
              <w:rPr>
                <w:rFonts w:ascii="Arial Narrow" w:eastAsia="Times New Roman" w:hAnsi="Arial Narrow"/>
                <w:b/>
                <w:bCs/>
                <w:sz w:val="16"/>
                <w:szCs w:val="16"/>
              </w:rPr>
              <w:t>Aktywa netto</w:t>
            </w:r>
          </w:p>
        </w:tc>
        <w:tc>
          <w:tcPr>
            <w:tcW w:w="840" w:type="dxa"/>
            <w:tcBorders>
              <w:top w:val="single" w:sz="8" w:space="0" w:color="auto"/>
              <w:left w:val="nil"/>
              <w:bottom w:val="nil"/>
              <w:right w:val="single" w:sz="8" w:space="0" w:color="auto"/>
            </w:tcBorders>
            <w:shd w:val="clear" w:color="000000" w:fill="D9E1F2"/>
            <w:vAlign w:val="center"/>
            <w:hideMark/>
          </w:tcPr>
          <w:p w14:paraId="6D73CCA0" w14:textId="77777777" w:rsidR="00342D91" w:rsidRPr="00957E40" w:rsidRDefault="00342D91" w:rsidP="00E275CE">
            <w:pPr>
              <w:spacing w:after="0" w:line="240" w:lineRule="auto"/>
              <w:ind w:left="0" w:right="0" w:firstLine="0"/>
              <w:jc w:val="center"/>
              <w:rPr>
                <w:rFonts w:ascii="Arial Narrow" w:eastAsia="Times New Roman" w:hAnsi="Arial Narrow"/>
                <w:b/>
                <w:bCs/>
                <w:sz w:val="16"/>
                <w:szCs w:val="16"/>
              </w:rPr>
            </w:pPr>
            <w:r w:rsidRPr="00957E40">
              <w:rPr>
                <w:rFonts w:ascii="Arial Narrow" w:eastAsia="Times New Roman" w:hAnsi="Arial Narrow"/>
                <w:b/>
                <w:bCs/>
                <w:sz w:val="16"/>
                <w:szCs w:val="16"/>
              </w:rPr>
              <w:t>Ekwiwalent bilansowy</w:t>
            </w:r>
          </w:p>
        </w:tc>
        <w:tc>
          <w:tcPr>
            <w:tcW w:w="800" w:type="dxa"/>
            <w:tcBorders>
              <w:top w:val="single" w:sz="8" w:space="0" w:color="auto"/>
              <w:left w:val="nil"/>
              <w:bottom w:val="nil"/>
              <w:right w:val="single" w:sz="8" w:space="0" w:color="auto"/>
            </w:tcBorders>
            <w:shd w:val="clear" w:color="000000" w:fill="D9E1F2"/>
            <w:vAlign w:val="center"/>
            <w:hideMark/>
          </w:tcPr>
          <w:p w14:paraId="0E7DF536" w14:textId="77777777" w:rsidR="00342D91" w:rsidRPr="00957E40" w:rsidRDefault="00342D91" w:rsidP="00E275CE">
            <w:pPr>
              <w:spacing w:after="0" w:line="240" w:lineRule="auto"/>
              <w:ind w:left="0" w:right="0" w:firstLine="0"/>
              <w:jc w:val="center"/>
              <w:rPr>
                <w:rFonts w:ascii="Arial Narrow" w:eastAsia="Times New Roman" w:hAnsi="Arial Narrow"/>
                <w:b/>
                <w:bCs/>
                <w:sz w:val="16"/>
                <w:szCs w:val="16"/>
              </w:rPr>
            </w:pPr>
            <w:r w:rsidRPr="00957E40">
              <w:rPr>
                <w:rFonts w:ascii="Arial Narrow" w:eastAsia="Times New Roman" w:hAnsi="Arial Narrow"/>
                <w:b/>
                <w:bCs/>
                <w:sz w:val="16"/>
                <w:szCs w:val="16"/>
              </w:rPr>
              <w:t>Wartość ekspozycji</w:t>
            </w:r>
          </w:p>
        </w:tc>
        <w:tc>
          <w:tcPr>
            <w:tcW w:w="880" w:type="dxa"/>
            <w:tcBorders>
              <w:top w:val="single" w:sz="8" w:space="0" w:color="auto"/>
              <w:left w:val="nil"/>
              <w:bottom w:val="nil"/>
              <w:right w:val="single" w:sz="8" w:space="0" w:color="auto"/>
            </w:tcBorders>
            <w:shd w:val="clear" w:color="000000" w:fill="D9E1F2"/>
            <w:vAlign w:val="center"/>
            <w:hideMark/>
          </w:tcPr>
          <w:p w14:paraId="1134DF6D" w14:textId="77777777" w:rsidR="00342D91" w:rsidRPr="00957E40" w:rsidRDefault="00342D91" w:rsidP="00E275CE">
            <w:pPr>
              <w:spacing w:after="0" w:line="240" w:lineRule="auto"/>
              <w:ind w:left="0" w:right="0" w:firstLine="0"/>
              <w:jc w:val="center"/>
              <w:rPr>
                <w:rFonts w:ascii="Arial Narrow" w:eastAsia="Times New Roman" w:hAnsi="Arial Narrow"/>
                <w:b/>
                <w:bCs/>
                <w:sz w:val="16"/>
                <w:szCs w:val="16"/>
              </w:rPr>
            </w:pPr>
            <w:r w:rsidRPr="00957E40">
              <w:rPr>
                <w:rFonts w:ascii="Arial Narrow" w:eastAsia="Times New Roman" w:hAnsi="Arial Narrow"/>
                <w:b/>
                <w:bCs/>
                <w:sz w:val="16"/>
                <w:szCs w:val="16"/>
              </w:rPr>
              <w:t>Aktywa Ważone ryzykiem</w:t>
            </w:r>
          </w:p>
        </w:tc>
        <w:tc>
          <w:tcPr>
            <w:tcW w:w="1000" w:type="dxa"/>
            <w:tcBorders>
              <w:top w:val="single" w:sz="8" w:space="0" w:color="auto"/>
              <w:left w:val="nil"/>
              <w:bottom w:val="nil"/>
              <w:right w:val="single" w:sz="8" w:space="0" w:color="auto"/>
            </w:tcBorders>
            <w:shd w:val="clear" w:color="000000" w:fill="D9E1F2"/>
            <w:vAlign w:val="center"/>
            <w:hideMark/>
          </w:tcPr>
          <w:p w14:paraId="346C2507" w14:textId="77777777" w:rsidR="00342D91" w:rsidRPr="00957E40" w:rsidRDefault="00342D91" w:rsidP="00E275CE">
            <w:pPr>
              <w:spacing w:after="0" w:line="240" w:lineRule="auto"/>
              <w:ind w:left="0" w:right="0" w:firstLine="0"/>
              <w:jc w:val="center"/>
              <w:rPr>
                <w:rFonts w:ascii="Arial Narrow" w:eastAsia="Times New Roman" w:hAnsi="Arial Narrow"/>
                <w:b/>
                <w:bCs/>
                <w:sz w:val="16"/>
                <w:szCs w:val="16"/>
              </w:rPr>
            </w:pPr>
            <w:r w:rsidRPr="00957E40">
              <w:rPr>
                <w:rFonts w:ascii="Arial Narrow" w:eastAsia="Times New Roman" w:hAnsi="Arial Narrow"/>
                <w:b/>
                <w:bCs/>
                <w:sz w:val="16"/>
                <w:szCs w:val="16"/>
              </w:rPr>
              <w:t>Aktywa ważone ryzykiem po zastosowaniu współczynnika wsparcia MŚP</w:t>
            </w:r>
          </w:p>
        </w:tc>
        <w:tc>
          <w:tcPr>
            <w:tcW w:w="1020" w:type="dxa"/>
            <w:tcBorders>
              <w:top w:val="single" w:sz="8" w:space="0" w:color="auto"/>
              <w:left w:val="nil"/>
              <w:bottom w:val="single" w:sz="8" w:space="0" w:color="auto"/>
              <w:right w:val="single" w:sz="8" w:space="0" w:color="auto"/>
            </w:tcBorders>
            <w:shd w:val="clear" w:color="000000" w:fill="D9E1F2"/>
            <w:vAlign w:val="center"/>
            <w:hideMark/>
          </w:tcPr>
          <w:p w14:paraId="33D53B82" w14:textId="77777777" w:rsidR="00342D91" w:rsidRPr="00957E40" w:rsidRDefault="00342D91" w:rsidP="00E275CE">
            <w:pPr>
              <w:spacing w:after="0" w:line="240" w:lineRule="auto"/>
              <w:ind w:left="0" w:right="0" w:firstLine="0"/>
              <w:jc w:val="center"/>
              <w:rPr>
                <w:rFonts w:ascii="Arial Narrow" w:eastAsia="Times New Roman" w:hAnsi="Arial Narrow"/>
                <w:b/>
                <w:bCs/>
                <w:sz w:val="16"/>
                <w:szCs w:val="16"/>
              </w:rPr>
            </w:pPr>
            <w:r w:rsidRPr="00957E40">
              <w:rPr>
                <w:rFonts w:ascii="Arial Narrow" w:eastAsia="Times New Roman" w:hAnsi="Arial Narrow"/>
                <w:b/>
                <w:bCs/>
                <w:sz w:val="16"/>
                <w:szCs w:val="16"/>
              </w:rPr>
              <w:t>8% kwoty ekspozycji ważonej ryzykiem po zastosowaniu współczynnika wsparcia MŚP</w:t>
            </w:r>
          </w:p>
        </w:tc>
      </w:tr>
      <w:tr w:rsidR="00342D91" w:rsidRPr="00957E40" w14:paraId="6A4FF64D" w14:textId="77777777" w:rsidTr="00E275CE">
        <w:trPr>
          <w:trHeight w:val="180"/>
        </w:trPr>
        <w:tc>
          <w:tcPr>
            <w:tcW w:w="260" w:type="dxa"/>
            <w:tcBorders>
              <w:top w:val="nil"/>
              <w:left w:val="single" w:sz="8" w:space="0" w:color="auto"/>
              <w:bottom w:val="single" w:sz="8" w:space="0" w:color="auto"/>
              <w:right w:val="nil"/>
            </w:tcBorders>
            <w:shd w:val="clear" w:color="auto" w:fill="auto"/>
            <w:noWrap/>
            <w:vAlign w:val="center"/>
            <w:hideMark/>
          </w:tcPr>
          <w:p w14:paraId="67A5A37E" w14:textId="77777777" w:rsidR="00342D91" w:rsidRPr="00957E40" w:rsidRDefault="00342D91" w:rsidP="00E275CE">
            <w:pPr>
              <w:spacing w:after="0" w:line="240" w:lineRule="auto"/>
              <w:ind w:left="0" w:right="0" w:firstLine="0"/>
              <w:jc w:val="center"/>
              <w:rPr>
                <w:rFonts w:ascii="Arial Narrow" w:eastAsia="Times New Roman" w:hAnsi="Arial Narrow"/>
                <w:b/>
                <w:bCs/>
                <w:i/>
                <w:iCs/>
                <w:sz w:val="10"/>
                <w:szCs w:val="10"/>
              </w:rPr>
            </w:pPr>
            <w:r w:rsidRPr="00957E40">
              <w:rPr>
                <w:rFonts w:ascii="Arial Narrow" w:eastAsia="Times New Roman" w:hAnsi="Arial Narrow"/>
                <w:b/>
                <w:bCs/>
                <w:i/>
                <w:iCs/>
                <w:sz w:val="10"/>
                <w:szCs w:val="10"/>
              </w:rPr>
              <w:t>1</w:t>
            </w:r>
          </w:p>
        </w:tc>
        <w:tc>
          <w:tcPr>
            <w:tcW w:w="3360" w:type="dxa"/>
            <w:tcBorders>
              <w:top w:val="nil"/>
              <w:left w:val="single" w:sz="8" w:space="0" w:color="auto"/>
              <w:bottom w:val="single" w:sz="8" w:space="0" w:color="auto"/>
              <w:right w:val="nil"/>
            </w:tcBorders>
            <w:shd w:val="clear" w:color="auto" w:fill="auto"/>
            <w:noWrap/>
            <w:vAlign w:val="center"/>
            <w:hideMark/>
          </w:tcPr>
          <w:p w14:paraId="587DF515" w14:textId="77777777" w:rsidR="00342D91" w:rsidRPr="00957E40" w:rsidRDefault="00342D91" w:rsidP="00E275CE">
            <w:pPr>
              <w:spacing w:after="0" w:line="240" w:lineRule="auto"/>
              <w:ind w:left="0" w:right="0" w:firstLine="0"/>
              <w:jc w:val="center"/>
              <w:rPr>
                <w:rFonts w:ascii="Arial Narrow" w:eastAsia="Times New Roman" w:hAnsi="Arial Narrow"/>
                <w:b/>
                <w:bCs/>
                <w:i/>
                <w:iCs/>
                <w:sz w:val="10"/>
                <w:szCs w:val="10"/>
              </w:rPr>
            </w:pPr>
            <w:r w:rsidRPr="00957E40">
              <w:rPr>
                <w:rFonts w:ascii="Arial Narrow" w:eastAsia="Times New Roman" w:hAnsi="Arial Narrow"/>
                <w:b/>
                <w:bCs/>
                <w:i/>
                <w:iCs/>
                <w:sz w:val="10"/>
                <w:szCs w:val="10"/>
              </w:rPr>
              <w:t>2</w:t>
            </w:r>
          </w:p>
        </w:tc>
        <w:tc>
          <w:tcPr>
            <w:tcW w:w="680" w:type="dxa"/>
            <w:tcBorders>
              <w:top w:val="nil"/>
              <w:left w:val="single" w:sz="8" w:space="0" w:color="auto"/>
              <w:bottom w:val="single" w:sz="8" w:space="0" w:color="auto"/>
              <w:right w:val="nil"/>
            </w:tcBorders>
            <w:shd w:val="clear" w:color="auto" w:fill="auto"/>
            <w:noWrap/>
            <w:vAlign w:val="center"/>
            <w:hideMark/>
          </w:tcPr>
          <w:p w14:paraId="73301E70" w14:textId="77777777" w:rsidR="00342D91" w:rsidRPr="00957E40" w:rsidRDefault="00342D91" w:rsidP="00E275CE">
            <w:pPr>
              <w:spacing w:after="0" w:line="240" w:lineRule="auto"/>
              <w:ind w:left="0" w:right="0" w:firstLine="0"/>
              <w:jc w:val="center"/>
              <w:rPr>
                <w:rFonts w:ascii="Arial Narrow" w:eastAsia="Times New Roman" w:hAnsi="Arial Narrow"/>
                <w:b/>
                <w:bCs/>
                <w:i/>
                <w:iCs/>
                <w:sz w:val="10"/>
                <w:szCs w:val="10"/>
              </w:rPr>
            </w:pPr>
            <w:r w:rsidRPr="00957E40">
              <w:rPr>
                <w:rFonts w:ascii="Arial Narrow" w:eastAsia="Times New Roman" w:hAnsi="Arial Narrow"/>
                <w:b/>
                <w:bCs/>
                <w:i/>
                <w:iCs/>
                <w:sz w:val="10"/>
                <w:szCs w:val="10"/>
              </w:rPr>
              <w:t>3</w:t>
            </w:r>
          </w:p>
        </w:tc>
        <w:tc>
          <w:tcPr>
            <w:tcW w:w="660" w:type="dxa"/>
            <w:tcBorders>
              <w:top w:val="nil"/>
              <w:left w:val="single" w:sz="8" w:space="0" w:color="auto"/>
              <w:bottom w:val="single" w:sz="8" w:space="0" w:color="auto"/>
              <w:right w:val="nil"/>
            </w:tcBorders>
            <w:shd w:val="clear" w:color="auto" w:fill="auto"/>
            <w:noWrap/>
            <w:vAlign w:val="center"/>
            <w:hideMark/>
          </w:tcPr>
          <w:p w14:paraId="180C998A" w14:textId="77777777" w:rsidR="00342D91" w:rsidRPr="00957E40" w:rsidRDefault="00342D91" w:rsidP="00E275CE">
            <w:pPr>
              <w:spacing w:after="0" w:line="240" w:lineRule="auto"/>
              <w:ind w:left="0" w:right="0" w:firstLine="0"/>
              <w:jc w:val="center"/>
              <w:rPr>
                <w:rFonts w:ascii="Arial Narrow" w:eastAsia="Times New Roman" w:hAnsi="Arial Narrow"/>
                <w:b/>
                <w:bCs/>
                <w:i/>
                <w:iCs/>
                <w:sz w:val="10"/>
                <w:szCs w:val="10"/>
              </w:rPr>
            </w:pPr>
            <w:r w:rsidRPr="00957E40">
              <w:rPr>
                <w:rFonts w:ascii="Arial Narrow" w:eastAsia="Times New Roman" w:hAnsi="Arial Narrow"/>
                <w:b/>
                <w:bCs/>
                <w:i/>
                <w:iCs/>
                <w:sz w:val="10"/>
                <w:szCs w:val="10"/>
              </w:rPr>
              <w:t>4</w:t>
            </w:r>
          </w:p>
        </w:tc>
        <w:tc>
          <w:tcPr>
            <w:tcW w:w="840" w:type="dxa"/>
            <w:tcBorders>
              <w:top w:val="single" w:sz="8" w:space="0" w:color="auto"/>
              <w:left w:val="single" w:sz="8" w:space="0" w:color="auto"/>
              <w:bottom w:val="single" w:sz="8" w:space="0" w:color="auto"/>
              <w:right w:val="nil"/>
            </w:tcBorders>
            <w:shd w:val="clear" w:color="auto" w:fill="auto"/>
            <w:noWrap/>
            <w:vAlign w:val="center"/>
            <w:hideMark/>
          </w:tcPr>
          <w:p w14:paraId="366AF782" w14:textId="77777777" w:rsidR="00342D91" w:rsidRPr="00957E40" w:rsidRDefault="00342D91" w:rsidP="00E275CE">
            <w:pPr>
              <w:spacing w:after="0" w:line="240" w:lineRule="auto"/>
              <w:ind w:left="0" w:right="0" w:firstLine="0"/>
              <w:jc w:val="center"/>
              <w:rPr>
                <w:rFonts w:ascii="Arial Narrow" w:eastAsia="Times New Roman" w:hAnsi="Arial Narrow"/>
                <w:b/>
                <w:bCs/>
                <w:i/>
                <w:iCs/>
                <w:sz w:val="10"/>
                <w:szCs w:val="10"/>
              </w:rPr>
            </w:pPr>
            <w:r w:rsidRPr="00957E40">
              <w:rPr>
                <w:rFonts w:ascii="Arial Narrow" w:eastAsia="Times New Roman" w:hAnsi="Arial Narrow"/>
                <w:b/>
                <w:bCs/>
                <w:i/>
                <w:iCs/>
                <w:sz w:val="10"/>
                <w:szCs w:val="10"/>
              </w:rPr>
              <w:t>5</w:t>
            </w:r>
          </w:p>
        </w:tc>
        <w:tc>
          <w:tcPr>
            <w:tcW w:w="800" w:type="dxa"/>
            <w:tcBorders>
              <w:top w:val="single" w:sz="8" w:space="0" w:color="auto"/>
              <w:left w:val="single" w:sz="8" w:space="0" w:color="auto"/>
              <w:bottom w:val="single" w:sz="8" w:space="0" w:color="auto"/>
              <w:right w:val="nil"/>
            </w:tcBorders>
            <w:shd w:val="clear" w:color="auto" w:fill="auto"/>
            <w:noWrap/>
            <w:vAlign w:val="center"/>
            <w:hideMark/>
          </w:tcPr>
          <w:p w14:paraId="40A60ECB" w14:textId="77777777" w:rsidR="00342D91" w:rsidRPr="00957E40" w:rsidRDefault="00342D91" w:rsidP="00E275CE">
            <w:pPr>
              <w:spacing w:after="0" w:line="240" w:lineRule="auto"/>
              <w:ind w:left="0" w:right="0" w:firstLine="0"/>
              <w:jc w:val="center"/>
              <w:rPr>
                <w:rFonts w:ascii="Arial Narrow" w:eastAsia="Times New Roman" w:hAnsi="Arial Narrow"/>
                <w:b/>
                <w:bCs/>
                <w:i/>
                <w:iCs/>
                <w:sz w:val="10"/>
                <w:szCs w:val="10"/>
              </w:rPr>
            </w:pPr>
            <w:r w:rsidRPr="00957E40">
              <w:rPr>
                <w:rFonts w:ascii="Arial Narrow" w:eastAsia="Times New Roman" w:hAnsi="Arial Narrow"/>
                <w:b/>
                <w:bCs/>
                <w:i/>
                <w:iCs/>
                <w:sz w:val="10"/>
                <w:szCs w:val="10"/>
              </w:rPr>
              <w:t>6</w:t>
            </w:r>
          </w:p>
        </w:tc>
        <w:tc>
          <w:tcPr>
            <w:tcW w:w="880" w:type="dxa"/>
            <w:tcBorders>
              <w:top w:val="single" w:sz="8" w:space="0" w:color="auto"/>
              <w:left w:val="single" w:sz="8" w:space="0" w:color="auto"/>
              <w:bottom w:val="single" w:sz="8" w:space="0" w:color="auto"/>
              <w:right w:val="nil"/>
            </w:tcBorders>
            <w:shd w:val="clear" w:color="auto" w:fill="auto"/>
            <w:noWrap/>
            <w:vAlign w:val="center"/>
            <w:hideMark/>
          </w:tcPr>
          <w:p w14:paraId="3D92500C" w14:textId="77777777" w:rsidR="00342D91" w:rsidRPr="00957E40" w:rsidRDefault="00342D91" w:rsidP="00E275CE">
            <w:pPr>
              <w:spacing w:after="0" w:line="240" w:lineRule="auto"/>
              <w:ind w:left="0" w:right="0" w:firstLine="0"/>
              <w:jc w:val="center"/>
              <w:rPr>
                <w:rFonts w:ascii="Arial Narrow" w:eastAsia="Times New Roman" w:hAnsi="Arial Narrow"/>
                <w:b/>
                <w:bCs/>
                <w:i/>
                <w:iCs/>
                <w:sz w:val="10"/>
                <w:szCs w:val="10"/>
              </w:rPr>
            </w:pPr>
            <w:r w:rsidRPr="00957E40">
              <w:rPr>
                <w:rFonts w:ascii="Arial Narrow" w:eastAsia="Times New Roman" w:hAnsi="Arial Narrow"/>
                <w:b/>
                <w:bCs/>
                <w:i/>
                <w:iCs/>
                <w:sz w:val="10"/>
                <w:szCs w:val="10"/>
              </w:rPr>
              <w:t>7</w:t>
            </w:r>
          </w:p>
        </w:tc>
        <w:tc>
          <w:tcPr>
            <w:tcW w:w="1000" w:type="dxa"/>
            <w:tcBorders>
              <w:top w:val="single" w:sz="8" w:space="0" w:color="auto"/>
              <w:left w:val="single" w:sz="8" w:space="0" w:color="auto"/>
              <w:bottom w:val="single" w:sz="8" w:space="0" w:color="auto"/>
              <w:right w:val="nil"/>
            </w:tcBorders>
            <w:shd w:val="clear" w:color="auto" w:fill="auto"/>
            <w:noWrap/>
            <w:vAlign w:val="center"/>
            <w:hideMark/>
          </w:tcPr>
          <w:p w14:paraId="3115AF15" w14:textId="77777777" w:rsidR="00342D91" w:rsidRPr="00957E40" w:rsidRDefault="00342D91" w:rsidP="00E275CE">
            <w:pPr>
              <w:spacing w:after="0" w:line="240" w:lineRule="auto"/>
              <w:ind w:left="0" w:right="0" w:firstLine="0"/>
              <w:jc w:val="center"/>
              <w:rPr>
                <w:rFonts w:ascii="Arial Narrow" w:eastAsia="Times New Roman" w:hAnsi="Arial Narrow"/>
                <w:b/>
                <w:bCs/>
                <w:i/>
                <w:iCs/>
                <w:sz w:val="10"/>
                <w:szCs w:val="10"/>
              </w:rPr>
            </w:pPr>
            <w:r w:rsidRPr="00957E40">
              <w:rPr>
                <w:rFonts w:ascii="Arial Narrow" w:eastAsia="Times New Roman" w:hAnsi="Arial Narrow"/>
                <w:b/>
                <w:bCs/>
                <w:i/>
                <w:iCs/>
                <w:sz w:val="10"/>
                <w:szCs w:val="10"/>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7EA807D" w14:textId="77777777" w:rsidR="00342D91" w:rsidRPr="00957E40" w:rsidRDefault="00342D91" w:rsidP="00E275CE">
            <w:pPr>
              <w:spacing w:after="0" w:line="240" w:lineRule="auto"/>
              <w:ind w:left="0" w:right="0" w:firstLine="0"/>
              <w:jc w:val="center"/>
              <w:rPr>
                <w:rFonts w:ascii="Arial Narrow" w:eastAsia="Times New Roman" w:hAnsi="Arial Narrow"/>
                <w:b/>
                <w:bCs/>
                <w:i/>
                <w:iCs/>
                <w:sz w:val="10"/>
                <w:szCs w:val="10"/>
              </w:rPr>
            </w:pPr>
            <w:r w:rsidRPr="00957E40">
              <w:rPr>
                <w:rFonts w:ascii="Arial Narrow" w:eastAsia="Times New Roman" w:hAnsi="Arial Narrow"/>
                <w:b/>
                <w:bCs/>
                <w:i/>
                <w:iCs/>
                <w:sz w:val="10"/>
                <w:szCs w:val="10"/>
              </w:rPr>
              <w:t>9</w:t>
            </w:r>
          </w:p>
        </w:tc>
      </w:tr>
      <w:tr w:rsidR="00342D91" w:rsidRPr="00957E40" w14:paraId="1BD12A8D" w14:textId="77777777" w:rsidTr="00E275CE">
        <w:trPr>
          <w:trHeight w:val="288"/>
        </w:trPr>
        <w:tc>
          <w:tcPr>
            <w:tcW w:w="2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A8DF56" w14:textId="77777777" w:rsidR="00342D91" w:rsidRPr="00957E40" w:rsidRDefault="00342D91" w:rsidP="00E275CE">
            <w:pPr>
              <w:spacing w:after="0" w:line="240" w:lineRule="auto"/>
              <w:ind w:left="0" w:right="0" w:firstLine="0"/>
              <w:jc w:val="center"/>
              <w:rPr>
                <w:rFonts w:ascii="Arial Narrow" w:eastAsia="Times New Roman" w:hAnsi="Arial Narrow"/>
                <w:b/>
                <w:bCs/>
                <w:sz w:val="16"/>
                <w:szCs w:val="16"/>
              </w:rPr>
            </w:pPr>
            <w:r w:rsidRPr="00957E40">
              <w:rPr>
                <w:rFonts w:ascii="Arial Narrow" w:eastAsia="Times New Roman" w:hAnsi="Arial Narrow"/>
                <w:b/>
                <w:bCs/>
                <w:sz w:val="16"/>
                <w:szCs w:val="16"/>
              </w:rPr>
              <w:t>1</w:t>
            </w:r>
          </w:p>
        </w:tc>
        <w:tc>
          <w:tcPr>
            <w:tcW w:w="3360" w:type="dxa"/>
            <w:vMerge w:val="restart"/>
            <w:tcBorders>
              <w:top w:val="nil"/>
              <w:left w:val="single" w:sz="8" w:space="0" w:color="auto"/>
              <w:bottom w:val="single" w:sz="8" w:space="0" w:color="000000"/>
              <w:right w:val="single" w:sz="8" w:space="0" w:color="auto"/>
            </w:tcBorders>
            <w:shd w:val="clear" w:color="auto" w:fill="auto"/>
            <w:vAlign w:val="center"/>
            <w:hideMark/>
          </w:tcPr>
          <w:p w14:paraId="218CA748"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r w:rsidRPr="00957E40">
              <w:rPr>
                <w:rFonts w:ascii="Arial Narrow" w:eastAsia="Times New Roman" w:hAnsi="Arial Narrow"/>
                <w:b/>
                <w:bCs/>
                <w:sz w:val="16"/>
                <w:szCs w:val="16"/>
              </w:rPr>
              <w:t>Ekspozycje wobec rządów  lub banków centralnych</w:t>
            </w:r>
          </w:p>
        </w:tc>
        <w:tc>
          <w:tcPr>
            <w:tcW w:w="680" w:type="dxa"/>
            <w:tcBorders>
              <w:top w:val="nil"/>
              <w:left w:val="nil"/>
              <w:bottom w:val="single" w:sz="8" w:space="0" w:color="auto"/>
              <w:right w:val="single" w:sz="8" w:space="0" w:color="auto"/>
            </w:tcBorders>
            <w:shd w:val="clear" w:color="auto" w:fill="auto"/>
            <w:noWrap/>
            <w:vAlign w:val="bottom"/>
            <w:hideMark/>
          </w:tcPr>
          <w:p w14:paraId="2BFA421C" w14:textId="77777777" w:rsidR="00342D91" w:rsidRPr="00957E40" w:rsidRDefault="00342D91" w:rsidP="00E275CE">
            <w:pPr>
              <w:spacing w:after="0" w:line="240" w:lineRule="auto"/>
              <w:ind w:left="0" w:right="0" w:firstLine="0"/>
              <w:jc w:val="center"/>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660" w:type="dxa"/>
            <w:tcBorders>
              <w:top w:val="nil"/>
              <w:left w:val="nil"/>
              <w:bottom w:val="single" w:sz="8" w:space="0" w:color="auto"/>
              <w:right w:val="single" w:sz="8" w:space="0" w:color="auto"/>
            </w:tcBorders>
            <w:shd w:val="clear" w:color="auto" w:fill="auto"/>
            <w:noWrap/>
            <w:vAlign w:val="bottom"/>
            <w:hideMark/>
          </w:tcPr>
          <w:p w14:paraId="3AC6F48E"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204 490</w:t>
            </w:r>
          </w:p>
        </w:tc>
        <w:tc>
          <w:tcPr>
            <w:tcW w:w="840" w:type="dxa"/>
            <w:tcBorders>
              <w:top w:val="nil"/>
              <w:left w:val="nil"/>
              <w:bottom w:val="single" w:sz="8" w:space="0" w:color="auto"/>
              <w:right w:val="single" w:sz="8" w:space="0" w:color="auto"/>
            </w:tcBorders>
            <w:shd w:val="clear" w:color="auto" w:fill="auto"/>
            <w:noWrap/>
            <w:vAlign w:val="bottom"/>
            <w:hideMark/>
          </w:tcPr>
          <w:p w14:paraId="7DA0B0E4"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86</w:t>
            </w:r>
          </w:p>
        </w:tc>
        <w:tc>
          <w:tcPr>
            <w:tcW w:w="800" w:type="dxa"/>
            <w:tcBorders>
              <w:top w:val="nil"/>
              <w:left w:val="nil"/>
              <w:bottom w:val="single" w:sz="8" w:space="0" w:color="auto"/>
              <w:right w:val="single" w:sz="8" w:space="0" w:color="auto"/>
            </w:tcBorders>
            <w:shd w:val="clear" w:color="auto" w:fill="auto"/>
            <w:vAlign w:val="bottom"/>
            <w:hideMark/>
          </w:tcPr>
          <w:p w14:paraId="18AF1BB5"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204 422</w:t>
            </w:r>
          </w:p>
        </w:tc>
        <w:tc>
          <w:tcPr>
            <w:tcW w:w="880" w:type="dxa"/>
            <w:tcBorders>
              <w:top w:val="nil"/>
              <w:left w:val="nil"/>
              <w:bottom w:val="single" w:sz="8" w:space="0" w:color="auto"/>
              <w:right w:val="single" w:sz="8" w:space="0" w:color="auto"/>
            </w:tcBorders>
            <w:shd w:val="clear" w:color="auto" w:fill="auto"/>
            <w:vAlign w:val="bottom"/>
            <w:hideMark/>
          </w:tcPr>
          <w:p w14:paraId="10C6B26B"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1000" w:type="dxa"/>
            <w:tcBorders>
              <w:top w:val="nil"/>
              <w:left w:val="nil"/>
              <w:bottom w:val="single" w:sz="8" w:space="0" w:color="auto"/>
              <w:right w:val="single" w:sz="8" w:space="0" w:color="auto"/>
            </w:tcBorders>
            <w:shd w:val="clear" w:color="auto" w:fill="auto"/>
            <w:vAlign w:val="bottom"/>
            <w:hideMark/>
          </w:tcPr>
          <w:p w14:paraId="31B7672C"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1020" w:type="dxa"/>
            <w:tcBorders>
              <w:top w:val="nil"/>
              <w:left w:val="nil"/>
              <w:bottom w:val="single" w:sz="8" w:space="0" w:color="auto"/>
              <w:right w:val="single" w:sz="8" w:space="0" w:color="auto"/>
            </w:tcBorders>
            <w:shd w:val="clear" w:color="auto" w:fill="auto"/>
            <w:vAlign w:val="bottom"/>
            <w:hideMark/>
          </w:tcPr>
          <w:p w14:paraId="63FDD494"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r>
      <w:tr w:rsidR="00342D91" w:rsidRPr="00957E40" w14:paraId="28E49D51" w14:textId="77777777" w:rsidTr="00E275CE">
        <w:trPr>
          <w:trHeight w:val="288"/>
        </w:trPr>
        <w:tc>
          <w:tcPr>
            <w:tcW w:w="260" w:type="dxa"/>
            <w:vMerge/>
            <w:tcBorders>
              <w:top w:val="nil"/>
              <w:left w:val="single" w:sz="8" w:space="0" w:color="auto"/>
              <w:bottom w:val="single" w:sz="8" w:space="0" w:color="000000"/>
              <w:right w:val="single" w:sz="8" w:space="0" w:color="auto"/>
            </w:tcBorders>
            <w:vAlign w:val="center"/>
            <w:hideMark/>
          </w:tcPr>
          <w:p w14:paraId="425A3592"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p>
        </w:tc>
        <w:tc>
          <w:tcPr>
            <w:tcW w:w="3360" w:type="dxa"/>
            <w:vMerge/>
            <w:tcBorders>
              <w:top w:val="nil"/>
              <w:left w:val="single" w:sz="8" w:space="0" w:color="auto"/>
              <w:bottom w:val="single" w:sz="8" w:space="0" w:color="000000"/>
              <w:right w:val="single" w:sz="8" w:space="0" w:color="auto"/>
            </w:tcBorders>
            <w:vAlign w:val="center"/>
            <w:hideMark/>
          </w:tcPr>
          <w:p w14:paraId="19C5ED6B"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p>
        </w:tc>
        <w:tc>
          <w:tcPr>
            <w:tcW w:w="680" w:type="dxa"/>
            <w:tcBorders>
              <w:top w:val="nil"/>
              <w:left w:val="nil"/>
              <w:bottom w:val="single" w:sz="8" w:space="0" w:color="auto"/>
              <w:right w:val="single" w:sz="8" w:space="0" w:color="auto"/>
            </w:tcBorders>
            <w:shd w:val="clear" w:color="auto" w:fill="auto"/>
            <w:noWrap/>
            <w:vAlign w:val="bottom"/>
            <w:hideMark/>
          </w:tcPr>
          <w:p w14:paraId="5931F15E" w14:textId="77777777" w:rsidR="00342D91" w:rsidRPr="00957E40" w:rsidRDefault="00342D91" w:rsidP="00E275CE">
            <w:pPr>
              <w:spacing w:after="0" w:line="240" w:lineRule="auto"/>
              <w:ind w:left="0" w:right="0" w:firstLine="0"/>
              <w:jc w:val="center"/>
              <w:rPr>
                <w:rFonts w:ascii="Arial Narrow" w:eastAsia="Times New Roman" w:hAnsi="Arial Narrow"/>
                <w:color w:val="auto"/>
                <w:sz w:val="16"/>
                <w:szCs w:val="16"/>
              </w:rPr>
            </w:pPr>
            <w:r w:rsidRPr="00957E40">
              <w:rPr>
                <w:rFonts w:ascii="Arial Narrow" w:eastAsia="Times New Roman" w:hAnsi="Arial Narrow"/>
                <w:color w:val="auto"/>
                <w:sz w:val="16"/>
                <w:szCs w:val="16"/>
              </w:rPr>
              <w:t>250%</w:t>
            </w:r>
          </w:p>
        </w:tc>
        <w:tc>
          <w:tcPr>
            <w:tcW w:w="660" w:type="dxa"/>
            <w:tcBorders>
              <w:top w:val="nil"/>
              <w:left w:val="nil"/>
              <w:bottom w:val="single" w:sz="8" w:space="0" w:color="auto"/>
              <w:right w:val="single" w:sz="8" w:space="0" w:color="auto"/>
            </w:tcBorders>
            <w:shd w:val="clear" w:color="auto" w:fill="auto"/>
            <w:noWrap/>
            <w:vAlign w:val="bottom"/>
            <w:hideMark/>
          </w:tcPr>
          <w:p w14:paraId="6C0598A2"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3 071</w:t>
            </w:r>
          </w:p>
        </w:tc>
        <w:tc>
          <w:tcPr>
            <w:tcW w:w="840" w:type="dxa"/>
            <w:tcBorders>
              <w:top w:val="nil"/>
              <w:left w:val="nil"/>
              <w:bottom w:val="single" w:sz="8" w:space="0" w:color="auto"/>
              <w:right w:val="single" w:sz="8" w:space="0" w:color="auto"/>
            </w:tcBorders>
            <w:shd w:val="clear" w:color="auto" w:fill="auto"/>
            <w:noWrap/>
            <w:vAlign w:val="bottom"/>
            <w:hideMark/>
          </w:tcPr>
          <w:p w14:paraId="2DBD77DD"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00" w:type="dxa"/>
            <w:tcBorders>
              <w:top w:val="nil"/>
              <w:left w:val="nil"/>
              <w:bottom w:val="single" w:sz="8" w:space="0" w:color="auto"/>
              <w:right w:val="single" w:sz="8" w:space="0" w:color="auto"/>
            </w:tcBorders>
            <w:shd w:val="clear" w:color="auto" w:fill="auto"/>
            <w:vAlign w:val="bottom"/>
            <w:hideMark/>
          </w:tcPr>
          <w:p w14:paraId="58AC1A3F"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3 071</w:t>
            </w:r>
          </w:p>
        </w:tc>
        <w:tc>
          <w:tcPr>
            <w:tcW w:w="880" w:type="dxa"/>
            <w:tcBorders>
              <w:top w:val="nil"/>
              <w:left w:val="nil"/>
              <w:bottom w:val="single" w:sz="8" w:space="0" w:color="auto"/>
              <w:right w:val="single" w:sz="8" w:space="0" w:color="auto"/>
            </w:tcBorders>
            <w:shd w:val="clear" w:color="auto" w:fill="auto"/>
            <w:vAlign w:val="bottom"/>
            <w:hideMark/>
          </w:tcPr>
          <w:p w14:paraId="5D77CF3B"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7 678</w:t>
            </w:r>
          </w:p>
        </w:tc>
        <w:tc>
          <w:tcPr>
            <w:tcW w:w="1000" w:type="dxa"/>
            <w:tcBorders>
              <w:top w:val="nil"/>
              <w:left w:val="nil"/>
              <w:bottom w:val="single" w:sz="8" w:space="0" w:color="auto"/>
              <w:right w:val="single" w:sz="8" w:space="0" w:color="auto"/>
            </w:tcBorders>
            <w:shd w:val="clear" w:color="auto" w:fill="auto"/>
            <w:vAlign w:val="bottom"/>
            <w:hideMark/>
          </w:tcPr>
          <w:p w14:paraId="5855FD4C"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7 678</w:t>
            </w:r>
          </w:p>
        </w:tc>
        <w:tc>
          <w:tcPr>
            <w:tcW w:w="1020" w:type="dxa"/>
            <w:tcBorders>
              <w:top w:val="nil"/>
              <w:left w:val="nil"/>
              <w:bottom w:val="single" w:sz="8" w:space="0" w:color="auto"/>
              <w:right w:val="single" w:sz="8" w:space="0" w:color="auto"/>
            </w:tcBorders>
            <w:shd w:val="clear" w:color="auto" w:fill="auto"/>
            <w:vAlign w:val="bottom"/>
            <w:hideMark/>
          </w:tcPr>
          <w:p w14:paraId="75E337E7"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614</w:t>
            </w:r>
          </w:p>
        </w:tc>
      </w:tr>
      <w:tr w:rsidR="00342D91" w:rsidRPr="00957E40" w14:paraId="6A3DCA5E" w14:textId="77777777" w:rsidTr="00720A0C">
        <w:trPr>
          <w:trHeight w:val="288"/>
        </w:trPr>
        <w:tc>
          <w:tcPr>
            <w:tcW w:w="260" w:type="dxa"/>
            <w:vMerge/>
            <w:tcBorders>
              <w:top w:val="nil"/>
              <w:left w:val="single" w:sz="8" w:space="0" w:color="auto"/>
              <w:bottom w:val="single" w:sz="8" w:space="0" w:color="auto"/>
              <w:right w:val="single" w:sz="8" w:space="0" w:color="auto"/>
            </w:tcBorders>
            <w:vAlign w:val="center"/>
            <w:hideMark/>
          </w:tcPr>
          <w:p w14:paraId="657404C4"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p>
        </w:tc>
        <w:tc>
          <w:tcPr>
            <w:tcW w:w="3360" w:type="dxa"/>
            <w:vMerge/>
            <w:tcBorders>
              <w:top w:val="nil"/>
              <w:left w:val="single" w:sz="8" w:space="0" w:color="auto"/>
              <w:bottom w:val="single" w:sz="8" w:space="0" w:color="auto"/>
              <w:right w:val="single" w:sz="8" w:space="0" w:color="auto"/>
            </w:tcBorders>
            <w:vAlign w:val="center"/>
            <w:hideMark/>
          </w:tcPr>
          <w:p w14:paraId="2EE7B2F6"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p>
        </w:tc>
        <w:tc>
          <w:tcPr>
            <w:tcW w:w="680" w:type="dxa"/>
            <w:tcBorders>
              <w:top w:val="nil"/>
              <w:left w:val="nil"/>
              <w:bottom w:val="single" w:sz="8" w:space="0" w:color="auto"/>
              <w:right w:val="single" w:sz="8" w:space="0" w:color="auto"/>
            </w:tcBorders>
            <w:shd w:val="clear" w:color="auto" w:fill="auto"/>
            <w:noWrap/>
            <w:vAlign w:val="bottom"/>
            <w:hideMark/>
          </w:tcPr>
          <w:p w14:paraId="09C96674" w14:textId="77777777" w:rsidR="00342D91" w:rsidRPr="00957E40" w:rsidRDefault="00342D91" w:rsidP="00E275CE">
            <w:pPr>
              <w:spacing w:after="0" w:line="240" w:lineRule="auto"/>
              <w:ind w:left="0" w:right="0" w:firstLine="0"/>
              <w:jc w:val="center"/>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660" w:type="dxa"/>
            <w:tcBorders>
              <w:top w:val="nil"/>
              <w:left w:val="nil"/>
              <w:bottom w:val="single" w:sz="8" w:space="0" w:color="auto"/>
              <w:right w:val="single" w:sz="8" w:space="0" w:color="auto"/>
            </w:tcBorders>
            <w:shd w:val="clear" w:color="auto" w:fill="auto"/>
            <w:noWrap/>
            <w:vAlign w:val="bottom"/>
            <w:hideMark/>
          </w:tcPr>
          <w:p w14:paraId="0E6C36E0"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6 200</w:t>
            </w:r>
          </w:p>
        </w:tc>
        <w:tc>
          <w:tcPr>
            <w:tcW w:w="840" w:type="dxa"/>
            <w:tcBorders>
              <w:top w:val="nil"/>
              <w:left w:val="nil"/>
              <w:bottom w:val="single" w:sz="8" w:space="0" w:color="auto"/>
              <w:right w:val="single" w:sz="8" w:space="0" w:color="auto"/>
            </w:tcBorders>
            <w:shd w:val="clear" w:color="auto" w:fill="auto"/>
            <w:noWrap/>
            <w:vAlign w:val="bottom"/>
            <w:hideMark/>
          </w:tcPr>
          <w:p w14:paraId="6881F4D5"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16</w:t>
            </w:r>
          </w:p>
        </w:tc>
        <w:tc>
          <w:tcPr>
            <w:tcW w:w="800" w:type="dxa"/>
            <w:tcBorders>
              <w:top w:val="nil"/>
              <w:left w:val="nil"/>
              <w:bottom w:val="single" w:sz="8" w:space="0" w:color="auto"/>
              <w:right w:val="single" w:sz="8" w:space="0" w:color="auto"/>
            </w:tcBorders>
            <w:shd w:val="clear" w:color="auto" w:fill="auto"/>
            <w:vAlign w:val="bottom"/>
            <w:hideMark/>
          </w:tcPr>
          <w:p w14:paraId="5C9A77D4"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6 192</w:t>
            </w:r>
          </w:p>
        </w:tc>
        <w:tc>
          <w:tcPr>
            <w:tcW w:w="880" w:type="dxa"/>
            <w:tcBorders>
              <w:top w:val="nil"/>
              <w:left w:val="nil"/>
              <w:bottom w:val="single" w:sz="8" w:space="0" w:color="auto"/>
              <w:right w:val="single" w:sz="8" w:space="0" w:color="auto"/>
            </w:tcBorders>
            <w:shd w:val="clear" w:color="auto" w:fill="auto"/>
            <w:vAlign w:val="bottom"/>
            <w:hideMark/>
          </w:tcPr>
          <w:p w14:paraId="2CF3E1CC"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1000" w:type="dxa"/>
            <w:tcBorders>
              <w:top w:val="nil"/>
              <w:left w:val="nil"/>
              <w:bottom w:val="single" w:sz="8" w:space="0" w:color="auto"/>
              <w:right w:val="single" w:sz="8" w:space="0" w:color="auto"/>
            </w:tcBorders>
            <w:shd w:val="clear" w:color="auto" w:fill="auto"/>
            <w:vAlign w:val="bottom"/>
            <w:hideMark/>
          </w:tcPr>
          <w:p w14:paraId="232A2A86"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1020" w:type="dxa"/>
            <w:tcBorders>
              <w:top w:val="nil"/>
              <w:left w:val="nil"/>
              <w:bottom w:val="single" w:sz="8" w:space="0" w:color="auto"/>
              <w:right w:val="single" w:sz="8" w:space="0" w:color="auto"/>
            </w:tcBorders>
            <w:shd w:val="clear" w:color="auto" w:fill="auto"/>
            <w:vAlign w:val="bottom"/>
            <w:hideMark/>
          </w:tcPr>
          <w:p w14:paraId="23AE213C"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r>
      <w:tr w:rsidR="00342D91" w:rsidRPr="00957E40" w14:paraId="6C2398D9" w14:textId="77777777" w:rsidTr="00720A0C">
        <w:trPr>
          <w:trHeight w:val="420"/>
        </w:trPr>
        <w:tc>
          <w:tcPr>
            <w:tcW w:w="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89749A" w14:textId="77777777" w:rsidR="00342D91" w:rsidRPr="00957E40" w:rsidRDefault="00342D91" w:rsidP="00E275CE">
            <w:pPr>
              <w:spacing w:after="0" w:line="240" w:lineRule="auto"/>
              <w:ind w:left="0" w:right="0" w:firstLine="0"/>
              <w:jc w:val="center"/>
              <w:rPr>
                <w:rFonts w:ascii="Arial Narrow" w:eastAsia="Times New Roman" w:hAnsi="Arial Narrow"/>
                <w:b/>
                <w:bCs/>
                <w:sz w:val="16"/>
                <w:szCs w:val="16"/>
              </w:rPr>
            </w:pPr>
            <w:r w:rsidRPr="00957E40">
              <w:rPr>
                <w:rFonts w:ascii="Arial Narrow" w:eastAsia="Times New Roman" w:hAnsi="Arial Narrow"/>
                <w:b/>
                <w:bCs/>
                <w:sz w:val="16"/>
                <w:szCs w:val="16"/>
              </w:rPr>
              <w:t>2</w:t>
            </w:r>
          </w:p>
        </w:tc>
        <w:tc>
          <w:tcPr>
            <w:tcW w:w="3360" w:type="dxa"/>
            <w:tcBorders>
              <w:top w:val="single" w:sz="8" w:space="0" w:color="auto"/>
              <w:left w:val="nil"/>
              <w:bottom w:val="single" w:sz="8" w:space="0" w:color="auto"/>
              <w:right w:val="single" w:sz="8" w:space="0" w:color="auto"/>
            </w:tcBorders>
            <w:shd w:val="clear" w:color="auto" w:fill="auto"/>
            <w:vAlign w:val="center"/>
            <w:hideMark/>
          </w:tcPr>
          <w:p w14:paraId="374B2CD6"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r w:rsidRPr="00957E40">
              <w:rPr>
                <w:rFonts w:ascii="Arial Narrow" w:eastAsia="Times New Roman" w:hAnsi="Arial Narrow"/>
                <w:b/>
                <w:bCs/>
                <w:sz w:val="16"/>
                <w:szCs w:val="16"/>
              </w:rPr>
              <w:t xml:space="preserve">Ekspozycje wobec samorządów regionalnych lub władz lokalnych </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14:paraId="5A03CF01" w14:textId="77777777" w:rsidR="00342D91" w:rsidRPr="00957E40" w:rsidRDefault="00342D91" w:rsidP="00E275CE">
            <w:pPr>
              <w:spacing w:after="0" w:line="240" w:lineRule="auto"/>
              <w:ind w:left="0" w:right="0" w:firstLine="0"/>
              <w:jc w:val="center"/>
              <w:rPr>
                <w:rFonts w:ascii="Arial Narrow" w:eastAsia="Times New Roman" w:hAnsi="Arial Narrow"/>
                <w:color w:val="auto"/>
                <w:sz w:val="16"/>
                <w:szCs w:val="16"/>
              </w:rPr>
            </w:pPr>
            <w:r w:rsidRPr="00957E40">
              <w:rPr>
                <w:rFonts w:ascii="Arial Narrow" w:eastAsia="Times New Roman" w:hAnsi="Arial Narrow"/>
                <w:color w:val="auto"/>
                <w:sz w:val="16"/>
                <w:szCs w:val="16"/>
              </w:rPr>
              <w:t>20%</w:t>
            </w:r>
          </w:p>
        </w:tc>
        <w:tc>
          <w:tcPr>
            <w:tcW w:w="660" w:type="dxa"/>
            <w:tcBorders>
              <w:top w:val="single" w:sz="8" w:space="0" w:color="auto"/>
              <w:left w:val="nil"/>
              <w:bottom w:val="single" w:sz="8" w:space="0" w:color="auto"/>
              <w:right w:val="single" w:sz="8" w:space="0" w:color="auto"/>
            </w:tcBorders>
            <w:shd w:val="clear" w:color="auto" w:fill="auto"/>
            <w:noWrap/>
            <w:vAlign w:val="bottom"/>
            <w:hideMark/>
          </w:tcPr>
          <w:p w14:paraId="5F293B38"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70 168</w:t>
            </w:r>
          </w:p>
        </w:tc>
        <w:tc>
          <w:tcPr>
            <w:tcW w:w="840" w:type="dxa"/>
            <w:tcBorders>
              <w:top w:val="single" w:sz="8" w:space="0" w:color="auto"/>
              <w:left w:val="nil"/>
              <w:bottom w:val="single" w:sz="8" w:space="0" w:color="auto"/>
              <w:right w:val="single" w:sz="8" w:space="0" w:color="auto"/>
            </w:tcBorders>
            <w:shd w:val="clear" w:color="auto" w:fill="auto"/>
            <w:noWrap/>
            <w:vAlign w:val="bottom"/>
            <w:hideMark/>
          </w:tcPr>
          <w:p w14:paraId="4BD1B5B9"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00" w:type="dxa"/>
            <w:tcBorders>
              <w:top w:val="single" w:sz="8" w:space="0" w:color="auto"/>
              <w:left w:val="nil"/>
              <w:bottom w:val="single" w:sz="8" w:space="0" w:color="auto"/>
              <w:right w:val="single" w:sz="8" w:space="0" w:color="auto"/>
            </w:tcBorders>
            <w:shd w:val="clear" w:color="auto" w:fill="auto"/>
            <w:vAlign w:val="bottom"/>
            <w:hideMark/>
          </w:tcPr>
          <w:p w14:paraId="47356701"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70 168</w:t>
            </w:r>
          </w:p>
        </w:tc>
        <w:tc>
          <w:tcPr>
            <w:tcW w:w="880" w:type="dxa"/>
            <w:tcBorders>
              <w:top w:val="single" w:sz="8" w:space="0" w:color="auto"/>
              <w:left w:val="nil"/>
              <w:bottom w:val="single" w:sz="8" w:space="0" w:color="auto"/>
              <w:right w:val="single" w:sz="8" w:space="0" w:color="auto"/>
            </w:tcBorders>
            <w:shd w:val="clear" w:color="auto" w:fill="auto"/>
            <w:vAlign w:val="bottom"/>
            <w:hideMark/>
          </w:tcPr>
          <w:p w14:paraId="66BD614F"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14 034</w:t>
            </w:r>
          </w:p>
        </w:tc>
        <w:tc>
          <w:tcPr>
            <w:tcW w:w="1000" w:type="dxa"/>
            <w:tcBorders>
              <w:top w:val="single" w:sz="8" w:space="0" w:color="auto"/>
              <w:left w:val="nil"/>
              <w:bottom w:val="single" w:sz="8" w:space="0" w:color="auto"/>
              <w:right w:val="single" w:sz="8" w:space="0" w:color="auto"/>
            </w:tcBorders>
            <w:shd w:val="clear" w:color="auto" w:fill="auto"/>
            <w:vAlign w:val="bottom"/>
            <w:hideMark/>
          </w:tcPr>
          <w:p w14:paraId="0A4B0CA3"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14 034</w:t>
            </w:r>
          </w:p>
        </w:tc>
        <w:tc>
          <w:tcPr>
            <w:tcW w:w="1020" w:type="dxa"/>
            <w:tcBorders>
              <w:top w:val="single" w:sz="8" w:space="0" w:color="auto"/>
              <w:left w:val="nil"/>
              <w:bottom w:val="single" w:sz="8" w:space="0" w:color="auto"/>
              <w:right w:val="single" w:sz="8" w:space="0" w:color="auto"/>
            </w:tcBorders>
            <w:shd w:val="clear" w:color="auto" w:fill="auto"/>
            <w:vAlign w:val="bottom"/>
            <w:hideMark/>
          </w:tcPr>
          <w:p w14:paraId="7C308322"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1 123</w:t>
            </w:r>
          </w:p>
        </w:tc>
      </w:tr>
      <w:tr w:rsidR="00342D91" w:rsidRPr="00957E40" w14:paraId="645D76F2" w14:textId="77777777" w:rsidTr="00E275CE">
        <w:trPr>
          <w:trHeight w:val="345"/>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14:paraId="2CABB372" w14:textId="77777777" w:rsidR="00342D91" w:rsidRPr="00957E40" w:rsidRDefault="00342D91" w:rsidP="00E275CE">
            <w:pPr>
              <w:spacing w:after="0" w:line="240" w:lineRule="auto"/>
              <w:ind w:left="0" w:right="0" w:firstLine="0"/>
              <w:jc w:val="center"/>
              <w:rPr>
                <w:rFonts w:ascii="Arial Narrow" w:eastAsia="Times New Roman" w:hAnsi="Arial Narrow"/>
                <w:b/>
                <w:bCs/>
                <w:sz w:val="16"/>
                <w:szCs w:val="16"/>
              </w:rPr>
            </w:pPr>
            <w:r w:rsidRPr="00957E40">
              <w:rPr>
                <w:rFonts w:ascii="Arial Narrow" w:eastAsia="Times New Roman" w:hAnsi="Arial Narrow"/>
                <w:b/>
                <w:bCs/>
                <w:sz w:val="16"/>
                <w:szCs w:val="16"/>
              </w:rPr>
              <w:t>3</w:t>
            </w:r>
          </w:p>
        </w:tc>
        <w:tc>
          <w:tcPr>
            <w:tcW w:w="3360" w:type="dxa"/>
            <w:tcBorders>
              <w:top w:val="nil"/>
              <w:left w:val="nil"/>
              <w:bottom w:val="single" w:sz="8" w:space="0" w:color="auto"/>
              <w:right w:val="single" w:sz="8" w:space="0" w:color="auto"/>
            </w:tcBorders>
            <w:shd w:val="clear" w:color="auto" w:fill="auto"/>
            <w:vAlign w:val="center"/>
            <w:hideMark/>
          </w:tcPr>
          <w:p w14:paraId="520FE492"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r w:rsidRPr="00957E40">
              <w:rPr>
                <w:rFonts w:ascii="Arial Narrow" w:eastAsia="Times New Roman" w:hAnsi="Arial Narrow"/>
                <w:b/>
                <w:bCs/>
                <w:sz w:val="16"/>
                <w:szCs w:val="16"/>
              </w:rPr>
              <w:t xml:space="preserve">Ekspozycje wobec podmiotów sektora publicznego </w:t>
            </w:r>
          </w:p>
        </w:tc>
        <w:tc>
          <w:tcPr>
            <w:tcW w:w="680" w:type="dxa"/>
            <w:tcBorders>
              <w:top w:val="nil"/>
              <w:left w:val="nil"/>
              <w:bottom w:val="single" w:sz="8" w:space="0" w:color="auto"/>
              <w:right w:val="single" w:sz="8" w:space="0" w:color="auto"/>
            </w:tcBorders>
            <w:shd w:val="clear" w:color="auto" w:fill="auto"/>
            <w:noWrap/>
            <w:vAlign w:val="bottom"/>
            <w:hideMark/>
          </w:tcPr>
          <w:p w14:paraId="46C08BCE" w14:textId="77777777" w:rsidR="00342D91" w:rsidRPr="00957E40" w:rsidRDefault="00342D91" w:rsidP="00E275CE">
            <w:pPr>
              <w:spacing w:after="0" w:line="240" w:lineRule="auto"/>
              <w:ind w:left="0" w:right="0" w:firstLine="0"/>
              <w:jc w:val="center"/>
              <w:rPr>
                <w:rFonts w:ascii="Arial Narrow" w:eastAsia="Times New Roman" w:hAnsi="Arial Narrow"/>
                <w:color w:val="auto"/>
                <w:sz w:val="16"/>
                <w:szCs w:val="16"/>
              </w:rPr>
            </w:pPr>
            <w:r w:rsidRPr="00957E40">
              <w:rPr>
                <w:rFonts w:ascii="Arial Narrow" w:eastAsia="Times New Roman" w:hAnsi="Arial Narrow"/>
                <w:color w:val="auto"/>
                <w:sz w:val="16"/>
                <w:szCs w:val="16"/>
              </w:rPr>
              <w:t>100%</w:t>
            </w:r>
          </w:p>
        </w:tc>
        <w:tc>
          <w:tcPr>
            <w:tcW w:w="660" w:type="dxa"/>
            <w:tcBorders>
              <w:top w:val="nil"/>
              <w:left w:val="nil"/>
              <w:bottom w:val="single" w:sz="8" w:space="0" w:color="auto"/>
              <w:right w:val="single" w:sz="8" w:space="0" w:color="auto"/>
            </w:tcBorders>
            <w:shd w:val="clear" w:color="auto" w:fill="auto"/>
            <w:noWrap/>
            <w:vAlign w:val="bottom"/>
            <w:hideMark/>
          </w:tcPr>
          <w:p w14:paraId="63C044B6"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5</w:t>
            </w:r>
          </w:p>
        </w:tc>
        <w:tc>
          <w:tcPr>
            <w:tcW w:w="840" w:type="dxa"/>
            <w:tcBorders>
              <w:top w:val="nil"/>
              <w:left w:val="nil"/>
              <w:bottom w:val="single" w:sz="8" w:space="0" w:color="auto"/>
              <w:right w:val="single" w:sz="8" w:space="0" w:color="auto"/>
            </w:tcBorders>
            <w:shd w:val="clear" w:color="auto" w:fill="auto"/>
            <w:noWrap/>
            <w:vAlign w:val="bottom"/>
            <w:hideMark/>
          </w:tcPr>
          <w:p w14:paraId="6218E304"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00" w:type="dxa"/>
            <w:tcBorders>
              <w:top w:val="nil"/>
              <w:left w:val="nil"/>
              <w:bottom w:val="single" w:sz="8" w:space="0" w:color="auto"/>
              <w:right w:val="single" w:sz="8" w:space="0" w:color="auto"/>
            </w:tcBorders>
            <w:shd w:val="clear" w:color="auto" w:fill="auto"/>
            <w:vAlign w:val="bottom"/>
            <w:hideMark/>
          </w:tcPr>
          <w:p w14:paraId="6FC9F5AE"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5</w:t>
            </w:r>
          </w:p>
        </w:tc>
        <w:tc>
          <w:tcPr>
            <w:tcW w:w="880" w:type="dxa"/>
            <w:tcBorders>
              <w:top w:val="nil"/>
              <w:left w:val="nil"/>
              <w:bottom w:val="single" w:sz="8" w:space="0" w:color="auto"/>
              <w:right w:val="single" w:sz="8" w:space="0" w:color="auto"/>
            </w:tcBorders>
            <w:shd w:val="clear" w:color="auto" w:fill="auto"/>
            <w:vAlign w:val="bottom"/>
            <w:hideMark/>
          </w:tcPr>
          <w:p w14:paraId="31E2FD43"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5</w:t>
            </w:r>
          </w:p>
        </w:tc>
        <w:tc>
          <w:tcPr>
            <w:tcW w:w="1000" w:type="dxa"/>
            <w:tcBorders>
              <w:top w:val="nil"/>
              <w:left w:val="nil"/>
              <w:bottom w:val="single" w:sz="8" w:space="0" w:color="auto"/>
              <w:right w:val="single" w:sz="8" w:space="0" w:color="auto"/>
            </w:tcBorders>
            <w:shd w:val="clear" w:color="auto" w:fill="auto"/>
            <w:vAlign w:val="bottom"/>
            <w:hideMark/>
          </w:tcPr>
          <w:p w14:paraId="6C1AC04A"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5</w:t>
            </w:r>
          </w:p>
        </w:tc>
        <w:tc>
          <w:tcPr>
            <w:tcW w:w="1020" w:type="dxa"/>
            <w:tcBorders>
              <w:top w:val="nil"/>
              <w:left w:val="nil"/>
              <w:bottom w:val="single" w:sz="8" w:space="0" w:color="auto"/>
              <w:right w:val="single" w:sz="8" w:space="0" w:color="auto"/>
            </w:tcBorders>
            <w:shd w:val="clear" w:color="auto" w:fill="auto"/>
            <w:vAlign w:val="bottom"/>
            <w:hideMark/>
          </w:tcPr>
          <w:p w14:paraId="594FC5A0"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r>
      <w:tr w:rsidR="00342D91" w:rsidRPr="00957E40" w14:paraId="6D4A62EF" w14:textId="77777777" w:rsidTr="00E275CE">
        <w:trPr>
          <w:trHeight w:val="300"/>
        </w:trPr>
        <w:tc>
          <w:tcPr>
            <w:tcW w:w="260" w:type="dxa"/>
            <w:vMerge w:val="restart"/>
            <w:tcBorders>
              <w:top w:val="nil"/>
              <w:left w:val="single" w:sz="8" w:space="0" w:color="auto"/>
              <w:bottom w:val="nil"/>
              <w:right w:val="single" w:sz="8" w:space="0" w:color="auto"/>
            </w:tcBorders>
            <w:shd w:val="clear" w:color="auto" w:fill="auto"/>
            <w:noWrap/>
            <w:vAlign w:val="center"/>
            <w:hideMark/>
          </w:tcPr>
          <w:p w14:paraId="70A90A5D" w14:textId="77777777" w:rsidR="00342D91" w:rsidRPr="00957E40" w:rsidRDefault="00342D91" w:rsidP="00E275CE">
            <w:pPr>
              <w:spacing w:after="0" w:line="240" w:lineRule="auto"/>
              <w:ind w:left="0" w:right="0" w:firstLine="0"/>
              <w:jc w:val="center"/>
              <w:rPr>
                <w:rFonts w:ascii="Arial Narrow" w:eastAsia="Times New Roman" w:hAnsi="Arial Narrow"/>
                <w:b/>
                <w:bCs/>
                <w:sz w:val="16"/>
                <w:szCs w:val="16"/>
              </w:rPr>
            </w:pPr>
            <w:r w:rsidRPr="00957E40">
              <w:rPr>
                <w:rFonts w:ascii="Arial Narrow" w:eastAsia="Times New Roman" w:hAnsi="Arial Narrow"/>
                <w:b/>
                <w:bCs/>
                <w:sz w:val="16"/>
                <w:szCs w:val="16"/>
              </w:rPr>
              <w:t>4</w:t>
            </w:r>
          </w:p>
        </w:tc>
        <w:tc>
          <w:tcPr>
            <w:tcW w:w="3360" w:type="dxa"/>
            <w:vMerge w:val="restart"/>
            <w:tcBorders>
              <w:top w:val="nil"/>
              <w:left w:val="single" w:sz="8" w:space="0" w:color="auto"/>
              <w:bottom w:val="single" w:sz="8" w:space="0" w:color="000000"/>
              <w:right w:val="single" w:sz="8" w:space="0" w:color="auto"/>
            </w:tcBorders>
            <w:shd w:val="clear" w:color="auto" w:fill="auto"/>
            <w:vAlign w:val="center"/>
            <w:hideMark/>
          </w:tcPr>
          <w:p w14:paraId="1FFF7392"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r w:rsidRPr="00957E40">
              <w:rPr>
                <w:rFonts w:ascii="Arial Narrow" w:eastAsia="Times New Roman" w:hAnsi="Arial Narrow"/>
                <w:b/>
                <w:bCs/>
                <w:sz w:val="16"/>
                <w:szCs w:val="16"/>
              </w:rPr>
              <w:t xml:space="preserve">Ekspozycje wobec instytucji </w:t>
            </w:r>
          </w:p>
        </w:tc>
        <w:tc>
          <w:tcPr>
            <w:tcW w:w="680" w:type="dxa"/>
            <w:tcBorders>
              <w:top w:val="nil"/>
              <w:left w:val="nil"/>
              <w:bottom w:val="single" w:sz="8" w:space="0" w:color="auto"/>
              <w:right w:val="single" w:sz="8" w:space="0" w:color="auto"/>
            </w:tcBorders>
            <w:shd w:val="clear" w:color="auto" w:fill="auto"/>
            <w:noWrap/>
            <w:vAlign w:val="bottom"/>
            <w:hideMark/>
          </w:tcPr>
          <w:p w14:paraId="26015D2A" w14:textId="77777777" w:rsidR="00342D91" w:rsidRPr="00957E40" w:rsidRDefault="00342D91" w:rsidP="00E275CE">
            <w:pPr>
              <w:spacing w:after="0" w:line="240" w:lineRule="auto"/>
              <w:ind w:left="0" w:right="0" w:firstLine="0"/>
              <w:jc w:val="center"/>
              <w:rPr>
                <w:rFonts w:ascii="Arial Narrow" w:eastAsia="Times New Roman" w:hAnsi="Arial Narrow"/>
                <w:color w:val="auto"/>
                <w:sz w:val="16"/>
                <w:szCs w:val="16"/>
              </w:rPr>
            </w:pPr>
            <w:r w:rsidRPr="00957E40">
              <w:rPr>
                <w:rFonts w:ascii="Arial Narrow" w:eastAsia="Times New Roman" w:hAnsi="Arial Narrow"/>
                <w:color w:val="auto"/>
                <w:sz w:val="16"/>
                <w:szCs w:val="16"/>
              </w:rPr>
              <w:t>20%</w:t>
            </w:r>
          </w:p>
        </w:tc>
        <w:tc>
          <w:tcPr>
            <w:tcW w:w="660" w:type="dxa"/>
            <w:tcBorders>
              <w:top w:val="nil"/>
              <w:left w:val="nil"/>
              <w:bottom w:val="single" w:sz="8" w:space="0" w:color="auto"/>
              <w:right w:val="single" w:sz="8" w:space="0" w:color="auto"/>
            </w:tcBorders>
            <w:shd w:val="clear" w:color="auto" w:fill="auto"/>
            <w:noWrap/>
            <w:vAlign w:val="bottom"/>
            <w:hideMark/>
          </w:tcPr>
          <w:p w14:paraId="1D5FE5C8"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19 156</w:t>
            </w:r>
          </w:p>
        </w:tc>
        <w:tc>
          <w:tcPr>
            <w:tcW w:w="840" w:type="dxa"/>
            <w:tcBorders>
              <w:top w:val="nil"/>
              <w:left w:val="nil"/>
              <w:bottom w:val="single" w:sz="8" w:space="0" w:color="auto"/>
              <w:right w:val="single" w:sz="8" w:space="0" w:color="auto"/>
            </w:tcBorders>
            <w:shd w:val="clear" w:color="auto" w:fill="auto"/>
            <w:noWrap/>
            <w:vAlign w:val="bottom"/>
            <w:hideMark/>
          </w:tcPr>
          <w:p w14:paraId="02FEF51D"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00" w:type="dxa"/>
            <w:tcBorders>
              <w:top w:val="nil"/>
              <w:left w:val="nil"/>
              <w:bottom w:val="single" w:sz="8" w:space="0" w:color="auto"/>
              <w:right w:val="single" w:sz="8" w:space="0" w:color="auto"/>
            </w:tcBorders>
            <w:shd w:val="clear" w:color="auto" w:fill="auto"/>
            <w:vAlign w:val="bottom"/>
            <w:hideMark/>
          </w:tcPr>
          <w:p w14:paraId="0A0E09A5"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19 156</w:t>
            </w:r>
          </w:p>
        </w:tc>
        <w:tc>
          <w:tcPr>
            <w:tcW w:w="880" w:type="dxa"/>
            <w:tcBorders>
              <w:top w:val="nil"/>
              <w:left w:val="nil"/>
              <w:bottom w:val="single" w:sz="8" w:space="0" w:color="auto"/>
              <w:right w:val="single" w:sz="8" w:space="0" w:color="auto"/>
            </w:tcBorders>
            <w:shd w:val="clear" w:color="auto" w:fill="auto"/>
            <w:vAlign w:val="bottom"/>
            <w:hideMark/>
          </w:tcPr>
          <w:p w14:paraId="5794A395"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3 831</w:t>
            </w:r>
          </w:p>
        </w:tc>
        <w:tc>
          <w:tcPr>
            <w:tcW w:w="1000" w:type="dxa"/>
            <w:tcBorders>
              <w:top w:val="nil"/>
              <w:left w:val="nil"/>
              <w:bottom w:val="single" w:sz="8" w:space="0" w:color="auto"/>
              <w:right w:val="single" w:sz="8" w:space="0" w:color="auto"/>
            </w:tcBorders>
            <w:shd w:val="clear" w:color="auto" w:fill="auto"/>
            <w:vAlign w:val="bottom"/>
            <w:hideMark/>
          </w:tcPr>
          <w:p w14:paraId="7C547524"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3 831</w:t>
            </w:r>
          </w:p>
        </w:tc>
        <w:tc>
          <w:tcPr>
            <w:tcW w:w="1020" w:type="dxa"/>
            <w:tcBorders>
              <w:top w:val="nil"/>
              <w:left w:val="nil"/>
              <w:bottom w:val="single" w:sz="8" w:space="0" w:color="auto"/>
              <w:right w:val="single" w:sz="8" w:space="0" w:color="auto"/>
            </w:tcBorders>
            <w:shd w:val="clear" w:color="auto" w:fill="auto"/>
            <w:vAlign w:val="bottom"/>
            <w:hideMark/>
          </w:tcPr>
          <w:p w14:paraId="4F1ED7D2"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307</w:t>
            </w:r>
          </w:p>
        </w:tc>
      </w:tr>
      <w:tr w:rsidR="00342D91" w:rsidRPr="00957E40" w14:paraId="7257B6E9" w14:textId="77777777" w:rsidTr="00E275CE">
        <w:trPr>
          <w:trHeight w:val="300"/>
        </w:trPr>
        <w:tc>
          <w:tcPr>
            <w:tcW w:w="260" w:type="dxa"/>
            <w:vMerge/>
            <w:tcBorders>
              <w:top w:val="nil"/>
              <w:left w:val="single" w:sz="8" w:space="0" w:color="auto"/>
              <w:bottom w:val="nil"/>
              <w:right w:val="single" w:sz="8" w:space="0" w:color="auto"/>
            </w:tcBorders>
            <w:vAlign w:val="center"/>
            <w:hideMark/>
          </w:tcPr>
          <w:p w14:paraId="59C26E3F"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p>
        </w:tc>
        <w:tc>
          <w:tcPr>
            <w:tcW w:w="3360" w:type="dxa"/>
            <w:vMerge/>
            <w:tcBorders>
              <w:top w:val="nil"/>
              <w:left w:val="single" w:sz="8" w:space="0" w:color="auto"/>
              <w:bottom w:val="single" w:sz="8" w:space="0" w:color="000000"/>
              <w:right w:val="single" w:sz="8" w:space="0" w:color="auto"/>
            </w:tcBorders>
            <w:vAlign w:val="center"/>
            <w:hideMark/>
          </w:tcPr>
          <w:p w14:paraId="130C57CF"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p>
        </w:tc>
        <w:tc>
          <w:tcPr>
            <w:tcW w:w="680" w:type="dxa"/>
            <w:tcBorders>
              <w:top w:val="nil"/>
              <w:left w:val="nil"/>
              <w:bottom w:val="single" w:sz="8" w:space="0" w:color="auto"/>
              <w:right w:val="single" w:sz="8" w:space="0" w:color="auto"/>
            </w:tcBorders>
            <w:shd w:val="clear" w:color="auto" w:fill="auto"/>
            <w:noWrap/>
            <w:vAlign w:val="bottom"/>
            <w:hideMark/>
          </w:tcPr>
          <w:p w14:paraId="5B914969" w14:textId="77777777" w:rsidR="00342D91" w:rsidRPr="00957E40" w:rsidRDefault="00342D91" w:rsidP="00E275CE">
            <w:pPr>
              <w:spacing w:after="0" w:line="240" w:lineRule="auto"/>
              <w:ind w:left="0" w:right="0" w:firstLine="0"/>
              <w:jc w:val="center"/>
              <w:rPr>
                <w:rFonts w:ascii="Arial Narrow" w:eastAsia="Times New Roman" w:hAnsi="Arial Narrow"/>
                <w:color w:val="auto"/>
                <w:sz w:val="16"/>
                <w:szCs w:val="16"/>
              </w:rPr>
            </w:pPr>
            <w:r w:rsidRPr="00957E40">
              <w:rPr>
                <w:rFonts w:ascii="Arial Narrow" w:eastAsia="Times New Roman" w:hAnsi="Arial Narrow"/>
                <w:color w:val="auto"/>
                <w:sz w:val="16"/>
                <w:szCs w:val="16"/>
              </w:rPr>
              <w:t>50%</w:t>
            </w:r>
          </w:p>
        </w:tc>
        <w:tc>
          <w:tcPr>
            <w:tcW w:w="660" w:type="dxa"/>
            <w:tcBorders>
              <w:top w:val="nil"/>
              <w:left w:val="nil"/>
              <w:bottom w:val="single" w:sz="8" w:space="0" w:color="auto"/>
              <w:right w:val="single" w:sz="8" w:space="0" w:color="auto"/>
            </w:tcBorders>
            <w:shd w:val="clear" w:color="auto" w:fill="auto"/>
            <w:noWrap/>
            <w:vAlign w:val="bottom"/>
            <w:hideMark/>
          </w:tcPr>
          <w:p w14:paraId="6FBA173C"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31 044</w:t>
            </w:r>
          </w:p>
        </w:tc>
        <w:tc>
          <w:tcPr>
            <w:tcW w:w="840" w:type="dxa"/>
            <w:tcBorders>
              <w:top w:val="nil"/>
              <w:left w:val="nil"/>
              <w:bottom w:val="single" w:sz="8" w:space="0" w:color="auto"/>
              <w:right w:val="single" w:sz="8" w:space="0" w:color="auto"/>
            </w:tcBorders>
            <w:shd w:val="clear" w:color="auto" w:fill="auto"/>
            <w:noWrap/>
            <w:vAlign w:val="bottom"/>
            <w:hideMark/>
          </w:tcPr>
          <w:p w14:paraId="511A4DAF"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00" w:type="dxa"/>
            <w:tcBorders>
              <w:top w:val="nil"/>
              <w:left w:val="nil"/>
              <w:bottom w:val="single" w:sz="8" w:space="0" w:color="auto"/>
              <w:right w:val="single" w:sz="8" w:space="0" w:color="auto"/>
            </w:tcBorders>
            <w:shd w:val="clear" w:color="auto" w:fill="auto"/>
            <w:vAlign w:val="bottom"/>
            <w:hideMark/>
          </w:tcPr>
          <w:p w14:paraId="79231A32"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31 044</w:t>
            </w:r>
          </w:p>
        </w:tc>
        <w:tc>
          <w:tcPr>
            <w:tcW w:w="880" w:type="dxa"/>
            <w:tcBorders>
              <w:top w:val="nil"/>
              <w:left w:val="nil"/>
              <w:bottom w:val="single" w:sz="8" w:space="0" w:color="auto"/>
              <w:right w:val="single" w:sz="8" w:space="0" w:color="auto"/>
            </w:tcBorders>
            <w:shd w:val="clear" w:color="auto" w:fill="auto"/>
            <w:vAlign w:val="bottom"/>
            <w:hideMark/>
          </w:tcPr>
          <w:p w14:paraId="52B0F862"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15 522</w:t>
            </w:r>
          </w:p>
        </w:tc>
        <w:tc>
          <w:tcPr>
            <w:tcW w:w="1000" w:type="dxa"/>
            <w:tcBorders>
              <w:top w:val="nil"/>
              <w:left w:val="nil"/>
              <w:bottom w:val="single" w:sz="8" w:space="0" w:color="auto"/>
              <w:right w:val="single" w:sz="8" w:space="0" w:color="auto"/>
            </w:tcBorders>
            <w:shd w:val="clear" w:color="auto" w:fill="auto"/>
            <w:vAlign w:val="bottom"/>
            <w:hideMark/>
          </w:tcPr>
          <w:p w14:paraId="6A35AA21"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15 522</w:t>
            </w:r>
          </w:p>
        </w:tc>
        <w:tc>
          <w:tcPr>
            <w:tcW w:w="1020" w:type="dxa"/>
            <w:tcBorders>
              <w:top w:val="nil"/>
              <w:left w:val="nil"/>
              <w:bottom w:val="single" w:sz="8" w:space="0" w:color="auto"/>
              <w:right w:val="single" w:sz="8" w:space="0" w:color="auto"/>
            </w:tcBorders>
            <w:shd w:val="clear" w:color="auto" w:fill="auto"/>
            <w:vAlign w:val="bottom"/>
            <w:hideMark/>
          </w:tcPr>
          <w:p w14:paraId="27CCAEB9"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1 242</w:t>
            </w:r>
          </w:p>
        </w:tc>
      </w:tr>
      <w:tr w:rsidR="00342D91" w:rsidRPr="00957E40" w14:paraId="7E5D5179" w14:textId="77777777" w:rsidTr="00E275CE">
        <w:trPr>
          <w:trHeight w:val="345"/>
        </w:trPr>
        <w:tc>
          <w:tcPr>
            <w:tcW w:w="260" w:type="dxa"/>
            <w:tcBorders>
              <w:top w:val="single" w:sz="8" w:space="0" w:color="auto"/>
              <w:left w:val="single" w:sz="8" w:space="0" w:color="auto"/>
              <w:bottom w:val="nil"/>
              <w:right w:val="single" w:sz="8" w:space="0" w:color="auto"/>
            </w:tcBorders>
            <w:shd w:val="clear" w:color="auto" w:fill="auto"/>
            <w:noWrap/>
            <w:vAlign w:val="center"/>
            <w:hideMark/>
          </w:tcPr>
          <w:p w14:paraId="2A110254" w14:textId="77777777" w:rsidR="00342D91" w:rsidRPr="00957E40" w:rsidRDefault="00342D91" w:rsidP="00E275CE">
            <w:pPr>
              <w:spacing w:after="0" w:line="240" w:lineRule="auto"/>
              <w:ind w:left="0" w:right="0" w:firstLine="0"/>
              <w:jc w:val="center"/>
              <w:rPr>
                <w:rFonts w:ascii="Arial Narrow" w:eastAsia="Times New Roman" w:hAnsi="Arial Narrow"/>
                <w:b/>
                <w:bCs/>
                <w:sz w:val="16"/>
                <w:szCs w:val="16"/>
              </w:rPr>
            </w:pPr>
            <w:r w:rsidRPr="00957E40">
              <w:rPr>
                <w:rFonts w:ascii="Arial Narrow" w:eastAsia="Times New Roman" w:hAnsi="Arial Narrow"/>
                <w:b/>
                <w:bCs/>
                <w:sz w:val="16"/>
                <w:szCs w:val="16"/>
              </w:rPr>
              <w:lastRenderedPageBreak/>
              <w:t>5</w:t>
            </w:r>
          </w:p>
        </w:tc>
        <w:tc>
          <w:tcPr>
            <w:tcW w:w="3360" w:type="dxa"/>
            <w:tcBorders>
              <w:top w:val="nil"/>
              <w:left w:val="nil"/>
              <w:bottom w:val="single" w:sz="8" w:space="0" w:color="auto"/>
              <w:right w:val="single" w:sz="8" w:space="0" w:color="auto"/>
            </w:tcBorders>
            <w:shd w:val="clear" w:color="auto" w:fill="auto"/>
            <w:vAlign w:val="center"/>
            <w:hideMark/>
          </w:tcPr>
          <w:p w14:paraId="699329C1"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r w:rsidRPr="00957E40">
              <w:rPr>
                <w:rFonts w:ascii="Arial Narrow" w:eastAsia="Times New Roman" w:hAnsi="Arial Narrow"/>
                <w:b/>
                <w:bCs/>
                <w:sz w:val="16"/>
                <w:szCs w:val="16"/>
              </w:rPr>
              <w:t>Ekspozycje wobec przedsiębiorców</w:t>
            </w:r>
          </w:p>
        </w:tc>
        <w:tc>
          <w:tcPr>
            <w:tcW w:w="680" w:type="dxa"/>
            <w:tcBorders>
              <w:top w:val="nil"/>
              <w:left w:val="nil"/>
              <w:bottom w:val="single" w:sz="8" w:space="0" w:color="auto"/>
              <w:right w:val="single" w:sz="8" w:space="0" w:color="auto"/>
            </w:tcBorders>
            <w:shd w:val="clear" w:color="auto" w:fill="auto"/>
            <w:noWrap/>
            <w:vAlign w:val="bottom"/>
            <w:hideMark/>
          </w:tcPr>
          <w:p w14:paraId="4DB5B7C4" w14:textId="77777777" w:rsidR="00342D91" w:rsidRPr="00957E40" w:rsidRDefault="00342D91" w:rsidP="00E275CE">
            <w:pPr>
              <w:spacing w:after="0" w:line="240" w:lineRule="auto"/>
              <w:ind w:left="0" w:right="0" w:firstLine="0"/>
              <w:jc w:val="center"/>
              <w:rPr>
                <w:rFonts w:ascii="Arial Narrow" w:eastAsia="Times New Roman" w:hAnsi="Arial Narrow"/>
                <w:color w:val="auto"/>
                <w:sz w:val="16"/>
                <w:szCs w:val="16"/>
              </w:rPr>
            </w:pPr>
            <w:r w:rsidRPr="00957E40">
              <w:rPr>
                <w:rFonts w:ascii="Arial Narrow" w:eastAsia="Times New Roman" w:hAnsi="Arial Narrow"/>
                <w:color w:val="auto"/>
                <w:sz w:val="16"/>
                <w:szCs w:val="16"/>
              </w:rPr>
              <w:t>100%</w:t>
            </w:r>
          </w:p>
        </w:tc>
        <w:tc>
          <w:tcPr>
            <w:tcW w:w="660" w:type="dxa"/>
            <w:tcBorders>
              <w:top w:val="nil"/>
              <w:left w:val="nil"/>
              <w:bottom w:val="single" w:sz="8" w:space="0" w:color="auto"/>
              <w:right w:val="single" w:sz="8" w:space="0" w:color="auto"/>
            </w:tcBorders>
            <w:shd w:val="clear" w:color="auto" w:fill="auto"/>
            <w:noWrap/>
            <w:vAlign w:val="bottom"/>
            <w:hideMark/>
          </w:tcPr>
          <w:p w14:paraId="4F57AE32"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36 854</w:t>
            </w:r>
          </w:p>
        </w:tc>
        <w:tc>
          <w:tcPr>
            <w:tcW w:w="840" w:type="dxa"/>
            <w:tcBorders>
              <w:top w:val="nil"/>
              <w:left w:val="nil"/>
              <w:bottom w:val="single" w:sz="8" w:space="0" w:color="auto"/>
              <w:right w:val="single" w:sz="8" w:space="0" w:color="auto"/>
            </w:tcBorders>
            <w:shd w:val="clear" w:color="auto" w:fill="auto"/>
            <w:noWrap/>
            <w:vAlign w:val="bottom"/>
            <w:hideMark/>
          </w:tcPr>
          <w:p w14:paraId="71C2A5C1"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2 631</w:t>
            </w:r>
          </w:p>
        </w:tc>
        <w:tc>
          <w:tcPr>
            <w:tcW w:w="800" w:type="dxa"/>
            <w:tcBorders>
              <w:top w:val="nil"/>
              <w:left w:val="nil"/>
              <w:bottom w:val="single" w:sz="8" w:space="0" w:color="auto"/>
              <w:right w:val="single" w:sz="8" w:space="0" w:color="auto"/>
            </w:tcBorders>
            <w:shd w:val="clear" w:color="auto" w:fill="auto"/>
            <w:noWrap/>
            <w:vAlign w:val="bottom"/>
            <w:hideMark/>
          </w:tcPr>
          <w:p w14:paraId="535DC50A"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35 619</w:t>
            </w:r>
          </w:p>
        </w:tc>
        <w:tc>
          <w:tcPr>
            <w:tcW w:w="880" w:type="dxa"/>
            <w:tcBorders>
              <w:top w:val="nil"/>
              <w:left w:val="nil"/>
              <w:bottom w:val="single" w:sz="8" w:space="0" w:color="auto"/>
              <w:right w:val="single" w:sz="8" w:space="0" w:color="auto"/>
            </w:tcBorders>
            <w:shd w:val="clear" w:color="auto" w:fill="auto"/>
            <w:noWrap/>
            <w:vAlign w:val="bottom"/>
            <w:hideMark/>
          </w:tcPr>
          <w:p w14:paraId="4F5CE813"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35 619</w:t>
            </w:r>
          </w:p>
        </w:tc>
        <w:tc>
          <w:tcPr>
            <w:tcW w:w="1000" w:type="dxa"/>
            <w:tcBorders>
              <w:top w:val="nil"/>
              <w:left w:val="nil"/>
              <w:bottom w:val="single" w:sz="8" w:space="0" w:color="auto"/>
              <w:right w:val="single" w:sz="8" w:space="0" w:color="auto"/>
            </w:tcBorders>
            <w:shd w:val="clear" w:color="auto" w:fill="auto"/>
            <w:noWrap/>
            <w:vAlign w:val="bottom"/>
            <w:hideMark/>
          </w:tcPr>
          <w:p w14:paraId="3A3FF9C5"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31 375</w:t>
            </w:r>
          </w:p>
        </w:tc>
        <w:tc>
          <w:tcPr>
            <w:tcW w:w="1020" w:type="dxa"/>
            <w:tcBorders>
              <w:top w:val="nil"/>
              <w:left w:val="nil"/>
              <w:bottom w:val="single" w:sz="8" w:space="0" w:color="auto"/>
              <w:right w:val="single" w:sz="8" w:space="0" w:color="auto"/>
            </w:tcBorders>
            <w:shd w:val="clear" w:color="auto" w:fill="auto"/>
            <w:noWrap/>
            <w:vAlign w:val="bottom"/>
            <w:hideMark/>
          </w:tcPr>
          <w:p w14:paraId="435DBE60"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2 510</w:t>
            </w:r>
          </w:p>
        </w:tc>
      </w:tr>
      <w:tr w:rsidR="00342D91" w:rsidRPr="00957E40" w14:paraId="67BFC0E7" w14:textId="77777777" w:rsidTr="00E275CE">
        <w:trPr>
          <w:trHeight w:val="345"/>
        </w:trPr>
        <w:tc>
          <w:tcPr>
            <w:tcW w:w="260" w:type="dxa"/>
            <w:tcBorders>
              <w:top w:val="single" w:sz="8" w:space="0" w:color="auto"/>
              <w:left w:val="single" w:sz="8" w:space="0" w:color="auto"/>
              <w:bottom w:val="nil"/>
              <w:right w:val="single" w:sz="8" w:space="0" w:color="auto"/>
            </w:tcBorders>
            <w:shd w:val="clear" w:color="auto" w:fill="auto"/>
            <w:noWrap/>
            <w:vAlign w:val="center"/>
            <w:hideMark/>
          </w:tcPr>
          <w:p w14:paraId="5D0B7EAC" w14:textId="77777777" w:rsidR="00342D91" w:rsidRPr="00957E40" w:rsidRDefault="00342D91" w:rsidP="00E275CE">
            <w:pPr>
              <w:spacing w:after="0" w:line="240" w:lineRule="auto"/>
              <w:ind w:left="0" w:right="0" w:firstLine="0"/>
              <w:jc w:val="center"/>
              <w:rPr>
                <w:rFonts w:ascii="Arial Narrow" w:eastAsia="Times New Roman" w:hAnsi="Arial Narrow"/>
                <w:b/>
                <w:bCs/>
                <w:sz w:val="16"/>
                <w:szCs w:val="16"/>
              </w:rPr>
            </w:pPr>
            <w:r w:rsidRPr="00957E40">
              <w:rPr>
                <w:rFonts w:ascii="Arial Narrow" w:eastAsia="Times New Roman" w:hAnsi="Arial Narrow"/>
                <w:b/>
                <w:bCs/>
                <w:sz w:val="16"/>
                <w:szCs w:val="16"/>
              </w:rPr>
              <w:t>6</w:t>
            </w:r>
          </w:p>
        </w:tc>
        <w:tc>
          <w:tcPr>
            <w:tcW w:w="3360" w:type="dxa"/>
            <w:tcBorders>
              <w:top w:val="nil"/>
              <w:left w:val="nil"/>
              <w:bottom w:val="single" w:sz="8" w:space="0" w:color="auto"/>
              <w:right w:val="single" w:sz="8" w:space="0" w:color="auto"/>
            </w:tcBorders>
            <w:shd w:val="clear" w:color="auto" w:fill="auto"/>
            <w:vAlign w:val="center"/>
            <w:hideMark/>
          </w:tcPr>
          <w:p w14:paraId="1D078618"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r w:rsidRPr="00957E40">
              <w:rPr>
                <w:rFonts w:ascii="Arial Narrow" w:eastAsia="Times New Roman" w:hAnsi="Arial Narrow"/>
                <w:b/>
                <w:bCs/>
                <w:sz w:val="16"/>
                <w:szCs w:val="16"/>
              </w:rPr>
              <w:t>Ekspozycje detaliczne</w:t>
            </w:r>
          </w:p>
        </w:tc>
        <w:tc>
          <w:tcPr>
            <w:tcW w:w="680" w:type="dxa"/>
            <w:tcBorders>
              <w:top w:val="nil"/>
              <w:left w:val="nil"/>
              <w:bottom w:val="single" w:sz="8" w:space="0" w:color="auto"/>
              <w:right w:val="single" w:sz="8" w:space="0" w:color="auto"/>
            </w:tcBorders>
            <w:shd w:val="clear" w:color="auto" w:fill="auto"/>
            <w:noWrap/>
            <w:vAlign w:val="bottom"/>
            <w:hideMark/>
          </w:tcPr>
          <w:p w14:paraId="44B018FD" w14:textId="77777777" w:rsidR="00342D91" w:rsidRPr="00957E40" w:rsidRDefault="00342D91" w:rsidP="00E275CE">
            <w:pPr>
              <w:spacing w:after="0" w:line="240" w:lineRule="auto"/>
              <w:ind w:left="0" w:right="0" w:firstLine="0"/>
              <w:jc w:val="center"/>
              <w:rPr>
                <w:rFonts w:ascii="Arial Narrow" w:eastAsia="Times New Roman" w:hAnsi="Arial Narrow"/>
                <w:color w:val="auto"/>
                <w:sz w:val="16"/>
                <w:szCs w:val="16"/>
              </w:rPr>
            </w:pPr>
            <w:r w:rsidRPr="00957E40">
              <w:rPr>
                <w:rFonts w:ascii="Arial Narrow" w:eastAsia="Times New Roman" w:hAnsi="Arial Narrow"/>
                <w:color w:val="auto"/>
                <w:sz w:val="16"/>
                <w:szCs w:val="16"/>
              </w:rPr>
              <w:t>75%</w:t>
            </w:r>
          </w:p>
        </w:tc>
        <w:tc>
          <w:tcPr>
            <w:tcW w:w="660" w:type="dxa"/>
            <w:tcBorders>
              <w:top w:val="nil"/>
              <w:left w:val="nil"/>
              <w:bottom w:val="single" w:sz="8" w:space="0" w:color="auto"/>
              <w:right w:val="single" w:sz="8" w:space="0" w:color="auto"/>
            </w:tcBorders>
            <w:shd w:val="clear" w:color="auto" w:fill="auto"/>
            <w:noWrap/>
            <w:vAlign w:val="bottom"/>
            <w:hideMark/>
          </w:tcPr>
          <w:p w14:paraId="32BB8CAF"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245 766</w:t>
            </w:r>
          </w:p>
        </w:tc>
        <w:tc>
          <w:tcPr>
            <w:tcW w:w="840" w:type="dxa"/>
            <w:tcBorders>
              <w:top w:val="nil"/>
              <w:left w:val="nil"/>
              <w:bottom w:val="single" w:sz="8" w:space="0" w:color="auto"/>
              <w:right w:val="single" w:sz="8" w:space="0" w:color="auto"/>
            </w:tcBorders>
            <w:shd w:val="clear" w:color="auto" w:fill="auto"/>
            <w:noWrap/>
            <w:vAlign w:val="bottom"/>
            <w:hideMark/>
          </w:tcPr>
          <w:p w14:paraId="6010E931"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20 027</w:t>
            </w:r>
          </w:p>
        </w:tc>
        <w:tc>
          <w:tcPr>
            <w:tcW w:w="800" w:type="dxa"/>
            <w:tcBorders>
              <w:top w:val="nil"/>
              <w:left w:val="nil"/>
              <w:bottom w:val="single" w:sz="8" w:space="0" w:color="auto"/>
              <w:right w:val="single" w:sz="8" w:space="0" w:color="auto"/>
            </w:tcBorders>
            <w:shd w:val="clear" w:color="auto" w:fill="auto"/>
            <w:noWrap/>
            <w:vAlign w:val="bottom"/>
            <w:hideMark/>
          </w:tcPr>
          <w:p w14:paraId="03CEF1EB"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235 143</w:t>
            </w:r>
          </w:p>
        </w:tc>
        <w:tc>
          <w:tcPr>
            <w:tcW w:w="880" w:type="dxa"/>
            <w:tcBorders>
              <w:top w:val="nil"/>
              <w:left w:val="nil"/>
              <w:bottom w:val="single" w:sz="8" w:space="0" w:color="auto"/>
              <w:right w:val="single" w:sz="8" w:space="0" w:color="auto"/>
            </w:tcBorders>
            <w:shd w:val="clear" w:color="auto" w:fill="auto"/>
            <w:noWrap/>
            <w:vAlign w:val="bottom"/>
            <w:hideMark/>
          </w:tcPr>
          <w:p w14:paraId="3523742D"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176 357</w:t>
            </w:r>
          </w:p>
        </w:tc>
        <w:tc>
          <w:tcPr>
            <w:tcW w:w="1000" w:type="dxa"/>
            <w:tcBorders>
              <w:top w:val="nil"/>
              <w:left w:val="nil"/>
              <w:bottom w:val="single" w:sz="8" w:space="0" w:color="auto"/>
              <w:right w:val="single" w:sz="8" w:space="0" w:color="auto"/>
            </w:tcBorders>
            <w:shd w:val="clear" w:color="auto" w:fill="auto"/>
            <w:noWrap/>
            <w:vAlign w:val="bottom"/>
            <w:hideMark/>
          </w:tcPr>
          <w:p w14:paraId="2C2CB7D8"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166 780</w:t>
            </w:r>
          </w:p>
        </w:tc>
        <w:tc>
          <w:tcPr>
            <w:tcW w:w="1020" w:type="dxa"/>
            <w:tcBorders>
              <w:top w:val="nil"/>
              <w:left w:val="nil"/>
              <w:bottom w:val="single" w:sz="8" w:space="0" w:color="auto"/>
              <w:right w:val="single" w:sz="8" w:space="0" w:color="auto"/>
            </w:tcBorders>
            <w:shd w:val="clear" w:color="auto" w:fill="auto"/>
            <w:noWrap/>
            <w:vAlign w:val="bottom"/>
            <w:hideMark/>
          </w:tcPr>
          <w:p w14:paraId="4A95969C"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13 342</w:t>
            </w:r>
          </w:p>
        </w:tc>
      </w:tr>
      <w:tr w:rsidR="00342D91" w:rsidRPr="00957E40" w14:paraId="4CEAF0FE" w14:textId="77777777" w:rsidTr="00E275CE">
        <w:trPr>
          <w:trHeight w:val="345"/>
        </w:trPr>
        <w:tc>
          <w:tcPr>
            <w:tcW w:w="260" w:type="dxa"/>
            <w:tcBorders>
              <w:top w:val="single" w:sz="8" w:space="0" w:color="auto"/>
              <w:left w:val="single" w:sz="8" w:space="0" w:color="auto"/>
              <w:bottom w:val="nil"/>
              <w:right w:val="single" w:sz="8" w:space="0" w:color="auto"/>
            </w:tcBorders>
            <w:shd w:val="clear" w:color="auto" w:fill="auto"/>
            <w:noWrap/>
            <w:vAlign w:val="center"/>
            <w:hideMark/>
          </w:tcPr>
          <w:p w14:paraId="42583CC7" w14:textId="77777777" w:rsidR="00342D91" w:rsidRPr="00957E40" w:rsidRDefault="00342D91" w:rsidP="00E275CE">
            <w:pPr>
              <w:spacing w:after="0" w:line="240" w:lineRule="auto"/>
              <w:ind w:left="0" w:right="0" w:firstLine="0"/>
              <w:jc w:val="center"/>
              <w:rPr>
                <w:rFonts w:ascii="Arial Narrow" w:eastAsia="Times New Roman" w:hAnsi="Arial Narrow"/>
                <w:b/>
                <w:bCs/>
                <w:sz w:val="16"/>
                <w:szCs w:val="16"/>
              </w:rPr>
            </w:pPr>
            <w:r w:rsidRPr="00957E40">
              <w:rPr>
                <w:rFonts w:ascii="Arial Narrow" w:eastAsia="Times New Roman" w:hAnsi="Arial Narrow"/>
                <w:b/>
                <w:bCs/>
                <w:sz w:val="16"/>
                <w:szCs w:val="16"/>
              </w:rPr>
              <w:t>7</w:t>
            </w:r>
          </w:p>
        </w:tc>
        <w:tc>
          <w:tcPr>
            <w:tcW w:w="3360" w:type="dxa"/>
            <w:tcBorders>
              <w:top w:val="nil"/>
              <w:left w:val="nil"/>
              <w:bottom w:val="single" w:sz="8" w:space="0" w:color="auto"/>
              <w:right w:val="single" w:sz="8" w:space="0" w:color="auto"/>
            </w:tcBorders>
            <w:shd w:val="clear" w:color="auto" w:fill="auto"/>
            <w:vAlign w:val="center"/>
            <w:hideMark/>
          </w:tcPr>
          <w:p w14:paraId="4E20767C"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r w:rsidRPr="00957E40">
              <w:rPr>
                <w:rFonts w:ascii="Arial Narrow" w:eastAsia="Times New Roman" w:hAnsi="Arial Narrow"/>
                <w:b/>
                <w:bCs/>
                <w:sz w:val="16"/>
                <w:szCs w:val="16"/>
              </w:rPr>
              <w:t xml:space="preserve">Ekspozycje zabezpieczone na nieruchomościach: </w:t>
            </w:r>
          </w:p>
        </w:tc>
        <w:tc>
          <w:tcPr>
            <w:tcW w:w="680" w:type="dxa"/>
            <w:tcBorders>
              <w:top w:val="nil"/>
              <w:left w:val="nil"/>
              <w:bottom w:val="single" w:sz="8" w:space="0" w:color="auto"/>
              <w:right w:val="single" w:sz="8" w:space="0" w:color="auto"/>
            </w:tcBorders>
            <w:shd w:val="clear" w:color="auto" w:fill="auto"/>
            <w:noWrap/>
            <w:vAlign w:val="bottom"/>
            <w:hideMark/>
          </w:tcPr>
          <w:p w14:paraId="4E6E44DE" w14:textId="77777777" w:rsidR="00342D91" w:rsidRPr="00957E40" w:rsidRDefault="00342D91" w:rsidP="00E275CE">
            <w:pPr>
              <w:spacing w:after="0" w:line="240" w:lineRule="auto"/>
              <w:ind w:left="0" w:right="0" w:firstLine="0"/>
              <w:jc w:val="center"/>
              <w:rPr>
                <w:rFonts w:ascii="Arial Narrow" w:eastAsia="Times New Roman" w:hAnsi="Arial Narrow"/>
                <w:color w:val="auto"/>
                <w:sz w:val="16"/>
                <w:szCs w:val="16"/>
              </w:rPr>
            </w:pPr>
            <w:r w:rsidRPr="00957E40">
              <w:rPr>
                <w:rFonts w:ascii="Arial Narrow" w:eastAsia="Times New Roman" w:hAnsi="Arial Narrow"/>
                <w:color w:val="auto"/>
                <w:sz w:val="16"/>
                <w:szCs w:val="16"/>
              </w:rPr>
              <w:t>100%</w:t>
            </w:r>
          </w:p>
        </w:tc>
        <w:tc>
          <w:tcPr>
            <w:tcW w:w="660" w:type="dxa"/>
            <w:tcBorders>
              <w:top w:val="nil"/>
              <w:left w:val="nil"/>
              <w:bottom w:val="single" w:sz="8" w:space="0" w:color="auto"/>
              <w:right w:val="single" w:sz="8" w:space="0" w:color="auto"/>
            </w:tcBorders>
            <w:shd w:val="clear" w:color="auto" w:fill="auto"/>
            <w:noWrap/>
            <w:vAlign w:val="bottom"/>
            <w:hideMark/>
          </w:tcPr>
          <w:p w14:paraId="7754DFF9"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158 639</w:t>
            </w:r>
          </w:p>
        </w:tc>
        <w:tc>
          <w:tcPr>
            <w:tcW w:w="840" w:type="dxa"/>
            <w:tcBorders>
              <w:top w:val="nil"/>
              <w:left w:val="nil"/>
              <w:bottom w:val="single" w:sz="8" w:space="0" w:color="auto"/>
              <w:right w:val="single" w:sz="8" w:space="0" w:color="auto"/>
            </w:tcBorders>
            <w:shd w:val="clear" w:color="auto" w:fill="auto"/>
            <w:noWrap/>
            <w:vAlign w:val="bottom"/>
            <w:hideMark/>
          </w:tcPr>
          <w:p w14:paraId="0E213FCF"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7 246</w:t>
            </w:r>
          </w:p>
        </w:tc>
        <w:tc>
          <w:tcPr>
            <w:tcW w:w="800" w:type="dxa"/>
            <w:tcBorders>
              <w:top w:val="nil"/>
              <w:left w:val="nil"/>
              <w:bottom w:val="single" w:sz="8" w:space="0" w:color="auto"/>
              <w:right w:val="single" w:sz="8" w:space="0" w:color="auto"/>
            </w:tcBorders>
            <w:shd w:val="clear" w:color="auto" w:fill="auto"/>
            <w:noWrap/>
            <w:vAlign w:val="bottom"/>
            <w:hideMark/>
          </w:tcPr>
          <w:p w14:paraId="2C998E7D"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155 016</w:t>
            </w:r>
          </w:p>
        </w:tc>
        <w:tc>
          <w:tcPr>
            <w:tcW w:w="880" w:type="dxa"/>
            <w:tcBorders>
              <w:top w:val="nil"/>
              <w:left w:val="nil"/>
              <w:bottom w:val="single" w:sz="8" w:space="0" w:color="auto"/>
              <w:right w:val="single" w:sz="8" w:space="0" w:color="auto"/>
            </w:tcBorders>
            <w:shd w:val="clear" w:color="auto" w:fill="auto"/>
            <w:noWrap/>
            <w:vAlign w:val="bottom"/>
            <w:hideMark/>
          </w:tcPr>
          <w:p w14:paraId="19FC2449"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155 016</w:t>
            </w:r>
          </w:p>
        </w:tc>
        <w:tc>
          <w:tcPr>
            <w:tcW w:w="1000" w:type="dxa"/>
            <w:tcBorders>
              <w:top w:val="nil"/>
              <w:left w:val="nil"/>
              <w:bottom w:val="single" w:sz="8" w:space="0" w:color="auto"/>
              <w:right w:val="single" w:sz="8" w:space="0" w:color="auto"/>
            </w:tcBorders>
            <w:shd w:val="clear" w:color="auto" w:fill="auto"/>
            <w:noWrap/>
            <w:vAlign w:val="bottom"/>
            <w:hideMark/>
          </w:tcPr>
          <w:p w14:paraId="7908B3F2"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121 454</w:t>
            </w:r>
          </w:p>
        </w:tc>
        <w:tc>
          <w:tcPr>
            <w:tcW w:w="1020" w:type="dxa"/>
            <w:tcBorders>
              <w:top w:val="nil"/>
              <w:left w:val="nil"/>
              <w:bottom w:val="single" w:sz="8" w:space="0" w:color="auto"/>
              <w:right w:val="single" w:sz="8" w:space="0" w:color="auto"/>
            </w:tcBorders>
            <w:shd w:val="clear" w:color="auto" w:fill="auto"/>
            <w:noWrap/>
            <w:vAlign w:val="bottom"/>
            <w:hideMark/>
          </w:tcPr>
          <w:p w14:paraId="5DEC4A4A"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9 716</w:t>
            </w:r>
          </w:p>
        </w:tc>
      </w:tr>
      <w:tr w:rsidR="00342D91" w:rsidRPr="00957E40" w14:paraId="4EFE3746" w14:textId="77777777" w:rsidTr="00E275CE">
        <w:trPr>
          <w:trHeight w:val="288"/>
        </w:trPr>
        <w:tc>
          <w:tcPr>
            <w:tcW w:w="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C2C20A1" w14:textId="77777777" w:rsidR="00342D91" w:rsidRPr="00957E40" w:rsidRDefault="00342D91" w:rsidP="00E275CE">
            <w:pPr>
              <w:spacing w:after="0" w:line="240" w:lineRule="auto"/>
              <w:ind w:left="0" w:right="0" w:firstLine="0"/>
              <w:jc w:val="center"/>
              <w:rPr>
                <w:rFonts w:ascii="Arial Narrow" w:eastAsia="Times New Roman" w:hAnsi="Arial Narrow"/>
                <w:b/>
                <w:bCs/>
                <w:sz w:val="16"/>
                <w:szCs w:val="16"/>
              </w:rPr>
            </w:pPr>
            <w:r w:rsidRPr="00957E40">
              <w:rPr>
                <w:rFonts w:ascii="Arial Narrow" w:eastAsia="Times New Roman" w:hAnsi="Arial Narrow"/>
                <w:b/>
                <w:bCs/>
                <w:sz w:val="16"/>
                <w:szCs w:val="16"/>
              </w:rPr>
              <w:t>8</w:t>
            </w:r>
          </w:p>
        </w:tc>
        <w:tc>
          <w:tcPr>
            <w:tcW w:w="3360" w:type="dxa"/>
            <w:vMerge w:val="restart"/>
            <w:tcBorders>
              <w:top w:val="nil"/>
              <w:left w:val="single" w:sz="8" w:space="0" w:color="auto"/>
              <w:bottom w:val="single" w:sz="8" w:space="0" w:color="000000"/>
              <w:right w:val="single" w:sz="8" w:space="0" w:color="auto"/>
            </w:tcBorders>
            <w:shd w:val="clear" w:color="auto" w:fill="auto"/>
            <w:vAlign w:val="center"/>
            <w:hideMark/>
          </w:tcPr>
          <w:p w14:paraId="73ECB0F4"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r w:rsidRPr="00957E40">
              <w:rPr>
                <w:rFonts w:ascii="Arial Narrow" w:eastAsia="Times New Roman" w:hAnsi="Arial Narrow"/>
                <w:b/>
                <w:bCs/>
                <w:sz w:val="16"/>
                <w:szCs w:val="16"/>
              </w:rPr>
              <w:t>Ekspozycje, których dotyczy niewykonanie zobowiązania :</w:t>
            </w:r>
          </w:p>
        </w:tc>
        <w:tc>
          <w:tcPr>
            <w:tcW w:w="680" w:type="dxa"/>
            <w:tcBorders>
              <w:top w:val="nil"/>
              <w:left w:val="nil"/>
              <w:bottom w:val="single" w:sz="8" w:space="0" w:color="auto"/>
              <w:right w:val="single" w:sz="8" w:space="0" w:color="auto"/>
            </w:tcBorders>
            <w:shd w:val="clear" w:color="auto" w:fill="auto"/>
            <w:noWrap/>
            <w:vAlign w:val="bottom"/>
            <w:hideMark/>
          </w:tcPr>
          <w:p w14:paraId="5A4D7334" w14:textId="77777777" w:rsidR="00342D91" w:rsidRPr="00957E40" w:rsidRDefault="00342D91" w:rsidP="00E275CE">
            <w:pPr>
              <w:spacing w:after="0" w:line="240" w:lineRule="auto"/>
              <w:ind w:left="0" w:right="0" w:firstLine="0"/>
              <w:jc w:val="center"/>
              <w:rPr>
                <w:rFonts w:ascii="Arial Narrow" w:eastAsia="Times New Roman" w:hAnsi="Arial Narrow"/>
                <w:color w:val="auto"/>
                <w:sz w:val="16"/>
                <w:szCs w:val="16"/>
              </w:rPr>
            </w:pPr>
            <w:r w:rsidRPr="00957E40">
              <w:rPr>
                <w:rFonts w:ascii="Arial Narrow" w:eastAsia="Times New Roman" w:hAnsi="Arial Narrow"/>
                <w:color w:val="auto"/>
                <w:sz w:val="16"/>
                <w:szCs w:val="16"/>
              </w:rPr>
              <w:t>150%</w:t>
            </w:r>
          </w:p>
        </w:tc>
        <w:tc>
          <w:tcPr>
            <w:tcW w:w="660" w:type="dxa"/>
            <w:tcBorders>
              <w:top w:val="nil"/>
              <w:left w:val="nil"/>
              <w:bottom w:val="single" w:sz="8" w:space="0" w:color="auto"/>
              <w:right w:val="single" w:sz="8" w:space="0" w:color="auto"/>
            </w:tcBorders>
            <w:shd w:val="clear" w:color="auto" w:fill="auto"/>
            <w:noWrap/>
            <w:vAlign w:val="bottom"/>
            <w:hideMark/>
          </w:tcPr>
          <w:p w14:paraId="684987C0"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8</w:t>
            </w:r>
          </w:p>
        </w:tc>
        <w:tc>
          <w:tcPr>
            <w:tcW w:w="840" w:type="dxa"/>
            <w:tcBorders>
              <w:top w:val="nil"/>
              <w:left w:val="nil"/>
              <w:bottom w:val="single" w:sz="8" w:space="0" w:color="auto"/>
              <w:right w:val="single" w:sz="8" w:space="0" w:color="auto"/>
            </w:tcBorders>
            <w:shd w:val="clear" w:color="auto" w:fill="auto"/>
            <w:noWrap/>
            <w:vAlign w:val="bottom"/>
            <w:hideMark/>
          </w:tcPr>
          <w:p w14:paraId="67E9C63C"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00" w:type="dxa"/>
            <w:tcBorders>
              <w:top w:val="nil"/>
              <w:left w:val="nil"/>
              <w:bottom w:val="single" w:sz="8" w:space="0" w:color="auto"/>
              <w:right w:val="single" w:sz="8" w:space="0" w:color="auto"/>
            </w:tcBorders>
            <w:shd w:val="clear" w:color="auto" w:fill="auto"/>
            <w:vAlign w:val="bottom"/>
            <w:hideMark/>
          </w:tcPr>
          <w:p w14:paraId="0E66E4CF"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8</w:t>
            </w:r>
          </w:p>
        </w:tc>
        <w:tc>
          <w:tcPr>
            <w:tcW w:w="880" w:type="dxa"/>
            <w:tcBorders>
              <w:top w:val="nil"/>
              <w:left w:val="nil"/>
              <w:bottom w:val="single" w:sz="8" w:space="0" w:color="auto"/>
              <w:right w:val="single" w:sz="8" w:space="0" w:color="auto"/>
            </w:tcBorders>
            <w:shd w:val="clear" w:color="auto" w:fill="auto"/>
            <w:vAlign w:val="bottom"/>
            <w:hideMark/>
          </w:tcPr>
          <w:p w14:paraId="1C649A17"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12</w:t>
            </w:r>
          </w:p>
        </w:tc>
        <w:tc>
          <w:tcPr>
            <w:tcW w:w="1000" w:type="dxa"/>
            <w:tcBorders>
              <w:top w:val="nil"/>
              <w:left w:val="nil"/>
              <w:bottom w:val="single" w:sz="8" w:space="0" w:color="auto"/>
              <w:right w:val="single" w:sz="8" w:space="0" w:color="auto"/>
            </w:tcBorders>
            <w:shd w:val="clear" w:color="auto" w:fill="auto"/>
            <w:vAlign w:val="bottom"/>
            <w:hideMark/>
          </w:tcPr>
          <w:p w14:paraId="5A78235E"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12</w:t>
            </w:r>
          </w:p>
        </w:tc>
        <w:tc>
          <w:tcPr>
            <w:tcW w:w="1020" w:type="dxa"/>
            <w:tcBorders>
              <w:top w:val="nil"/>
              <w:left w:val="nil"/>
              <w:bottom w:val="single" w:sz="8" w:space="0" w:color="auto"/>
              <w:right w:val="single" w:sz="8" w:space="0" w:color="auto"/>
            </w:tcBorders>
            <w:shd w:val="clear" w:color="auto" w:fill="auto"/>
            <w:vAlign w:val="bottom"/>
            <w:hideMark/>
          </w:tcPr>
          <w:p w14:paraId="4DF1C422"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w:t>
            </w:r>
          </w:p>
        </w:tc>
      </w:tr>
      <w:tr w:rsidR="00342D91" w:rsidRPr="00957E40" w14:paraId="1EF4BD7D" w14:textId="77777777" w:rsidTr="00E275CE">
        <w:trPr>
          <w:trHeight w:val="288"/>
        </w:trPr>
        <w:tc>
          <w:tcPr>
            <w:tcW w:w="260" w:type="dxa"/>
            <w:vMerge/>
            <w:tcBorders>
              <w:top w:val="single" w:sz="8" w:space="0" w:color="auto"/>
              <w:left w:val="single" w:sz="8" w:space="0" w:color="auto"/>
              <w:bottom w:val="single" w:sz="8" w:space="0" w:color="000000"/>
              <w:right w:val="single" w:sz="8" w:space="0" w:color="auto"/>
            </w:tcBorders>
            <w:vAlign w:val="center"/>
            <w:hideMark/>
          </w:tcPr>
          <w:p w14:paraId="099B59FD"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p>
        </w:tc>
        <w:tc>
          <w:tcPr>
            <w:tcW w:w="3360" w:type="dxa"/>
            <w:vMerge/>
            <w:tcBorders>
              <w:top w:val="nil"/>
              <w:left w:val="single" w:sz="8" w:space="0" w:color="auto"/>
              <w:bottom w:val="single" w:sz="8" w:space="0" w:color="000000"/>
              <w:right w:val="single" w:sz="8" w:space="0" w:color="auto"/>
            </w:tcBorders>
            <w:vAlign w:val="center"/>
            <w:hideMark/>
          </w:tcPr>
          <w:p w14:paraId="27D8056B"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p>
        </w:tc>
        <w:tc>
          <w:tcPr>
            <w:tcW w:w="680" w:type="dxa"/>
            <w:tcBorders>
              <w:top w:val="nil"/>
              <w:left w:val="nil"/>
              <w:bottom w:val="single" w:sz="8" w:space="0" w:color="auto"/>
              <w:right w:val="single" w:sz="8" w:space="0" w:color="auto"/>
            </w:tcBorders>
            <w:shd w:val="clear" w:color="auto" w:fill="auto"/>
            <w:noWrap/>
            <w:vAlign w:val="bottom"/>
            <w:hideMark/>
          </w:tcPr>
          <w:p w14:paraId="2554B0CA" w14:textId="77777777" w:rsidR="00342D91" w:rsidRPr="00957E40" w:rsidRDefault="00342D91" w:rsidP="00E275CE">
            <w:pPr>
              <w:spacing w:after="0" w:line="240" w:lineRule="auto"/>
              <w:ind w:left="0" w:right="0" w:firstLine="0"/>
              <w:jc w:val="center"/>
              <w:rPr>
                <w:rFonts w:ascii="Arial Narrow" w:eastAsia="Times New Roman" w:hAnsi="Arial Narrow"/>
                <w:color w:val="auto"/>
                <w:sz w:val="16"/>
                <w:szCs w:val="16"/>
              </w:rPr>
            </w:pPr>
            <w:r w:rsidRPr="00957E40">
              <w:rPr>
                <w:rFonts w:ascii="Arial Narrow" w:eastAsia="Times New Roman" w:hAnsi="Arial Narrow"/>
                <w:color w:val="auto"/>
                <w:sz w:val="16"/>
                <w:szCs w:val="16"/>
              </w:rPr>
              <w:t>100%</w:t>
            </w:r>
          </w:p>
        </w:tc>
        <w:tc>
          <w:tcPr>
            <w:tcW w:w="660" w:type="dxa"/>
            <w:tcBorders>
              <w:top w:val="nil"/>
              <w:left w:val="nil"/>
              <w:bottom w:val="single" w:sz="8" w:space="0" w:color="auto"/>
              <w:right w:val="single" w:sz="8" w:space="0" w:color="auto"/>
            </w:tcBorders>
            <w:shd w:val="clear" w:color="auto" w:fill="auto"/>
            <w:noWrap/>
            <w:vAlign w:val="bottom"/>
            <w:hideMark/>
          </w:tcPr>
          <w:p w14:paraId="3D0F03D5"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1 478</w:t>
            </w:r>
          </w:p>
        </w:tc>
        <w:tc>
          <w:tcPr>
            <w:tcW w:w="840" w:type="dxa"/>
            <w:tcBorders>
              <w:top w:val="nil"/>
              <w:left w:val="nil"/>
              <w:bottom w:val="single" w:sz="8" w:space="0" w:color="auto"/>
              <w:right w:val="single" w:sz="8" w:space="0" w:color="auto"/>
            </w:tcBorders>
            <w:shd w:val="clear" w:color="auto" w:fill="auto"/>
            <w:noWrap/>
            <w:vAlign w:val="bottom"/>
            <w:hideMark/>
          </w:tcPr>
          <w:p w14:paraId="0412E30A"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00" w:type="dxa"/>
            <w:tcBorders>
              <w:top w:val="nil"/>
              <w:left w:val="nil"/>
              <w:bottom w:val="single" w:sz="8" w:space="0" w:color="auto"/>
              <w:right w:val="single" w:sz="8" w:space="0" w:color="auto"/>
            </w:tcBorders>
            <w:shd w:val="clear" w:color="auto" w:fill="auto"/>
            <w:vAlign w:val="bottom"/>
            <w:hideMark/>
          </w:tcPr>
          <w:p w14:paraId="639CB63F"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1 478</w:t>
            </w:r>
          </w:p>
        </w:tc>
        <w:tc>
          <w:tcPr>
            <w:tcW w:w="880" w:type="dxa"/>
            <w:tcBorders>
              <w:top w:val="nil"/>
              <w:left w:val="nil"/>
              <w:bottom w:val="single" w:sz="8" w:space="0" w:color="auto"/>
              <w:right w:val="single" w:sz="8" w:space="0" w:color="auto"/>
            </w:tcBorders>
            <w:shd w:val="clear" w:color="auto" w:fill="auto"/>
            <w:vAlign w:val="bottom"/>
            <w:hideMark/>
          </w:tcPr>
          <w:p w14:paraId="0E0870E5"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1 478</w:t>
            </w:r>
          </w:p>
        </w:tc>
        <w:tc>
          <w:tcPr>
            <w:tcW w:w="1000" w:type="dxa"/>
            <w:tcBorders>
              <w:top w:val="nil"/>
              <w:left w:val="nil"/>
              <w:bottom w:val="single" w:sz="8" w:space="0" w:color="auto"/>
              <w:right w:val="single" w:sz="8" w:space="0" w:color="auto"/>
            </w:tcBorders>
            <w:shd w:val="clear" w:color="auto" w:fill="auto"/>
            <w:vAlign w:val="bottom"/>
            <w:hideMark/>
          </w:tcPr>
          <w:p w14:paraId="74DFCB25"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1 478</w:t>
            </w:r>
          </w:p>
        </w:tc>
        <w:tc>
          <w:tcPr>
            <w:tcW w:w="1020" w:type="dxa"/>
            <w:tcBorders>
              <w:top w:val="nil"/>
              <w:left w:val="nil"/>
              <w:bottom w:val="single" w:sz="8" w:space="0" w:color="auto"/>
              <w:right w:val="single" w:sz="8" w:space="0" w:color="auto"/>
            </w:tcBorders>
            <w:shd w:val="clear" w:color="auto" w:fill="auto"/>
            <w:vAlign w:val="bottom"/>
            <w:hideMark/>
          </w:tcPr>
          <w:p w14:paraId="48812EFF"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118</w:t>
            </w:r>
          </w:p>
        </w:tc>
      </w:tr>
      <w:tr w:rsidR="00342D91" w:rsidRPr="00957E40" w14:paraId="5E330B0B" w14:textId="77777777" w:rsidTr="00E275CE">
        <w:trPr>
          <w:trHeight w:val="420"/>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14:paraId="2E161783" w14:textId="77777777" w:rsidR="00342D91" w:rsidRPr="00957E40" w:rsidRDefault="00342D91" w:rsidP="00E275CE">
            <w:pPr>
              <w:spacing w:after="0" w:line="240" w:lineRule="auto"/>
              <w:ind w:left="0" w:right="0" w:firstLine="0"/>
              <w:jc w:val="center"/>
              <w:rPr>
                <w:rFonts w:ascii="Arial Narrow" w:eastAsia="Times New Roman" w:hAnsi="Arial Narrow"/>
                <w:b/>
                <w:bCs/>
                <w:sz w:val="16"/>
                <w:szCs w:val="16"/>
              </w:rPr>
            </w:pPr>
            <w:r w:rsidRPr="00957E40">
              <w:rPr>
                <w:rFonts w:ascii="Arial Narrow" w:eastAsia="Times New Roman" w:hAnsi="Arial Narrow"/>
                <w:b/>
                <w:bCs/>
                <w:sz w:val="16"/>
                <w:szCs w:val="16"/>
              </w:rPr>
              <w:t>9</w:t>
            </w:r>
          </w:p>
        </w:tc>
        <w:tc>
          <w:tcPr>
            <w:tcW w:w="3360" w:type="dxa"/>
            <w:tcBorders>
              <w:top w:val="nil"/>
              <w:left w:val="nil"/>
              <w:bottom w:val="single" w:sz="8" w:space="0" w:color="auto"/>
              <w:right w:val="single" w:sz="8" w:space="0" w:color="auto"/>
            </w:tcBorders>
            <w:shd w:val="clear" w:color="auto" w:fill="auto"/>
            <w:vAlign w:val="center"/>
            <w:hideMark/>
          </w:tcPr>
          <w:p w14:paraId="2090D1C9"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r w:rsidRPr="00957E40">
              <w:rPr>
                <w:rFonts w:ascii="Arial Narrow" w:eastAsia="Times New Roman" w:hAnsi="Arial Narrow"/>
                <w:b/>
                <w:bCs/>
                <w:sz w:val="16"/>
                <w:szCs w:val="16"/>
              </w:rPr>
              <w:t>Ekspozycje związane ze szczególnie wysokim ryzykiem.</w:t>
            </w:r>
          </w:p>
        </w:tc>
        <w:tc>
          <w:tcPr>
            <w:tcW w:w="680" w:type="dxa"/>
            <w:tcBorders>
              <w:top w:val="nil"/>
              <w:left w:val="nil"/>
              <w:bottom w:val="single" w:sz="8" w:space="0" w:color="auto"/>
              <w:right w:val="single" w:sz="8" w:space="0" w:color="auto"/>
            </w:tcBorders>
            <w:shd w:val="clear" w:color="auto" w:fill="auto"/>
            <w:noWrap/>
            <w:vAlign w:val="bottom"/>
            <w:hideMark/>
          </w:tcPr>
          <w:p w14:paraId="6ECCD3A6" w14:textId="77777777" w:rsidR="00342D91" w:rsidRPr="00957E40" w:rsidRDefault="00342D91" w:rsidP="00E275CE">
            <w:pPr>
              <w:spacing w:after="0" w:line="240" w:lineRule="auto"/>
              <w:ind w:left="0" w:right="0" w:firstLine="0"/>
              <w:jc w:val="center"/>
              <w:rPr>
                <w:rFonts w:ascii="Arial Narrow" w:eastAsia="Times New Roman" w:hAnsi="Arial Narrow"/>
                <w:color w:val="auto"/>
                <w:sz w:val="16"/>
                <w:szCs w:val="16"/>
              </w:rPr>
            </w:pPr>
            <w:r w:rsidRPr="00957E40">
              <w:rPr>
                <w:rFonts w:ascii="Arial Narrow" w:eastAsia="Times New Roman" w:hAnsi="Arial Narrow"/>
                <w:color w:val="auto"/>
                <w:sz w:val="16"/>
                <w:szCs w:val="16"/>
              </w:rPr>
              <w:t>150%</w:t>
            </w:r>
          </w:p>
        </w:tc>
        <w:tc>
          <w:tcPr>
            <w:tcW w:w="660" w:type="dxa"/>
            <w:tcBorders>
              <w:top w:val="nil"/>
              <w:left w:val="nil"/>
              <w:bottom w:val="single" w:sz="8" w:space="0" w:color="auto"/>
              <w:right w:val="single" w:sz="8" w:space="0" w:color="auto"/>
            </w:tcBorders>
            <w:shd w:val="clear" w:color="auto" w:fill="auto"/>
            <w:noWrap/>
            <w:vAlign w:val="bottom"/>
            <w:hideMark/>
          </w:tcPr>
          <w:p w14:paraId="42E07A05"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40" w:type="dxa"/>
            <w:tcBorders>
              <w:top w:val="nil"/>
              <w:left w:val="nil"/>
              <w:bottom w:val="single" w:sz="8" w:space="0" w:color="auto"/>
              <w:right w:val="single" w:sz="8" w:space="0" w:color="auto"/>
            </w:tcBorders>
            <w:shd w:val="clear" w:color="auto" w:fill="auto"/>
            <w:noWrap/>
            <w:vAlign w:val="bottom"/>
            <w:hideMark/>
          </w:tcPr>
          <w:p w14:paraId="38B5EF41"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00" w:type="dxa"/>
            <w:tcBorders>
              <w:top w:val="nil"/>
              <w:left w:val="nil"/>
              <w:bottom w:val="single" w:sz="8" w:space="0" w:color="auto"/>
              <w:right w:val="single" w:sz="8" w:space="0" w:color="auto"/>
            </w:tcBorders>
            <w:shd w:val="clear" w:color="auto" w:fill="auto"/>
            <w:vAlign w:val="bottom"/>
            <w:hideMark/>
          </w:tcPr>
          <w:p w14:paraId="36A8577F"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80" w:type="dxa"/>
            <w:tcBorders>
              <w:top w:val="nil"/>
              <w:left w:val="nil"/>
              <w:bottom w:val="single" w:sz="8" w:space="0" w:color="auto"/>
              <w:right w:val="single" w:sz="8" w:space="0" w:color="auto"/>
            </w:tcBorders>
            <w:shd w:val="clear" w:color="auto" w:fill="auto"/>
            <w:vAlign w:val="bottom"/>
            <w:hideMark/>
          </w:tcPr>
          <w:p w14:paraId="73317687"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1000" w:type="dxa"/>
            <w:tcBorders>
              <w:top w:val="nil"/>
              <w:left w:val="nil"/>
              <w:bottom w:val="single" w:sz="8" w:space="0" w:color="auto"/>
              <w:right w:val="single" w:sz="8" w:space="0" w:color="auto"/>
            </w:tcBorders>
            <w:shd w:val="clear" w:color="auto" w:fill="auto"/>
            <w:vAlign w:val="bottom"/>
            <w:hideMark/>
          </w:tcPr>
          <w:p w14:paraId="4B9D1F9D"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1020" w:type="dxa"/>
            <w:tcBorders>
              <w:top w:val="nil"/>
              <w:left w:val="nil"/>
              <w:bottom w:val="single" w:sz="8" w:space="0" w:color="auto"/>
              <w:right w:val="single" w:sz="8" w:space="0" w:color="auto"/>
            </w:tcBorders>
            <w:shd w:val="clear" w:color="auto" w:fill="auto"/>
            <w:vAlign w:val="bottom"/>
            <w:hideMark/>
          </w:tcPr>
          <w:p w14:paraId="65D2AC90"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r>
      <w:tr w:rsidR="00342D91" w:rsidRPr="00957E40" w14:paraId="26BF687B" w14:textId="77777777" w:rsidTr="00E275CE">
        <w:trPr>
          <w:trHeight w:val="345"/>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14:paraId="673B9310" w14:textId="77777777" w:rsidR="00342D91" w:rsidRPr="00957E40" w:rsidRDefault="00342D91" w:rsidP="00E275CE">
            <w:pPr>
              <w:spacing w:after="0" w:line="240" w:lineRule="auto"/>
              <w:ind w:left="0" w:right="0" w:firstLine="0"/>
              <w:jc w:val="center"/>
              <w:rPr>
                <w:rFonts w:ascii="Arial Narrow" w:eastAsia="Times New Roman" w:hAnsi="Arial Narrow"/>
                <w:b/>
                <w:bCs/>
                <w:sz w:val="16"/>
                <w:szCs w:val="16"/>
              </w:rPr>
            </w:pPr>
            <w:r w:rsidRPr="00957E40">
              <w:rPr>
                <w:rFonts w:ascii="Arial Narrow" w:eastAsia="Times New Roman" w:hAnsi="Arial Narrow"/>
                <w:b/>
                <w:bCs/>
                <w:sz w:val="16"/>
                <w:szCs w:val="16"/>
              </w:rPr>
              <w:t>10</w:t>
            </w:r>
          </w:p>
        </w:tc>
        <w:tc>
          <w:tcPr>
            <w:tcW w:w="3360" w:type="dxa"/>
            <w:tcBorders>
              <w:top w:val="nil"/>
              <w:left w:val="nil"/>
              <w:bottom w:val="single" w:sz="8" w:space="0" w:color="auto"/>
              <w:right w:val="single" w:sz="8" w:space="0" w:color="auto"/>
            </w:tcBorders>
            <w:shd w:val="clear" w:color="auto" w:fill="auto"/>
            <w:noWrap/>
            <w:vAlign w:val="center"/>
            <w:hideMark/>
          </w:tcPr>
          <w:p w14:paraId="7385C67E"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r w:rsidRPr="00957E40">
              <w:rPr>
                <w:rFonts w:ascii="Arial Narrow" w:eastAsia="Times New Roman" w:hAnsi="Arial Narrow"/>
                <w:b/>
                <w:bCs/>
                <w:sz w:val="16"/>
                <w:szCs w:val="16"/>
              </w:rPr>
              <w:t>Ekspozycje w postaci obligacji zabezpieczonych.</w:t>
            </w:r>
          </w:p>
        </w:tc>
        <w:tc>
          <w:tcPr>
            <w:tcW w:w="680" w:type="dxa"/>
            <w:tcBorders>
              <w:top w:val="nil"/>
              <w:left w:val="nil"/>
              <w:bottom w:val="single" w:sz="8" w:space="0" w:color="auto"/>
              <w:right w:val="single" w:sz="8" w:space="0" w:color="auto"/>
            </w:tcBorders>
            <w:shd w:val="clear" w:color="auto" w:fill="auto"/>
            <w:noWrap/>
            <w:vAlign w:val="bottom"/>
            <w:hideMark/>
          </w:tcPr>
          <w:p w14:paraId="6E1CCF60" w14:textId="77777777" w:rsidR="00342D91" w:rsidRPr="00957E40" w:rsidRDefault="00342D91" w:rsidP="00E275CE">
            <w:pPr>
              <w:spacing w:after="0" w:line="240" w:lineRule="auto"/>
              <w:ind w:left="0" w:right="0" w:firstLine="0"/>
              <w:jc w:val="center"/>
              <w:rPr>
                <w:rFonts w:ascii="Arial Narrow" w:eastAsia="Times New Roman" w:hAnsi="Arial Narrow"/>
                <w:color w:val="auto"/>
                <w:sz w:val="16"/>
                <w:szCs w:val="16"/>
              </w:rPr>
            </w:pPr>
            <w:r w:rsidRPr="00957E40">
              <w:rPr>
                <w:rFonts w:ascii="Arial Narrow" w:eastAsia="Times New Roman" w:hAnsi="Arial Narrow"/>
                <w:color w:val="auto"/>
                <w:sz w:val="16"/>
                <w:szCs w:val="16"/>
              </w:rPr>
              <w:t> </w:t>
            </w:r>
          </w:p>
        </w:tc>
        <w:tc>
          <w:tcPr>
            <w:tcW w:w="660" w:type="dxa"/>
            <w:tcBorders>
              <w:top w:val="nil"/>
              <w:left w:val="nil"/>
              <w:bottom w:val="single" w:sz="8" w:space="0" w:color="auto"/>
              <w:right w:val="single" w:sz="8" w:space="0" w:color="auto"/>
            </w:tcBorders>
            <w:shd w:val="clear" w:color="auto" w:fill="auto"/>
            <w:noWrap/>
            <w:vAlign w:val="bottom"/>
            <w:hideMark/>
          </w:tcPr>
          <w:p w14:paraId="624C7C9A"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40" w:type="dxa"/>
            <w:tcBorders>
              <w:top w:val="nil"/>
              <w:left w:val="nil"/>
              <w:bottom w:val="single" w:sz="8" w:space="0" w:color="auto"/>
              <w:right w:val="single" w:sz="8" w:space="0" w:color="auto"/>
            </w:tcBorders>
            <w:shd w:val="clear" w:color="auto" w:fill="auto"/>
            <w:noWrap/>
            <w:vAlign w:val="bottom"/>
            <w:hideMark/>
          </w:tcPr>
          <w:p w14:paraId="2B54FAFC"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00" w:type="dxa"/>
            <w:tcBorders>
              <w:top w:val="nil"/>
              <w:left w:val="nil"/>
              <w:bottom w:val="single" w:sz="8" w:space="0" w:color="auto"/>
              <w:right w:val="single" w:sz="8" w:space="0" w:color="auto"/>
            </w:tcBorders>
            <w:shd w:val="clear" w:color="auto" w:fill="auto"/>
            <w:vAlign w:val="bottom"/>
            <w:hideMark/>
          </w:tcPr>
          <w:p w14:paraId="762D639F"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80" w:type="dxa"/>
            <w:tcBorders>
              <w:top w:val="nil"/>
              <w:left w:val="nil"/>
              <w:bottom w:val="single" w:sz="8" w:space="0" w:color="auto"/>
              <w:right w:val="single" w:sz="8" w:space="0" w:color="auto"/>
            </w:tcBorders>
            <w:shd w:val="clear" w:color="auto" w:fill="auto"/>
            <w:noWrap/>
            <w:vAlign w:val="bottom"/>
            <w:hideMark/>
          </w:tcPr>
          <w:p w14:paraId="4653AEF1"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1000" w:type="dxa"/>
            <w:tcBorders>
              <w:top w:val="nil"/>
              <w:left w:val="nil"/>
              <w:bottom w:val="single" w:sz="8" w:space="0" w:color="auto"/>
              <w:right w:val="single" w:sz="8" w:space="0" w:color="auto"/>
            </w:tcBorders>
            <w:shd w:val="clear" w:color="auto" w:fill="auto"/>
            <w:vAlign w:val="bottom"/>
            <w:hideMark/>
          </w:tcPr>
          <w:p w14:paraId="136B27D9"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1020" w:type="dxa"/>
            <w:tcBorders>
              <w:top w:val="nil"/>
              <w:left w:val="nil"/>
              <w:bottom w:val="single" w:sz="8" w:space="0" w:color="auto"/>
              <w:right w:val="single" w:sz="8" w:space="0" w:color="auto"/>
            </w:tcBorders>
            <w:shd w:val="clear" w:color="auto" w:fill="auto"/>
            <w:vAlign w:val="bottom"/>
            <w:hideMark/>
          </w:tcPr>
          <w:p w14:paraId="10E47093"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r>
      <w:tr w:rsidR="00342D91" w:rsidRPr="00957E40" w14:paraId="59C693ED" w14:textId="77777777" w:rsidTr="00E275CE">
        <w:trPr>
          <w:trHeight w:val="345"/>
        </w:trPr>
        <w:tc>
          <w:tcPr>
            <w:tcW w:w="260" w:type="dxa"/>
            <w:tcBorders>
              <w:top w:val="nil"/>
              <w:left w:val="single" w:sz="8" w:space="0" w:color="auto"/>
              <w:bottom w:val="single" w:sz="8" w:space="0" w:color="auto"/>
              <w:right w:val="single" w:sz="8" w:space="0" w:color="auto"/>
            </w:tcBorders>
            <w:shd w:val="clear" w:color="auto" w:fill="auto"/>
            <w:vAlign w:val="center"/>
            <w:hideMark/>
          </w:tcPr>
          <w:p w14:paraId="18180F8D" w14:textId="77777777" w:rsidR="00342D91" w:rsidRPr="00957E40" w:rsidRDefault="00342D91" w:rsidP="00E275CE">
            <w:pPr>
              <w:spacing w:after="0" w:line="240" w:lineRule="auto"/>
              <w:ind w:left="0" w:right="0" w:firstLine="0"/>
              <w:jc w:val="center"/>
              <w:rPr>
                <w:rFonts w:ascii="Arial Narrow" w:eastAsia="Times New Roman" w:hAnsi="Arial Narrow"/>
                <w:b/>
                <w:bCs/>
                <w:sz w:val="16"/>
                <w:szCs w:val="16"/>
              </w:rPr>
            </w:pPr>
            <w:r w:rsidRPr="00957E40">
              <w:rPr>
                <w:rFonts w:ascii="Arial Narrow" w:eastAsia="Times New Roman" w:hAnsi="Arial Narrow"/>
                <w:b/>
                <w:bCs/>
                <w:sz w:val="16"/>
                <w:szCs w:val="16"/>
              </w:rPr>
              <w:t>11</w:t>
            </w:r>
          </w:p>
        </w:tc>
        <w:tc>
          <w:tcPr>
            <w:tcW w:w="3360" w:type="dxa"/>
            <w:tcBorders>
              <w:top w:val="nil"/>
              <w:left w:val="nil"/>
              <w:bottom w:val="single" w:sz="8" w:space="0" w:color="auto"/>
              <w:right w:val="single" w:sz="8" w:space="0" w:color="auto"/>
            </w:tcBorders>
            <w:shd w:val="clear" w:color="auto" w:fill="auto"/>
            <w:vAlign w:val="center"/>
            <w:hideMark/>
          </w:tcPr>
          <w:p w14:paraId="6E195808"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r w:rsidRPr="00957E40">
              <w:rPr>
                <w:rFonts w:ascii="Arial Narrow" w:eastAsia="Times New Roman" w:hAnsi="Arial Narrow"/>
                <w:b/>
                <w:bCs/>
                <w:sz w:val="16"/>
                <w:szCs w:val="16"/>
              </w:rPr>
              <w:t>Pozycje sekurytyzacyjne.</w:t>
            </w:r>
          </w:p>
        </w:tc>
        <w:tc>
          <w:tcPr>
            <w:tcW w:w="680" w:type="dxa"/>
            <w:tcBorders>
              <w:top w:val="nil"/>
              <w:left w:val="nil"/>
              <w:bottom w:val="single" w:sz="8" w:space="0" w:color="auto"/>
              <w:right w:val="single" w:sz="8" w:space="0" w:color="auto"/>
            </w:tcBorders>
            <w:shd w:val="clear" w:color="auto" w:fill="auto"/>
            <w:noWrap/>
            <w:vAlign w:val="bottom"/>
            <w:hideMark/>
          </w:tcPr>
          <w:p w14:paraId="5D531381" w14:textId="77777777" w:rsidR="00342D91" w:rsidRPr="00957E40" w:rsidRDefault="00342D91" w:rsidP="00E275CE">
            <w:pPr>
              <w:spacing w:after="0" w:line="240" w:lineRule="auto"/>
              <w:ind w:left="0" w:right="0" w:firstLine="0"/>
              <w:jc w:val="center"/>
              <w:rPr>
                <w:rFonts w:ascii="Arial Narrow" w:eastAsia="Times New Roman" w:hAnsi="Arial Narrow"/>
                <w:color w:val="auto"/>
                <w:sz w:val="16"/>
                <w:szCs w:val="16"/>
              </w:rPr>
            </w:pPr>
            <w:r w:rsidRPr="00957E40">
              <w:rPr>
                <w:rFonts w:ascii="Arial Narrow" w:eastAsia="Times New Roman" w:hAnsi="Arial Narrow"/>
                <w:color w:val="auto"/>
                <w:sz w:val="16"/>
                <w:szCs w:val="16"/>
              </w:rPr>
              <w:t> </w:t>
            </w:r>
          </w:p>
        </w:tc>
        <w:tc>
          <w:tcPr>
            <w:tcW w:w="660" w:type="dxa"/>
            <w:tcBorders>
              <w:top w:val="nil"/>
              <w:left w:val="nil"/>
              <w:bottom w:val="single" w:sz="8" w:space="0" w:color="auto"/>
              <w:right w:val="single" w:sz="8" w:space="0" w:color="auto"/>
            </w:tcBorders>
            <w:shd w:val="clear" w:color="auto" w:fill="auto"/>
            <w:noWrap/>
            <w:vAlign w:val="bottom"/>
            <w:hideMark/>
          </w:tcPr>
          <w:p w14:paraId="57202B95"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40" w:type="dxa"/>
            <w:tcBorders>
              <w:top w:val="nil"/>
              <w:left w:val="nil"/>
              <w:bottom w:val="single" w:sz="8" w:space="0" w:color="auto"/>
              <w:right w:val="single" w:sz="8" w:space="0" w:color="auto"/>
            </w:tcBorders>
            <w:shd w:val="clear" w:color="auto" w:fill="auto"/>
            <w:noWrap/>
            <w:vAlign w:val="bottom"/>
            <w:hideMark/>
          </w:tcPr>
          <w:p w14:paraId="0834C64E"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00" w:type="dxa"/>
            <w:tcBorders>
              <w:top w:val="nil"/>
              <w:left w:val="nil"/>
              <w:bottom w:val="single" w:sz="8" w:space="0" w:color="auto"/>
              <w:right w:val="single" w:sz="8" w:space="0" w:color="auto"/>
            </w:tcBorders>
            <w:shd w:val="clear" w:color="auto" w:fill="auto"/>
            <w:vAlign w:val="bottom"/>
            <w:hideMark/>
          </w:tcPr>
          <w:p w14:paraId="6BA84346"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80" w:type="dxa"/>
            <w:tcBorders>
              <w:top w:val="nil"/>
              <w:left w:val="nil"/>
              <w:bottom w:val="single" w:sz="8" w:space="0" w:color="auto"/>
              <w:right w:val="single" w:sz="8" w:space="0" w:color="auto"/>
            </w:tcBorders>
            <w:shd w:val="clear" w:color="auto" w:fill="auto"/>
            <w:noWrap/>
            <w:vAlign w:val="bottom"/>
            <w:hideMark/>
          </w:tcPr>
          <w:p w14:paraId="3129C353"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1000" w:type="dxa"/>
            <w:tcBorders>
              <w:top w:val="nil"/>
              <w:left w:val="nil"/>
              <w:bottom w:val="single" w:sz="8" w:space="0" w:color="auto"/>
              <w:right w:val="single" w:sz="8" w:space="0" w:color="auto"/>
            </w:tcBorders>
            <w:shd w:val="clear" w:color="auto" w:fill="auto"/>
            <w:vAlign w:val="bottom"/>
            <w:hideMark/>
          </w:tcPr>
          <w:p w14:paraId="2A371A66"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1020" w:type="dxa"/>
            <w:tcBorders>
              <w:top w:val="nil"/>
              <w:left w:val="nil"/>
              <w:bottom w:val="single" w:sz="8" w:space="0" w:color="auto"/>
              <w:right w:val="single" w:sz="8" w:space="0" w:color="auto"/>
            </w:tcBorders>
            <w:shd w:val="clear" w:color="auto" w:fill="auto"/>
            <w:vAlign w:val="bottom"/>
            <w:hideMark/>
          </w:tcPr>
          <w:p w14:paraId="1EFC8D54"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r>
      <w:tr w:rsidR="00342D91" w:rsidRPr="00957E40" w14:paraId="501A759E" w14:textId="77777777" w:rsidTr="00E275CE">
        <w:trPr>
          <w:trHeight w:val="420"/>
        </w:trPr>
        <w:tc>
          <w:tcPr>
            <w:tcW w:w="260" w:type="dxa"/>
            <w:tcBorders>
              <w:top w:val="nil"/>
              <w:left w:val="single" w:sz="8" w:space="0" w:color="auto"/>
              <w:bottom w:val="single" w:sz="8" w:space="0" w:color="auto"/>
              <w:right w:val="single" w:sz="8" w:space="0" w:color="auto"/>
            </w:tcBorders>
            <w:shd w:val="clear" w:color="auto" w:fill="auto"/>
            <w:noWrap/>
            <w:vAlign w:val="center"/>
            <w:hideMark/>
          </w:tcPr>
          <w:p w14:paraId="3225BEB8" w14:textId="77777777" w:rsidR="00342D91" w:rsidRPr="00957E40" w:rsidRDefault="00342D91" w:rsidP="00E275CE">
            <w:pPr>
              <w:spacing w:after="0" w:line="240" w:lineRule="auto"/>
              <w:ind w:left="0" w:right="0" w:firstLine="0"/>
              <w:jc w:val="center"/>
              <w:rPr>
                <w:rFonts w:ascii="Arial Narrow" w:eastAsia="Times New Roman" w:hAnsi="Arial Narrow"/>
                <w:b/>
                <w:bCs/>
                <w:sz w:val="16"/>
                <w:szCs w:val="16"/>
              </w:rPr>
            </w:pPr>
            <w:r w:rsidRPr="00957E40">
              <w:rPr>
                <w:rFonts w:ascii="Arial Narrow" w:eastAsia="Times New Roman" w:hAnsi="Arial Narrow"/>
                <w:b/>
                <w:bCs/>
                <w:sz w:val="16"/>
                <w:szCs w:val="16"/>
              </w:rPr>
              <w:t>12</w:t>
            </w:r>
          </w:p>
        </w:tc>
        <w:tc>
          <w:tcPr>
            <w:tcW w:w="3360" w:type="dxa"/>
            <w:tcBorders>
              <w:top w:val="nil"/>
              <w:left w:val="nil"/>
              <w:bottom w:val="single" w:sz="8" w:space="0" w:color="auto"/>
              <w:right w:val="single" w:sz="8" w:space="0" w:color="auto"/>
            </w:tcBorders>
            <w:shd w:val="clear" w:color="auto" w:fill="auto"/>
            <w:vAlign w:val="center"/>
            <w:hideMark/>
          </w:tcPr>
          <w:p w14:paraId="6D126797"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r w:rsidRPr="00957E40">
              <w:rPr>
                <w:rFonts w:ascii="Arial Narrow" w:eastAsia="Times New Roman" w:hAnsi="Arial Narrow"/>
                <w:b/>
                <w:bCs/>
                <w:sz w:val="16"/>
                <w:szCs w:val="16"/>
              </w:rPr>
              <w:t>Ekspozycje wobec instytucji lub przedsiębiorców posiadających krótkoterminową ocenę kredytową.</w:t>
            </w:r>
          </w:p>
        </w:tc>
        <w:tc>
          <w:tcPr>
            <w:tcW w:w="680" w:type="dxa"/>
            <w:tcBorders>
              <w:top w:val="nil"/>
              <w:left w:val="nil"/>
              <w:bottom w:val="single" w:sz="8" w:space="0" w:color="auto"/>
              <w:right w:val="single" w:sz="8" w:space="0" w:color="auto"/>
            </w:tcBorders>
            <w:shd w:val="clear" w:color="auto" w:fill="auto"/>
            <w:noWrap/>
            <w:vAlign w:val="bottom"/>
            <w:hideMark/>
          </w:tcPr>
          <w:p w14:paraId="761D0862" w14:textId="77777777" w:rsidR="00342D91" w:rsidRPr="00957E40" w:rsidRDefault="00342D91" w:rsidP="00E275CE">
            <w:pPr>
              <w:spacing w:after="0" w:line="240" w:lineRule="auto"/>
              <w:ind w:left="0" w:right="0" w:firstLine="0"/>
              <w:jc w:val="center"/>
              <w:rPr>
                <w:rFonts w:ascii="Arial Narrow" w:eastAsia="Times New Roman" w:hAnsi="Arial Narrow"/>
                <w:color w:val="auto"/>
                <w:sz w:val="16"/>
                <w:szCs w:val="16"/>
              </w:rPr>
            </w:pPr>
            <w:r w:rsidRPr="00957E40">
              <w:rPr>
                <w:rFonts w:ascii="Arial Narrow" w:eastAsia="Times New Roman" w:hAnsi="Arial Narrow"/>
                <w:color w:val="auto"/>
                <w:sz w:val="16"/>
                <w:szCs w:val="16"/>
              </w:rPr>
              <w:t> </w:t>
            </w:r>
          </w:p>
        </w:tc>
        <w:tc>
          <w:tcPr>
            <w:tcW w:w="660" w:type="dxa"/>
            <w:tcBorders>
              <w:top w:val="nil"/>
              <w:left w:val="nil"/>
              <w:bottom w:val="single" w:sz="8" w:space="0" w:color="auto"/>
              <w:right w:val="single" w:sz="8" w:space="0" w:color="auto"/>
            </w:tcBorders>
            <w:shd w:val="clear" w:color="auto" w:fill="auto"/>
            <w:noWrap/>
            <w:vAlign w:val="bottom"/>
            <w:hideMark/>
          </w:tcPr>
          <w:p w14:paraId="52D7939B"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40" w:type="dxa"/>
            <w:tcBorders>
              <w:top w:val="nil"/>
              <w:left w:val="nil"/>
              <w:bottom w:val="single" w:sz="8" w:space="0" w:color="auto"/>
              <w:right w:val="single" w:sz="8" w:space="0" w:color="auto"/>
            </w:tcBorders>
            <w:shd w:val="clear" w:color="auto" w:fill="auto"/>
            <w:noWrap/>
            <w:vAlign w:val="bottom"/>
            <w:hideMark/>
          </w:tcPr>
          <w:p w14:paraId="334692D3"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00" w:type="dxa"/>
            <w:tcBorders>
              <w:top w:val="nil"/>
              <w:left w:val="nil"/>
              <w:bottom w:val="single" w:sz="8" w:space="0" w:color="auto"/>
              <w:right w:val="single" w:sz="8" w:space="0" w:color="auto"/>
            </w:tcBorders>
            <w:shd w:val="clear" w:color="auto" w:fill="auto"/>
            <w:vAlign w:val="bottom"/>
            <w:hideMark/>
          </w:tcPr>
          <w:p w14:paraId="357B899C"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80" w:type="dxa"/>
            <w:tcBorders>
              <w:top w:val="nil"/>
              <w:left w:val="nil"/>
              <w:bottom w:val="single" w:sz="8" w:space="0" w:color="auto"/>
              <w:right w:val="single" w:sz="8" w:space="0" w:color="auto"/>
            </w:tcBorders>
            <w:shd w:val="clear" w:color="auto" w:fill="auto"/>
            <w:noWrap/>
            <w:vAlign w:val="bottom"/>
            <w:hideMark/>
          </w:tcPr>
          <w:p w14:paraId="5F5B0128"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1000" w:type="dxa"/>
            <w:tcBorders>
              <w:top w:val="nil"/>
              <w:left w:val="nil"/>
              <w:bottom w:val="single" w:sz="8" w:space="0" w:color="auto"/>
              <w:right w:val="single" w:sz="8" w:space="0" w:color="auto"/>
            </w:tcBorders>
            <w:shd w:val="clear" w:color="auto" w:fill="auto"/>
            <w:vAlign w:val="bottom"/>
            <w:hideMark/>
          </w:tcPr>
          <w:p w14:paraId="4148536B"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1020" w:type="dxa"/>
            <w:tcBorders>
              <w:top w:val="nil"/>
              <w:left w:val="nil"/>
              <w:bottom w:val="single" w:sz="8" w:space="0" w:color="auto"/>
              <w:right w:val="single" w:sz="8" w:space="0" w:color="auto"/>
            </w:tcBorders>
            <w:shd w:val="clear" w:color="auto" w:fill="auto"/>
            <w:vAlign w:val="bottom"/>
            <w:hideMark/>
          </w:tcPr>
          <w:p w14:paraId="0EB4FB54"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r>
      <w:tr w:rsidR="00342D91" w:rsidRPr="00957E40" w14:paraId="670E874F" w14:textId="77777777" w:rsidTr="00E275CE">
        <w:trPr>
          <w:trHeight w:val="624"/>
        </w:trPr>
        <w:tc>
          <w:tcPr>
            <w:tcW w:w="260" w:type="dxa"/>
            <w:tcBorders>
              <w:top w:val="nil"/>
              <w:left w:val="single" w:sz="8" w:space="0" w:color="auto"/>
              <w:bottom w:val="nil"/>
              <w:right w:val="single" w:sz="8" w:space="0" w:color="auto"/>
            </w:tcBorders>
            <w:shd w:val="clear" w:color="auto" w:fill="auto"/>
            <w:noWrap/>
            <w:vAlign w:val="center"/>
            <w:hideMark/>
          </w:tcPr>
          <w:p w14:paraId="221F1FC4" w14:textId="77777777" w:rsidR="00342D91" w:rsidRPr="00957E40" w:rsidRDefault="00342D91" w:rsidP="00E275CE">
            <w:pPr>
              <w:spacing w:after="0" w:line="240" w:lineRule="auto"/>
              <w:ind w:left="0" w:right="0" w:firstLine="0"/>
              <w:jc w:val="center"/>
              <w:rPr>
                <w:rFonts w:ascii="Arial Narrow" w:eastAsia="Times New Roman" w:hAnsi="Arial Narrow"/>
                <w:b/>
                <w:bCs/>
                <w:sz w:val="16"/>
                <w:szCs w:val="16"/>
              </w:rPr>
            </w:pPr>
            <w:r w:rsidRPr="00957E40">
              <w:rPr>
                <w:rFonts w:ascii="Arial Narrow" w:eastAsia="Times New Roman" w:hAnsi="Arial Narrow"/>
                <w:b/>
                <w:bCs/>
                <w:sz w:val="16"/>
                <w:szCs w:val="16"/>
              </w:rPr>
              <w:t>13</w:t>
            </w:r>
          </w:p>
        </w:tc>
        <w:tc>
          <w:tcPr>
            <w:tcW w:w="3360" w:type="dxa"/>
            <w:tcBorders>
              <w:top w:val="nil"/>
              <w:left w:val="nil"/>
              <w:bottom w:val="nil"/>
              <w:right w:val="single" w:sz="8" w:space="0" w:color="auto"/>
            </w:tcBorders>
            <w:shd w:val="clear" w:color="auto" w:fill="auto"/>
            <w:vAlign w:val="center"/>
            <w:hideMark/>
          </w:tcPr>
          <w:p w14:paraId="1F12753A"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r w:rsidRPr="00957E40">
              <w:rPr>
                <w:rFonts w:ascii="Arial Narrow" w:eastAsia="Times New Roman" w:hAnsi="Arial Narrow"/>
                <w:b/>
                <w:bCs/>
                <w:sz w:val="16"/>
                <w:szCs w:val="16"/>
              </w:rPr>
              <w:t>Ekspozycje w postaci jednostek uczestnictwa lub udziałów w przedsiębiorstwach zbiorowego inwestowania.</w:t>
            </w:r>
          </w:p>
        </w:tc>
        <w:tc>
          <w:tcPr>
            <w:tcW w:w="680" w:type="dxa"/>
            <w:tcBorders>
              <w:top w:val="nil"/>
              <w:left w:val="nil"/>
              <w:bottom w:val="single" w:sz="8" w:space="0" w:color="auto"/>
              <w:right w:val="single" w:sz="8" w:space="0" w:color="auto"/>
            </w:tcBorders>
            <w:shd w:val="clear" w:color="auto" w:fill="auto"/>
            <w:noWrap/>
            <w:vAlign w:val="bottom"/>
            <w:hideMark/>
          </w:tcPr>
          <w:p w14:paraId="2227EF70" w14:textId="77777777" w:rsidR="00342D91" w:rsidRPr="00957E40" w:rsidRDefault="00342D91" w:rsidP="00E275CE">
            <w:pPr>
              <w:spacing w:after="0" w:line="240" w:lineRule="auto"/>
              <w:ind w:left="0" w:right="0" w:firstLine="0"/>
              <w:jc w:val="center"/>
              <w:rPr>
                <w:rFonts w:ascii="Arial Narrow" w:eastAsia="Times New Roman" w:hAnsi="Arial Narrow"/>
                <w:color w:val="auto"/>
                <w:sz w:val="16"/>
                <w:szCs w:val="16"/>
              </w:rPr>
            </w:pPr>
            <w:r w:rsidRPr="00957E40">
              <w:rPr>
                <w:rFonts w:ascii="Arial Narrow" w:eastAsia="Times New Roman" w:hAnsi="Arial Narrow"/>
                <w:color w:val="auto"/>
                <w:sz w:val="16"/>
                <w:szCs w:val="16"/>
              </w:rPr>
              <w:t>100%</w:t>
            </w:r>
          </w:p>
        </w:tc>
        <w:tc>
          <w:tcPr>
            <w:tcW w:w="660" w:type="dxa"/>
            <w:tcBorders>
              <w:top w:val="nil"/>
              <w:left w:val="nil"/>
              <w:bottom w:val="single" w:sz="8" w:space="0" w:color="auto"/>
              <w:right w:val="single" w:sz="8" w:space="0" w:color="auto"/>
            </w:tcBorders>
            <w:shd w:val="clear" w:color="auto" w:fill="auto"/>
            <w:noWrap/>
            <w:vAlign w:val="bottom"/>
            <w:hideMark/>
          </w:tcPr>
          <w:p w14:paraId="71196C75"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40" w:type="dxa"/>
            <w:tcBorders>
              <w:top w:val="nil"/>
              <w:left w:val="nil"/>
              <w:bottom w:val="single" w:sz="8" w:space="0" w:color="auto"/>
              <w:right w:val="single" w:sz="8" w:space="0" w:color="auto"/>
            </w:tcBorders>
            <w:shd w:val="clear" w:color="auto" w:fill="auto"/>
            <w:noWrap/>
            <w:vAlign w:val="bottom"/>
            <w:hideMark/>
          </w:tcPr>
          <w:p w14:paraId="7762BD5C"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00" w:type="dxa"/>
            <w:tcBorders>
              <w:top w:val="nil"/>
              <w:left w:val="nil"/>
              <w:bottom w:val="single" w:sz="8" w:space="0" w:color="auto"/>
              <w:right w:val="single" w:sz="8" w:space="0" w:color="auto"/>
            </w:tcBorders>
            <w:shd w:val="clear" w:color="auto" w:fill="auto"/>
            <w:vAlign w:val="bottom"/>
            <w:hideMark/>
          </w:tcPr>
          <w:p w14:paraId="2207722D"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80" w:type="dxa"/>
            <w:tcBorders>
              <w:top w:val="nil"/>
              <w:left w:val="nil"/>
              <w:bottom w:val="single" w:sz="8" w:space="0" w:color="auto"/>
              <w:right w:val="single" w:sz="8" w:space="0" w:color="auto"/>
            </w:tcBorders>
            <w:shd w:val="clear" w:color="auto" w:fill="auto"/>
            <w:vAlign w:val="bottom"/>
            <w:hideMark/>
          </w:tcPr>
          <w:p w14:paraId="12B3F6A7"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1000" w:type="dxa"/>
            <w:tcBorders>
              <w:top w:val="nil"/>
              <w:left w:val="nil"/>
              <w:bottom w:val="single" w:sz="8" w:space="0" w:color="auto"/>
              <w:right w:val="single" w:sz="8" w:space="0" w:color="auto"/>
            </w:tcBorders>
            <w:shd w:val="clear" w:color="auto" w:fill="auto"/>
            <w:vAlign w:val="bottom"/>
            <w:hideMark/>
          </w:tcPr>
          <w:p w14:paraId="1D0A1107"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1020" w:type="dxa"/>
            <w:tcBorders>
              <w:top w:val="nil"/>
              <w:left w:val="nil"/>
              <w:bottom w:val="single" w:sz="8" w:space="0" w:color="auto"/>
              <w:right w:val="single" w:sz="8" w:space="0" w:color="auto"/>
            </w:tcBorders>
            <w:shd w:val="clear" w:color="auto" w:fill="auto"/>
            <w:vAlign w:val="bottom"/>
            <w:hideMark/>
          </w:tcPr>
          <w:p w14:paraId="263C0167"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r>
      <w:tr w:rsidR="00342D91" w:rsidRPr="00957E40" w14:paraId="1D79E47E" w14:textId="77777777" w:rsidTr="00E275CE">
        <w:trPr>
          <w:trHeight w:val="288"/>
        </w:trPr>
        <w:tc>
          <w:tcPr>
            <w:tcW w:w="260" w:type="dxa"/>
            <w:tcBorders>
              <w:top w:val="single" w:sz="8" w:space="0" w:color="auto"/>
              <w:left w:val="single" w:sz="8" w:space="0" w:color="auto"/>
              <w:bottom w:val="nil"/>
              <w:right w:val="single" w:sz="8" w:space="0" w:color="auto"/>
            </w:tcBorders>
            <w:shd w:val="clear" w:color="auto" w:fill="auto"/>
            <w:noWrap/>
            <w:vAlign w:val="center"/>
            <w:hideMark/>
          </w:tcPr>
          <w:p w14:paraId="3369D910" w14:textId="77777777" w:rsidR="00342D91" w:rsidRPr="00957E40" w:rsidRDefault="00342D91" w:rsidP="00E275CE">
            <w:pPr>
              <w:spacing w:after="0" w:line="240" w:lineRule="auto"/>
              <w:ind w:left="0" w:right="0" w:firstLine="0"/>
              <w:jc w:val="center"/>
              <w:rPr>
                <w:rFonts w:ascii="Arial Narrow" w:eastAsia="Times New Roman" w:hAnsi="Arial Narrow"/>
                <w:b/>
                <w:bCs/>
                <w:sz w:val="16"/>
                <w:szCs w:val="16"/>
              </w:rPr>
            </w:pPr>
            <w:r w:rsidRPr="00957E40">
              <w:rPr>
                <w:rFonts w:ascii="Arial Narrow" w:eastAsia="Times New Roman" w:hAnsi="Arial Narrow"/>
                <w:b/>
                <w:bCs/>
                <w:sz w:val="16"/>
                <w:szCs w:val="16"/>
              </w:rPr>
              <w:t>14</w:t>
            </w:r>
          </w:p>
        </w:tc>
        <w:tc>
          <w:tcPr>
            <w:tcW w:w="3360" w:type="dxa"/>
            <w:tcBorders>
              <w:top w:val="single" w:sz="8" w:space="0" w:color="auto"/>
              <w:left w:val="nil"/>
              <w:bottom w:val="single" w:sz="8" w:space="0" w:color="auto"/>
              <w:right w:val="single" w:sz="8" w:space="0" w:color="auto"/>
            </w:tcBorders>
            <w:shd w:val="clear" w:color="auto" w:fill="auto"/>
            <w:vAlign w:val="center"/>
            <w:hideMark/>
          </w:tcPr>
          <w:p w14:paraId="7EB8FBD9"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r w:rsidRPr="00957E40">
              <w:rPr>
                <w:rFonts w:ascii="Arial Narrow" w:eastAsia="Times New Roman" w:hAnsi="Arial Narrow"/>
                <w:b/>
                <w:bCs/>
                <w:sz w:val="16"/>
                <w:szCs w:val="16"/>
              </w:rPr>
              <w:t>Ekspozycje stanowiące pozycje kapitałowe.</w:t>
            </w:r>
          </w:p>
        </w:tc>
        <w:tc>
          <w:tcPr>
            <w:tcW w:w="680" w:type="dxa"/>
            <w:tcBorders>
              <w:top w:val="nil"/>
              <w:left w:val="nil"/>
              <w:bottom w:val="single" w:sz="8" w:space="0" w:color="auto"/>
              <w:right w:val="single" w:sz="8" w:space="0" w:color="auto"/>
            </w:tcBorders>
            <w:shd w:val="clear" w:color="auto" w:fill="auto"/>
            <w:noWrap/>
            <w:vAlign w:val="bottom"/>
            <w:hideMark/>
          </w:tcPr>
          <w:p w14:paraId="19A2A726" w14:textId="77777777" w:rsidR="00342D91" w:rsidRPr="00957E40" w:rsidRDefault="00342D91" w:rsidP="00E275CE">
            <w:pPr>
              <w:spacing w:after="0" w:line="240" w:lineRule="auto"/>
              <w:ind w:left="0" w:right="0" w:firstLine="0"/>
              <w:jc w:val="center"/>
              <w:rPr>
                <w:rFonts w:ascii="Arial Narrow" w:eastAsia="Times New Roman" w:hAnsi="Arial Narrow"/>
                <w:color w:val="auto"/>
                <w:sz w:val="16"/>
                <w:szCs w:val="16"/>
              </w:rPr>
            </w:pPr>
            <w:r w:rsidRPr="00957E40">
              <w:rPr>
                <w:rFonts w:ascii="Arial Narrow" w:eastAsia="Times New Roman" w:hAnsi="Arial Narrow"/>
                <w:color w:val="auto"/>
                <w:sz w:val="16"/>
                <w:szCs w:val="16"/>
              </w:rPr>
              <w:t>100%</w:t>
            </w:r>
          </w:p>
        </w:tc>
        <w:tc>
          <w:tcPr>
            <w:tcW w:w="660" w:type="dxa"/>
            <w:tcBorders>
              <w:top w:val="nil"/>
              <w:left w:val="nil"/>
              <w:bottom w:val="single" w:sz="8" w:space="0" w:color="auto"/>
              <w:right w:val="single" w:sz="8" w:space="0" w:color="auto"/>
            </w:tcBorders>
            <w:shd w:val="clear" w:color="auto" w:fill="auto"/>
            <w:noWrap/>
            <w:vAlign w:val="bottom"/>
            <w:hideMark/>
          </w:tcPr>
          <w:p w14:paraId="0FF32543"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6 300</w:t>
            </w:r>
          </w:p>
        </w:tc>
        <w:tc>
          <w:tcPr>
            <w:tcW w:w="840" w:type="dxa"/>
            <w:tcBorders>
              <w:top w:val="nil"/>
              <w:left w:val="nil"/>
              <w:bottom w:val="single" w:sz="8" w:space="0" w:color="auto"/>
              <w:right w:val="single" w:sz="8" w:space="0" w:color="auto"/>
            </w:tcBorders>
            <w:shd w:val="clear" w:color="auto" w:fill="auto"/>
            <w:noWrap/>
            <w:vAlign w:val="bottom"/>
            <w:hideMark/>
          </w:tcPr>
          <w:p w14:paraId="7DE9479D"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00" w:type="dxa"/>
            <w:tcBorders>
              <w:top w:val="nil"/>
              <w:left w:val="nil"/>
              <w:bottom w:val="single" w:sz="8" w:space="0" w:color="auto"/>
              <w:right w:val="single" w:sz="8" w:space="0" w:color="auto"/>
            </w:tcBorders>
            <w:shd w:val="clear" w:color="auto" w:fill="auto"/>
            <w:vAlign w:val="bottom"/>
            <w:hideMark/>
          </w:tcPr>
          <w:p w14:paraId="796D4ECA"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6 300</w:t>
            </w:r>
          </w:p>
        </w:tc>
        <w:tc>
          <w:tcPr>
            <w:tcW w:w="880" w:type="dxa"/>
            <w:tcBorders>
              <w:top w:val="nil"/>
              <w:left w:val="nil"/>
              <w:bottom w:val="single" w:sz="8" w:space="0" w:color="auto"/>
              <w:right w:val="single" w:sz="8" w:space="0" w:color="auto"/>
            </w:tcBorders>
            <w:shd w:val="clear" w:color="auto" w:fill="auto"/>
            <w:vAlign w:val="bottom"/>
            <w:hideMark/>
          </w:tcPr>
          <w:p w14:paraId="717485DA"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6 300</w:t>
            </w:r>
          </w:p>
        </w:tc>
        <w:tc>
          <w:tcPr>
            <w:tcW w:w="1000" w:type="dxa"/>
            <w:tcBorders>
              <w:top w:val="nil"/>
              <w:left w:val="nil"/>
              <w:bottom w:val="single" w:sz="8" w:space="0" w:color="auto"/>
              <w:right w:val="single" w:sz="8" w:space="0" w:color="auto"/>
            </w:tcBorders>
            <w:shd w:val="clear" w:color="auto" w:fill="auto"/>
            <w:vAlign w:val="bottom"/>
            <w:hideMark/>
          </w:tcPr>
          <w:p w14:paraId="1E4000BF"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6 300</w:t>
            </w:r>
          </w:p>
        </w:tc>
        <w:tc>
          <w:tcPr>
            <w:tcW w:w="1020" w:type="dxa"/>
            <w:tcBorders>
              <w:top w:val="nil"/>
              <w:left w:val="nil"/>
              <w:bottom w:val="single" w:sz="8" w:space="0" w:color="auto"/>
              <w:right w:val="single" w:sz="8" w:space="0" w:color="auto"/>
            </w:tcBorders>
            <w:shd w:val="clear" w:color="auto" w:fill="auto"/>
            <w:vAlign w:val="bottom"/>
            <w:hideMark/>
          </w:tcPr>
          <w:p w14:paraId="18695F4E"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504</w:t>
            </w:r>
          </w:p>
        </w:tc>
      </w:tr>
      <w:tr w:rsidR="00342D91" w:rsidRPr="00957E40" w14:paraId="26029EF6" w14:textId="77777777" w:rsidTr="00E275CE">
        <w:trPr>
          <w:trHeight w:val="288"/>
        </w:trPr>
        <w:tc>
          <w:tcPr>
            <w:tcW w:w="2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3F6F3E" w14:textId="77777777" w:rsidR="00342D91" w:rsidRPr="00957E40" w:rsidRDefault="00342D91" w:rsidP="00E275CE">
            <w:pPr>
              <w:spacing w:after="0" w:line="240" w:lineRule="auto"/>
              <w:ind w:left="0" w:right="0" w:firstLine="0"/>
              <w:jc w:val="center"/>
              <w:rPr>
                <w:rFonts w:ascii="Arial Narrow" w:eastAsia="Times New Roman" w:hAnsi="Arial Narrow"/>
                <w:b/>
                <w:bCs/>
                <w:sz w:val="16"/>
                <w:szCs w:val="16"/>
              </w:rPr>
            </w:pPr>
            <w:r w:rsidRPr="00957E40">
              <w:rPr>
                <w:rFonts w:ascii="Arial Narrow" w:eastAsia="Times New Roman" w:hAnsi="Arial Narrow"/>
                <w:b/>
                <w:bCs/>
                <w:sz w:val="16"/>
                <w:szCs w:val="16"/>
              </w:rPr>
              <w:t>16</w:t>
            </w:r>
          </w:p>
        </w:tc>
        <w:tc>
          <w:tcPr>
            <w:tcW w:w="3360" w:type="dxa"/>
            <w:vMerge w:val="restart"/>
            <w:tcBorders>
              <w:top w:val="nil"/>
              <w:left w:val="single" w:sz="8" w:space="0" w:color="auto"/>
              <w:bottom w:val="single" w:sz="8" w:space="0" w:color="000000"/>
              <w:right w:val="single" w:sz="8" w:space="0" w:color="auto"/>
            </w:tcBorders>
            <w:shd w:val="clear" w:color="auto" w:fill="auto"/>
            <w:vAlign w:val="center"/>
            <w:hideMark/>
          </w:tcPr>
          <w:p w14:paraId="649B8393"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r w:rsidRPr="00957E40">
              <w:rPr>
                <w:rFonts w:ascii="Arial Narrow" w:eastAsia="Times New Roman" w:hAnsi="Arial Narrow"/>
                <w:b/>
                <w:bCs/>
                <w:sz w:val="16"/>
                <w:szCs w:val="16"/>
              </w:rPr>
              <w:t>Inne ekspozycje</w:t>
            </w:r>
          </w:p>
        </w:tc>
        <w:tc>
          <w:tcPr>
            <w:tcW w:w="680" w:type="dxa"/>
            <w:tcBorders>
              <w:top w:val="nil"/>
              <w:left w:val="nil"/>
              <w:bottom w:val="single" w:sz="8" w:space="0" w:color="auto"/>
              <w:right w:val="single" w:sz="8" w:space="0" w:color="auto"/>
            </w:tcBorders>
            <w:shd w:val="clear" w:color="auto" w:fill="auto"/>
            <w:noWrap/>
            <w:vAlign w:val="bottom"/>
            <w:hideMark/>
          </w:tcPr>
          <w:p w14:paraId="3D138761" w14:textId="77777777" w:rsidR="00342D91" w:rsidRPr="00957E40" w:rsidRDefault="00342D91" w:rsidP="00E275CE">
            <w:pPr>
              <w:spacing w:after="0" w:line="240" w:lineRule="auto"/>
              <w:ind w:left="0" w:right="0" w:firstLine="0"/>
              <w:jc w:val="center"/>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660" w:type="dxa"/>
            <w:tcBorders>
              <w:top w:val="nil"/>
              <w:left w:val="nil"/>
              <w:bottom w:val="single" w:sz="8" w:space="0" w:color="auto"/>
              <w:right w:val="single" w:sz="8" w:space="0" w:color="auto"/>
            </w:tcBorders>
            <w:shd w:val="clear" w:color="auto" w:fill="auto"/>
            <w:noWrap/>
            <w:vAlign w:val="bottom"/>
            <w:hideMark/>
          </w:tcPr>
          <w:p w14:paraId="313D5A13"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4 252</w:t>
            </w:r>
          </w:p>
        </w:tc>
        <w:tc>
          <w:tcPr>
            <w:tcW w:w="840" w:type="dxa"/>
            <w:tcBorders>
              <w:top w:val="nil"/>
              <w:left w:val="nil"/>
              <w:bottom w:val="single" w:sz="8" w:space="0" w:color="auto"/>
              <w:right w:val="single" w:sz="8" w:space="0" w:color="auto"/>
            </w:tcBorders>
            <w:shd w:val="clear" w:color="auto" w:fill="auto"/>
            <w:noWrap/>
            <w:vAlign w:val="bottom"/>
            <w:hideMark/>
          </w:tcPr>
          <w:p w14:paraId="19B54978"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00" w:type="dxa"/>
            <w:tcBorders>
              <w:top w:val="nil"/>
              <w:left w:val="nil"/>
              <w:bottom w:val="single" w:sz="8" w:space="0" w:color="auto"/>
              <w:right w:val="single" w:sz="8" w:space="0" w:color="auto"/>
            </w:tcBorders>
            <w:shd w:val="clear" w:color="auto" w:fill="auto"/>
            <w:vAlign w:val="bottom"/>
            <w:hideMark/>
          </w:tcPr>
          <w:p w14:paraId="5AD04DC5"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4 252</w:t>
            </w:r>
          </w:p>
        </w:tc>
        <w:tc>
          <w:tcPr>
            <w:tcW w:w="880" w:type="dxa"/>
            <w:tcBorders>
              <w:top w:val="nil"/>
              <w:left w:val="nil"/>
              <w:bottom w:val="single" w:sz="8" w:space="0" w:color="auto"/>
              <w:right w:val="single" w:sz="8" w:space="0" w:color="auto"/>
            </w:tcBorders>
            <w:shd w:val="clear" w:color="auto" w:fill="auto"/>
            <w:vAlign w:val="bottom"/>
            <w:hideMark/>
          </w:tcPr>
          <w:p w14:paraId="04445BDB"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1000" w:type="dxa"/>
            <w:tcBorders>
              <w:top w:val="nil"/>
              <w:left w:val="nil"/>
              <w:bottom w:val="single" w:sz="8" w:space="0" w:color="auto"/>
              <w:right w:val="single" w:sz="8" w:space="0" w:color="auto"/>
            </w:tcBorders>
            <w:shd w:val="clear" w:color="auto" w:fill="auto"/>
            <w:vAlign w:val="bottom"/>
            <w:hideMark/>
          </w:tcPr>
          <w:p w14:paraId="4D849981"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1020" w:type="dxa"/>
            <w:tcBorders>
              <w:top w:val="nil"/>
              <w:left w:val="nil"/>
              <w:bottom w:val="single" w:sz="8" w:space="0" w:color="auto"/>
              <w:right w:val="single" w:sz="8" w:space="0" w:color="auto"/>
            </w:tcBorders>
            <w:shd w:val="clear" w:color="auto" w:fill="auto"/>
            <w:vAlign w:val="bottom"/>
            <w:hideMark/>
          </w:tcPr>
          <w:p w14:paraId="7301C57F"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r>
      <w:tr w:rsidR="00342D91" w:rsidRPr="00957E40" w14:paraId="3E4EAD36" w14:textId="77777777" w:rsidTr="00E275CE">
        <w:trPr>
          <w:trHeight w:val="288"/>
        </w:trPr>
        <w:tc>
          <w:tcPr>
            <w:tcW w:w="260" w:type="dxa"/>
            <w:vMerge/>
            <w:tcBorders>
              <w:top w:val="nil"/>
              <w:left w:val="single" w:sz="8" w:space="0" w:color="auto"/>
              <w:bottom w:val="single" w:sz="8" w:space="0" w:color="000000"/>
              <w:right w:val="single" w:sz="8" w:space="0" w:color="auto"/>
            </w:tcBorders>
            <w:vAlign w:val="center"/>
            <w:hideMark/>
          </w:tcPr>
          <w:p w14:paraId="4D9906BA"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p>
        </w:tc>
        <w:tc>
          <w:tcPr>
            <w:tcW w:w="3360" w:type="dxa"/>
            <w:vMerge/>
            <w:tcBorders>
              <w:top w:val="nil"/>
              <w:left w:val="single" w:sz="8" w:space="0" w:color="auto"/>
              <w:bottom w:val="single" w:sz="8" w:space="0" w:color="000000"/>
              <w:right w:val="single" w:sz="8" w:space="0" w:color="auto"/>
            </w:tcBorders>
            <w:vAlign w:val="center"/>
            <w:hideMark/>
          </w:tcPr>
          <w:p w14:paraId="02A3F2BA"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p>
        </w:tc>
        <w:tc>
          <w:tcPr>
            <w:tcW w:w="680" w:type="dxa"/>
            <w:tcBorders>
              <w:top w:val="nil"/>
              <w:left w:val="nil"/>
              <w:bottom w:val="single" w:sz="8" w:space="0" w:color="auto"/>
              <w:right w:val="single" w:sz="8" w:space="0" w:color="auto"/>
            </w:tcBorders>
            <w:shd w:val="clear" w:color="auto" w:fill="auto"/>
            <w:noWrap/>
            <w:vAlign w:val="bottom"/>
            <w:hideMark/>
          </w:tcPr>
          <w:p w14:paraId="66A38549" w14:textId="77777777" w:rsidR="00342D91" w:rsidRPr="00957E40" w:rsidRDefault="00342D91" w:rsidP="00E275CE">
            <w:pPr>
              <w:spacing w:after="0" w:line="240" w:lineRule="auto"/>
              <w:ind w:left="0" w:right="0" w:firstLine="0"/>
              <w:jc w:val="center"/>
              <w:rPr>
                <w:rFonts w:ascii="Arial Narrow" w:eastAsia="Times New Roman" w:hAnsi="Arial Narrow"/>
                <w:color w:val="auto"/>
                <w:sz w:val="16"/>
                <w:szCs w:val="16"/>
              </w:rPr>
            </w:pPr>
            <w:r w:rsidRPr="00957E40">
              <w:rPr>
                <w:rFonts w:ascii="Arial Narrow" w:eastAsia="Times New Roman" w:hAnsi="Arial Narrow"/>
                <w:color w:val="auto"/>
                <w:sz w:val="16"/>
                <w:szCs w:val="16"/>
              </w:rPr>
              <w:t>100%</w:t>
            </w:r>
          </w:p>
        </w:tc>
        <w:tc>
          <w:tcPr>
            <w:tcW w:w="660" w:type="dxa"/>
            <w:tcBorders>
              <w:top w:val="nil"/>
              <w:left w:val="nil"/>
              <w:bottom w:val="single" w:sz="8" w:space="0" w:color="auto"/>
              <w:right w:val="single" w:sz="8" w:space="0" w:color="auto"/>
            </w:tcBorders>
            <w:shd w:val="clear" w:color="auto" w:fill="auto"/>
            <w:noWrap/>
            <w:vAlign w:val="bottom"/>
            <w:hideMark/>
          </w:tcPr>
          <w:p w14:paraId="2A3D38CF"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7 096</w:t>
            </w:r>
          </w:p>
        </w:tc>
        <w:tc>
          <w:tcPr>
            <w:tcW w:w="840" w:type="dxa"/>
            <w:tcBorders>
              <w:top w:val="nil"/>
              <w:left w:val="nil"/>
              <w:bottom w:val="single" w:sz="8" w:space="0" w:color="auto"/>
              <w:right w:val="single" w:sz="8" w:space="0" w:color="auto"/>
            </w:tcBorders>
            <w:shd w:val="clear" w:color="auto" w:fill="auto"/>
            <w:noWrap/>
            <w:vAlign w:val="bottom"/>
            <w:hideMark/>
          </w:tcPr>
          <w:p w14:paraId="09B92E46"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0</w:t>
            </w:r>
          </w:p>
        </w:tc>
        <w:tc>
          <w:tcPr>
            <w:tcW w:w="800" w:type="dxa"/>
            <w:tcBorders>
              <w:top w:val="nil"/>
              <w:left w:val="nil"/>
              <w:bottom w:val="single" w:sz="8" w:space="0" w:color="auto"/>
              <w:right w:val="single" w:sz="8" w:space="0" w:color="auto"/>
            </w:tcBorders>
            <w:shd w:val="clear" w:color="auto" w:fill="auto"/>
            <w:noWrap/>
            <w:vAlign w:val="bottom"/>
            <w:hideMark/>
          </w:tcPr>
          <w:p w14:paraId="2030FB70"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7 096</w:t>
            </w:r>
          </w:p>
        </w:tc>
        <w:tc>
          <w:tcPr>
            <w:tcW w:w="880" w:type="dxa"/>
            <w:tcBorders>
              <w:top w:val="nil"/>
              <w:left w:val="nil"/>
              <w:bottom w:val="single" w:sz="8" w:space="0" w:color="auto"/>
              <w:right w:val="single" w:sz="8" w:space="0" w:color="auto"/>
            </w:tcBorders>
            <w:shd w:val="clear" w:color="auto" w:fill="auto"/>
            <w:noWrap/>
            <w:vAlign w:val="bottom"/>
            <w:hideMark/>
          </w:tcPr>
          <w:p w14:paraId="122AC085"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7 096</w:t>
            </w:r>
          </w:p>
        </w:tc>
        <w:tc>
          <w:tcPr>
            <w:tcW w:w="1000" w:type="dxa"/>
            <w:tcBorders>
              <w:top w:val="nil"/>
              <w:left w:val="nil"/>
              <w:bottom w:val="single" w:sz="8" w:space="0" w:color="auto"/>
              <w:right w:val="single" w:sz="8" w:space="0" w:color="auto"/>
            </w:tcBorders>
            <w:shd w:val="clear" w:color="auto" w:fill="auto"/>
            <w:noWrap/>
            <w:vAlign w:val="bottom"/>
            <w:hideMark/>
          </w:tcPr>
          <w:p w14:paraId="0D287713"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7 096</w:t>
            </w:r>
          </w:p>
        </w:tc>
        <w:tc>
          <w:tcPr>
            <w:tcW w:w="1020" w:type="dxa"/>
            <w:tcBorders>
              <w:top w:val="nil"/>
              <w:left w:val="nil"/>
              <w:bottom w:val="single" w:sz="8" w:space="0" w:color="auto"/>
              <w:right w:val="single" w:sz="8" w:space="0" w:color="auto"/>
            </w:tcBorders>
            <w:shd w:val="clear" w:color="auto" w:fill="auto"/>
            <w:noWrap/>
            <w:vAlign w:val="bottom"/>
            <w:hideMark/>
          </w:tcPr>
          <w:p w14:paraId="646CD5B0"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r w:rsidRPr="00957E40">
              <w:rPr>
                <w:rFonts w:ascii="Arial Narrow" w:eastAsia="Times New Roman" w:hAnsi="Arial Narrow"/>
                <w:color w:val="auto"/>
                <w:sz w:val="16"/>
                <w:szCs w:val="16"/>
              </w:rPr>
              <w:t>568</w:t>
            </w:r>
          </w:p>
        </w:tc>
      </w:tr>
      <w:tr w:rsidR="00342D91" w:rsidRPr="00957E40" w14:paraId="0D70292B" w14:textId="77777777" w:rsidTr="00E275CE">
        <w:trPr>
          <w:trHeight w:val="288"/>
        </w:trPr>
        <w:tc>
          <w:tcPr>
            <w:tcW w:w="260" w:type="dxa"/>
            <w:tcBorders>
              <w:top w:val="nil"/>
              <w:left w:val="nil"/>
              <w:bottom w:val="nil"/>
              <w:right w:val="nil"/>
            </w:tcBorders>
            <w:shd w:val="clear" w:color="auto" w:fill="auto"/>
            <w:noWrap/>
            <w:vAlign w:val="bottom"/>
            <w:hideMark/>
          </w:tcPr>
          <w:p w14:paraId="6B57B626" w14:textId="77777777" w:rsidR="00342D91" w:rsidRPr="00957E40" w:rsidRDefault="00342D91" w:rsidP="00E275CE">
            <w:pPr>
              <w:spacing w:after="0" w:line="240" w:lineRule="auto"/>
              <w:ind w:left="0" w:right="0" w:firstLine="0"/>
              <w:jc w:val="right"/>
              <w:rPr>
                <w:rFonts w:ascii="Arial Narrow" w:eastAsia="Times New Roman" w:hAnsi="Arial Narrow"/>
                <w:color w:val="auto"/>
                <w:sz w:val="16"/>
                <w:szCs w:val="16"/>
              </w:rPr>
            </w:pPr>
          </w:p>
        </w:tc>
        <w:tc>
          <w:tcPr>
            <w:tcW w:w="3360" w:type="dxa"/>
            <w:tcBorders>
              <w:top w:val="nil"/>
              <w:left w:val="single" w:sz="8" w:space="0" w:color="auto"/>
              <w:bottom w:val="single" w:sz="8" w:space="0" w:color="auto"/>
              <w:right w:val="nil"/>
            </w:tcBorders>
            <w:shd w:val="clear" w:color="auto" w:fill="auto"/>
            <w:noWrap/>
            <w:vAlign w:val="bottom"/>
            <w:hideMark/>
          </w:tcPr>
          <w:p w14:paraId="1EF3BF3A" w14:textId="77777777" w:rsidR="00342D91" w:rsidRPr="00957E40" w:rsidRDefault="00342D91" w:rsidP="00E275CE">
            <w:pPr>
              <w:spacing w:after="0" w:line="240" w:lineRule="auto"/>
              <w:ind w:left="0" w:right="0" w:firstLine="0"/>
              <w:jc w:val="left"/>
              <w:rPr>
                <w:rFonts w:ascii="Arial Narrow" w:eastAsia="Times New Roman" w:hAnsi="Arial Narrow"/>
                <w:b/>
                <w:bCs/>
                <w:sz w:val="16"/>
                <w:szCs w:val="16"/>
              </w:rPr>
            </w:pPr>
            <w:r w:rsidRPr="00957E40">
              <w:rPr>
                <w:rFonts w:ascii="Arial Narrow" w:eastAsia="Times New Roman" w:hAnsi="Arial Narrow"/>
                <w:b/>
                <w:bCs/>
                <w:sz w:val="16"/>
                <w:szCs w:val="16"/>
              </w:rPr>
              <w:t>RAZEM:</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14:paraId="07FBCB72" w14:textId="77777777" w:rsidR="00342D91" w:rsidRPr="00957E40" w:rsidRDefault="00342D91" w:rsidP="00E275CE">
            <w:pPr>
              <w:spacing w:after="0" w:line="240" w:lineRule="auto"/>
              <w:ind w:left="0" w:right="0" w:firstLine="0"/>
              <w:jc w:val="left"/>
              <w:rPr>
                <w:rFonts w:ascii="Arial Narrow" w:eastAsia="Times New Roman" w:hAnsi="Arial Narrow"/>
                <w:sz w:val="16"/>
                <w:szCs w:val="16"/>
              </w:rPr>
            </w:pPr>
            <w:r w:rsidRPr="00957E40">
              <w:rPr>
                <w:rFonts w:ascii="Arial Narrow" w:eastAsia="Times New Roman" w:hAnsi="Arial Narrow"/>
                <w:sz w:val="16"/>
                <w:szCs w:val="16"/>
              </w:rPr>
              <w:t> </w:t>
            </w:r>
          </w:p>
        </w:tc>
        <w:tc>
          <w:tcPr>
            <w:tcW w:w="660" w:type="dxa"/>
            <w:tcBorders>
              <w:top w:val="nil"/>
              <w:left w:val="nil"/>
              <w:bottom w:val="single" w:sz="8" w:space="0" w:color="auto"/>
              <w:right w:val="nil"/>
            </w:tcBorders>
            <w:shd w:val="clear" w:color="auto" w:fill="auto"/>
            <w:noWrap/>
            <w:vAlign w:val="bottom"/>
            <w:hideMark/>
          </w:tcPr>
          <w:p w14:paraId="61B890CE" w14:textId="77777777" w:rsidR="00342D91" w:rsidRPr="00957E40" w:rsidRDefault="00342D91" w:rsidP="00E275CE">
            <w:pPr>
              <w:spacing w:after="0" w:line="240" w:lineRule="auto"/>
              <w:ind w:left="0" w:right="0" w:firstLine="0"/>
              <w:jc w:val="right"/>
              <w:rPr>
                <w:rFonts w:ascii="Arial Narrow" w:eastAsia="Times New Roman" w:hAnsi="Arial Narrow"/>
                <w:b/>
                <w:bCs/>
                <w:sz w:val="16"/>
                <w:szCs w:val="16"/>
              </w:rPr>
            </w:pPr>
            <w:r w:rsidRPr="00957E40">
              <w:rPr>
                <w:rFonts w:ascii="Arial Narrow" w:eastAsia="Times New Roman" w:hAnsi="Arial Narrow"/>
                <w:b/>
                <w:bCs/>
                <w:sz w:val="16"/>
                <w:szCs w:val="16"/>
              </w:rPr>
              <w:t>794 526</w:t>
            </w:r>
          </w:p>
        </w:tc>
        <w:tc>
          <w:tcPr>
            <w:tcW w:w="840" w:type="dxa"/>
            <w:tcBorders>
              <w:top w:val="nil"/>
              <w:left w:val="single" w:sz="8" w:space="0" w:color="auto"/>
              <w:bottom w:val="single" w:sz="8" w:space="0" w:color="auto"/>
              <w:right w:val="single" w:sz="8" w:space="0" w:color="auto"/>
            </w:tcBorders>
            <w:shd w:val="clear" w:color="auto" w:fill="auto"/>
            <w:noWrap/>
            <w:vAlign w:val="bottom"/>
            <w:hideMark/>
          </w:tcPr>
          <w:p w14:paraId="0098181D" w14:textId="77777777" w:rsidR="00342D91" w:rsidRPr="00957E40" w:rsidRDefault="00342D91" w:rsidP="00E275CE">
            <w:pPr>
              <w:spacing w:after="0" w:line="240" w:lineRule="auto"/>
              <w:ind w:left="0" w:right="0" w:firstLine="0"/>
              <w:jc w:val="right"/>
              <w:rPr>
                <w:rFonts w:ascii="Arial Narrow" w:eastAsia="Times New Roman" w:hAnsi="Arial Narrow"/>
                <w:b/>
                <w:bCs/>
                <w:sz w:val="16"/>
                <w:szCs w:val="16"/>
              </w:rPr>
            </w:pPr>
            <w:r w:rsidRPr="00957E40">
              <w:rPr>
                <w:rFonts w:ascii="Arial Narrow" w:eastAsia="Times New Roman" w:hAnsi="Arial Narrow"/>
                <w:b/>
                <w:bCs/>
                <w:sz w:val="16"/>
                <w:szCs w:val="16"/>
              </w:rPr>
              <w:t>30 005</w:t>
            </w:r>
          </w:p>
        </w:tc>
        <w:tc>
          <w:tcPr>
            <w:tcW w:w="800" w:type="dxa"/>
            <w:tcBorders>
              <w:top w:val="nil"/>
              <w:left w:val="nil"/>
              <w:bottom w:val="single" w:sz="8" w:space="0" w:color="auto"/>
              <w:right w:val="single" w:sz="8" w:space="0" w:color="auto"/>
            </w:tcBorders>
            <w:shd w:val="clear" w:color="auto" w:fill="auto"/>
            <w:noWrap/>
            <w:vAlign w:val="bottom"/>
            <w:hideMark/>
          </w:tcPr>
          <w:p w14:paraId="65E1CBE0" w14:textId="77777777" w:rsidR="00342D91" w:rsidRPr="00957E40" w:rsidRDefault="00342D91" w:rsidP="00E275CE">
            <w:pPr>
              <w:spacing w:after="0" w:line="240" w:lineRule="auto"/>
              <w:ind w:left="0" w:right="0" w:firstLine="0"/>
              <w:jc w:val="right"/>
              <w:rPr>
                <w:rFonts w:ascii="Arial Narrow" w:eastAsia="Times New Roman" w:hAnsi="Arial Narrow"/>
                <w:b/>
                <w:bCs/>
                <w:sz w:val="16"/>
                <w:szCs w:val="16"/>
              </w:rPr>
            </w:pPr>
            <w:r w:rsidRPr="00957E40">
              <w:rPr>
                <w:rFonts w:ascii="Arial Narrow" w:eastAsia="Times New Roman" w:hAnsi="Arial Narrow"/>
                <w:b/>
                <w:bCs/>
                <w:sz w:val="16"/>
                <w:szCs w:val="16"/>
              </w:rPr>
              <w:t>778 968</w:t>
            </w:r>
          </w:p>
        </w:tc>
        <w:tc>
          <w:tcPr>
            <w:tcW w:w="880" w:type="dxa"/>
            <w:tcBorders>
              <w:top w:val="nil"/>
              <w:left w:val="nil"/>
              <w:bottom w:val="single" w:sz="8" w:space="0" w:color="auto"/>
              <w:right w:val="single" w:sz="8" w:space="0" w:color="auto"/>
            </w:tcBorders>
            <w:shd w:val="clear" w:color="auto" w:fill="auto"/>
            <w:noWrap/>
            <w:vAlign w:val="bottom"/>
            <w:hideMark/>
          </w:tcPr>
          <w:p w14:paraId="22574B30" w14:textId="77777777" w:rsidR="00342D91" w:rsidRPr="00957E40" w:rsidRDefault="00342D91" w:rsidP="00E275CE">
            <w:pPr>
              <w:spacing w:after="0" w:line="240" w:lineRule="auto"/>
              <w:ind w:left="0" w:right="0" w:firstLine="0"/>
              <w:jc w:val="right"/>
              <w:rPr>
                <w:rFonts w:ascii="Arial Narrow" w:eastAsia="Times New Roman" w:hAnsi="Arial Narrow"/>
                <w:b/>
                <w:bCs/>
                <w:sz w:val="16"/>
                <w:szCs w:val="16"/>
              </w:rPr>
            </w:pPr>
            <w:r w:rsidRPr="00957E40">
              <w:rPr>
                <w:rFonts w:ascii="Arial Narrow" w:eastAsia="Times New Roman" w:hAnsi="Arial Narrow"/>
                <w:b/>
                <w:bCs/>
                <w:sz w:val="16"/>
                <w:szCs w:val="16"/>
              </w:rPr>
              <w:t>422 947</w:t>
            </w:r>
          </w:p>
        </w:tc>
        <w:tc>
          <w:tcPr>
            <w:tcW w:w="1000" w:type="dxa"/>
            <w:tcBorders>
              <w:top w:val="nil"/>
              <w:left w:val="nil"/>
              <w:bottom w:val="single" w:sz="8" w:space="0" w:color="auto"/>
              <w:right w:val="single" w:sz="8" w:space="0" w:color="auto"/>
            </w:tcBorders>
            <w:shd w:val="clear" w:color="auto" w:fill="auto"/>
            <w:noWrap/>
            <w:vAlign w:val="bottom"/>
            <w:hideMark/>
          </w:tcPr>
          <w:p w14:paraId="09EC2437" w14:textId="77777777" w:rsidR="00342D91" w:rsidRPr="00957E40" w:rsidRDefault="00342D91" w:rsidP="00E275CE">
            <w:pPr>
              <w:spacing w:after="0" w:line="240" w:lineRule="auto"/>
              <w:ind w:left="0" w:right="0" w:firstLine="0"/>
              <w:jc w:val="right"/>
              <w:rPr>
                <w:rFonts w:ascii="Arial Narrow" w:eastAsia="Times New Roman" w:hAnsi="Arial Narrow"/>
                <w:b/>
                <w:bCs/>
                <w:sz w:val="16"/>
                <w:szCs w:val="16"/>
              </w:rPr>
            </w:pPr>
            <w:r w:rsidRPr="00957E40">
              <w:rPr>
                <w:rFonts w:ascii="Arial Narrow" w:eastAsia="Times New Roman" w:hAnsi="Arial Narrow"/>
                <w:b/>
                <w:bCs/>
                <w:sz w:val="16"/>
                <w:szCs w:val="16"/>
              </w:rPr>
              <w:t>375 564</w:t>
            </w:r>
          </w:p>
        </w:tc>
        <w:tc>
          <w:tcPr>
            <w:tcW w:w="1020" w:type="dxa"/>
            <w:tcBorders>
              <w:top w:val="nil"/>
              <w:left w:val="nil"/>
              <w:bottom w:val="single" w:sz="8" w:space="0" w:color="auto"/>
              <w:right w:val="single" w:sz="8" w:space="0" w:color="auto"/>
            </w:tcBorders>
            <w:shd w:val="clear" w:color="auto" w:fill="auto"/>
            <w:noWrap/>
            <w:vAlign w:val="bottom"/>
            <w:hideMark/>
          </w:tcPr>
          <w:p w14:paraId="4336192A" w14:textId="77777777" w:rsidR="00342D91" w:rsidRPr="00957E40" w:rsidRDefault="00342D91" w:rsidP="00E275CE">
            <w:pPr>
              <w:spacing w:after="0" w:line="240" w:lineRule="auto"/>
              <w:ind w:left="0" w:right="0" w:firstLine="0"/>
              <w:jc w:val="right"/>
              <w:rPr>
                <w:rFonts w:ascii="Arial Narrow" w:eastAsia="Times New Roman" w:hAnsi="Arial Narrow"/>
                <w:b/>
                <w:bCs/>
                <w:sz w:val="16"/>
                <w:szCs w:val="16"/>
              </w:rPr>
            </w:pPr>
            <w:r w:rsidRPr="00957E40">
              <w:rPr>
                <w:rFonts w:ascii="Arial Narrow" w:eastAsia="Times New Roman" w:hAnsi="Arial Narrow"/>
                <w:b/>
                <w:bCs/>
                <w:sz w:val="16"/>
                <w:szCs w:val="16"/>
              </w:rPr>
              <w:t>30 045</w:t>
            </w:r>
          </w:p>
        </w:tc>
      </w:tr>
    </w:tbl>
    <w:p w14:paraId="22E7FFFC" w14:textId="77777777" w:rsidR="00342D91" w:rsidRDefault="00342D91" w:rsidP="00342D91"/>
    <w:p w14:paraId="079A0C71" w14:textId="77777777" w:rsidR="00EA41CC" w:rsidRPr="00065790" w:rsidRDefault="00EA41CC">
      <w:pPr>
        <w:spacing w:after="3" w:line="259" w:lineRule="auto"/>
        <w:ind w:left="-5" w:right="0"/>
        <w:jc w:val="left"/>
        <w:rPr>
          <w:rFonts w:ascii="Times New Roman" w:hAnsi="Times New Roman" w:cs="Times New Roman"/>
          <w:i/>
          <w:color w:val="FF0000"/>
          <w:sz w:val="20"/>
        </w:rPr>
      </w:pPr>
    </w:p>
    <w:p w14:paraId="3BDC01AD" w14:textId="77777777" w:rsidR="002C50F6" w:rsidRPr="007F3CF2" w:rsidRDefault="00E81BF6">
      <w:pPr>
        <w:pStyle w:val="Nagwek2"/>
        <w:ind w:left="-5" w:right="7"/>
        <w:rPr>
          <w:rFonts w:ascii="Times New Roman" w:hAnsi="Times New Roman" w:cs="Times New Roman"/>
          <w:color w:val="auto"/>
        </w:rPr>
      </w:pPr>
      <w:bookmarkStart w:id="31" w:name="_Toc75336261"/>
      <w:r w:rsidRPr="007F3CF2">
        <w:rPr>
          <w:rFonts w:ascii="Times New Roman" w:hAnsi="Times New Roman" w:cs="Times New Roman"/>
          <w:color w:val="auto"/>
        </w:rPr>
        <w:t>5.4. Wymogi w zakresie funduszy własnych obliczone zgodnie z art. 92 ust. 3 lit. b) i c) Rozporządzenia CRR</w:t>
      </w:r>
      <w:bookmarkEnd w:id="31"/>
    </w:p>
    <w:p w14:paraId="02390D4A" w14:textId="77777777" w:rsidR="002C50F6" w:rsidRPr="007F3CF2" w:rsidRDefault="00E81BF6">
      <w:pPr>
        <w:pStyle w:val="Nagwek3"/>
        <w:ind w:left="-5" w:right="7"/>
        <w:rPr>
          <w:rFonts w:ascii="Times New Roman" w:hAnsi="Times New Roman" w:cs="Times New Roman"/>
          <w:color w:val="auto"/>
        </w:rPr>
      </w:pPr>
      <w:bookmarkStart w:id="32" w:name="_Toc75336262"/>
      <w:r w:rsidRPr="007F3CF2">
        <w:rPr>
          <w:rFonts w:ascii="Times New Roman" w:hAnsi="Times New Roman" w:cs="Times New Roman"/>
          <w:color w:val="auto"/>
        </w:rPr>
        <w:t>5.4.1</w:t>
      </w:r>
      <w:r w:rsidR="00C84EDD" w:rsidRPr="007F3CF2">
        <w:rPr>
          <w:rFonts w:ascii="Times New Roman" w:hAnsi="Times New Roman" w:cs="Times New Roman"/>
          <w:color w:val="auto"/>
        </w:rPr>
        <w:t>.</w:t>
      </w:r>
      <w:r w:rsidRPr="007F3CF2">
        <w:rPr>
          <w:rFonts w:ascii="Times New Roman" w:hAnsi="Times New Roman" w:cs="Times New Roman"/>
          <w:color w:val="auto"/>
        </w:rPr>
        <w:t xml:space="preserve"> Wymogi zgodnie z art. 92 ust. 3 lit. b)</w:t>
      </w:r>
      <w:bookmarkEnd w:id="32"/>
    </w:p>
    <w:p w14:paraId="61BF6F47" w14:textId="77777777" w:rsidR="002C50F6" w:rsidRPr="007F3CF2" w:rsidRDefault="00E81BF6">
      <w:pPr>
        <w:spacing w:after="500"/>
        <w:ind w:left="-5" w:right="8"/>
        <w:rPr>
          <w:rFonts w:ascii="Times New Roman" w:hAnsi="Times New Roman" w:cs="Times New Roman"/>
          <w:color w:val="auto"/>
        </w:rPr>
      </w:pPr>
      <w:r w:rsidRPr="007F3CF2">
        <w:rPr>
          <w:rFonts w:ascii="Times New Roman" w:hAnsi="Times New Roman" w:cs="Times New Roman"/>
          <w:color w:val="auto"/>
        </w:rPr>
        <w:t>Nie dotyczy</w:t>
      </w:r>
    </w:p>
    <w:p w14:paraId="081CD4C2" w14:textId="77777777" w:rsidR="002C50F6" w:rsidRPr="00E275CE" w:rsidRDefault="00E81BF6" w:rsidP="00EA41CC">
      <w:pPr>
        <w:pStyle w:val="Nagwek3"/>
        <w:tabs>
          <w:tab w:val="right" w:pos="9350"/>
        </w:tabs>
        <w:ind w:left="-5" w:right="7"/>
        <w:rPr>
          <w:rFonts w:ascii="Times New Roman" w:hAnsi="Times New Roman" w:cs="Times New Roman"/>
          <w:color w:val="auto"/>
        </w:rPr>
      </w:pPr>
      <w:bookmarkStart w:id="33" w:name="_Toc75336263"/>
      <w:r w:rsidRPr="00E275CE">
        <w:rPr>
          <w:rFonts w:ascii="Times New Roman" w:hAnsi="Times New Roman" w:cs="Times New Roman"/>
          <w:color w:val="auto"/>
        </w:rPr>
        <w:t>5.4.2. Wymogi zgodnie z art. 92 ust. 3 lit. c)</w:t>
      </w:r>
      <w:bookmarkEnd w:id="33"/>
      <w:r w:rsidR="00EA41CC" w:rsidRPr="00E275CE">
        <w:rPr>
          <w:rFonts w:ascii="Times New Roman" w:hAnsi="Times New Roman" w:cs="Times New Roman"/>
          <w:color w:val="auto"/>
        </w:rPr>
        <w:tab/>
      </w:r>
    </w:p>
    <w:p w14:paraId="551AD86A" w14:textId="19D2669B" w:rsidR="002D6324" w:rsidRPr="00E275CE" w:rsidRDefault="00264F4F" w:rsidP="00C629E0">
      <w:pPr>
        <w:spacing w:after="47" w:line="276" w:lineRule="auto"/>
        <w:ind w:left="-6" w:right="6" w:hanging="11"/>
        <w:rPr>
          <w:rFonts w:ascii="Times New Roman" w:hAnsi="Times New Roman" w:cs="Times New Roman"/>
          <w:color w:val="auto"/>
        </w:rPr>
      </w:pPr>
      <w:r w:rsidRPr="00E275CE">
        <w:rPr>
          <w:rFonts w:ascii="Times New Roman" w:hAnsi="Times New Roman" w:cs="Times New Roman"/>
          <w:color w:val="auto"/>
        </w:rPr>
        <w:t>W 20</w:t>
      </w:r>
      <w:r w:rsidR="00E275CE" w:rsidRPr="00E275CE">
        <w:rPr>
          <w:rFonts w:ascii="Times New Roman" w:hAnsi="Times New Roman" w:cs="Times New Roman"/>
          <w:color w:val="auto"/>
        </w:rPr>
        <w:t>20</w:t>
      </w:r>
      <w:r w:rsidR="002D6324" w:rsidRPr="00E275CE">
        <w:rPr>
          <w:rFonts w:ascii="Times New Roman" w:hAnsi="Times New Roman" w:cs="Times New Roman"/>
          <w:color w:val="auto"/>
        </w:rPr>
        <w:t xml:space="preserve"> roku Bank wyznaczał wymóg w zakresie funduszy własnych z tytułu ryzyka walutowego zgodnie z metodą, o której mowa w art. 351 </w:t>
      </w:r>
      <w:r w:rsidR="002D6324" w:rsidRPr="00E275CE">
        <w:rPr>
          <w:rFonts w:ascii="Times New Roman" w:hAnsi="Times New Roman" w:cs="Times New Roman"/>
          <w:i/>
          <w:color w:val="auto"/>
        </w:rPr>
        <w:t>Rozporządzenia CRR</w:t>
      </w:r>
      <w:r w:rsidR="002D6324" w:rsidRPr="00E275CE">
        <w:rPr>
          <w:rFonts w:ascii="Times New Roman" w:hAnsi="Times New Roman" w:cs="Times New Roman"/>
          <w:color w:val="auto"/>
        </w:rPr>
        <w:t xml:space="preserve">. </w:t>
      </w:r>
    </w:p>
    <w:p w14:paraId="01ED2E5B" w14:textId="71A3C7AF" w:rsidR="002C50F6" w:rsidRPr="00E275CE" w:rsidRDefault="00264F4F" w:rsidP="00C629E0">
      <w:pPr>
        <w:spacing w:line="276" w:lineRule="auto"/>
        <w:ind w:left="-6" w:right="6" w:hanging="11"/>
        <w:rPr>
          <w:rFonts w:ascii="Times New Roman" w:hAnsi="Times New Roman" w:cs="Times New Roman"/>
          <w:color w:val="auto"/>
        </w:rPr>
      </w:pPr>
      <w:r w:rsidRPr="00E275CE">
        <w:rPr>
          <w:rFonts w:ascii="Times New Roman" w:hAnsi="Times New Roman" w:cs="Times New Roman"/>
          <w:color w:val="auto"/>
        </w:rPr>
        <w:t>Na dzień 31 grudnia 20</w:t>
      </w:r>
      <w:r w:rsidR="00E275CE" w:rsidRPr="00E275CE">
        <w:rPr>
          <w:rFonts w:ascii="Times New Roman" w:hAnsi="Times New Roman" w:cs="Times New Roman"/>
          <w:color w:val="auto"/>
        </w:rPr>
        <w:t>20</w:t>
      </w:r>
      <w:r w:rsidR="00C84EDD" w:rsidRPr="00E275CE">
        <w:rPr>
          <w:rFonts w:ascii="Times New Roman" w:hAnsi="Times New Roman" w:cs="Times New Roman"/>
          <w:color w:val="auto"/>
        </w:rPr>
        <w:t xml:space="preserve"> roku</w:t>
      </w:r>
      <w:r w:rsidRPr="00E275CE">
        <w:rPr>
          <w:rFonts w:ascii="Times New Roman" w:hAnsi="Times New Roman" w:cs="Times New Roman"/>
          <w:color w:val="auto"/>
        </w:rPr>
        <w:t>, jak i w całym 20</w:t>
      </w:r>
      <w:r w:rsidR="00E275CE" w:rsidRPr="00E275CE">
        <w:rPr>
          <w:rFonts w:ascii="Times New Roman" w:hAnsi="Times New Roman" w:cs="Times New Roman"/>
          <w:color w:val="auto"/>
        </w:rPr>
        <w:t>20</w:t>
      </w:r>
      <w:r w:rsidR="007266DF" w:rsidRPr="00E275CE">
        <w:rPr>
          <w:rFonts w:ascii="Times New Roman" w:hAnsi="Times New Roman" w:cs="Times New Roman"/>
          <w:color w:val="auto"/>
        </w:rPr>
        <w:t xml:space="preserve"> roku </w:t>
      </w:r>
      <w:r w:rsidR="00E81BF6" w:rsidRPr="00E275CE">
        <w:rPr>
          <w:rFonts w:ascii="Times New Roman" w:hAnsi="Times New Roman" w:cs="Times New Roman"/>
          <w:color w:val="auto"/>
        </w:rPr>
        <w:t>całkowita pozycja wal</w:t>
      </w:r>
      <w:r w:rsidR="00C84EDD" w:rsidRPr="00E275CE">
        <w:rPr>
          <w:rFonts w:ascii="Times New Roman" w:hAnsi="Times New Roman" w:cs="Times New Roman"/>
          <w:color w:val="auto"/>
        </w:rPr>
        <w:t>utowa netto nie przekroczyła 2%</w:t>
      </w:r>
      <w:r w:rsidR="00E81BF6" w:rsidRPr="00E275CE">
        <w:rPr>
          <w:rFonts w:ascii="Times New Roman" w:hAnsi="Times New Roman" w:cs="Times New Roman"/>
          <w:color w:val="auto"/>
        </w:rPr>
        <w:t xml:space="preserve"> funduszy własnych Banku – nie wystąpiła konieczność wyznaczenia wymogu w zakresie funduszy własnych z tytułu ryzyka walutowego.</w:t>
      </w:r>
    </w:p>
    <w:p w14:paraId="0318165B" w14:textId="77777777" w:rsidR="002C50F6" w:rsidRPr="00E275CE" w:rsidRDefault="00E81BF6">
      <w:pPr>
        <w:pStyle w:val="Nagwek2"/>
        <w:ind w:left="-5" w:right="7"/>
        <w:rPr>
          <w:rFonts w:ascii="Times New Roman" w:hAnsi="Times New Roman" w:cs="Times New Roman"/>
          <w:color w:val="auto"/>
        </w:rPr>
      </w:pPr>
      <w:bookmarkStart w:id="34" w:name="_Toc75336264"/>
      <w:r w:rsidRPr="00E275CE">
        <w:rPr>
          <w:rFonts w:ascii="Times New Roman" w:hAnsi="Times New Roman" w:cs="Times New Roman"/>
          <w:color w:val="auto"/>
        </w:rPr>
        <w:lastRenderedPageBreak/>
        <w:t>5.5. Wymogi w zakresie funduszy własnych obliczone zgodnie z przepisami części trzeciej tytuł III rozdziały 2, 3 i 4 oraz ujawnione oddzielnie</w:t>
      </w:r>
      <w:bookmarkEnd w:id="34"/>
    </w:p>
    <w:p w14:paraId="4E1E4480" w14:textId="77777777" w:rsidR="002C50F6" w:rsidRPr="00E275CE" w:rsidRDefault="00E81BF6" w:rsidP="00C629E0">
      <w:pPr>
        <w:spacing w:after="0" w:line="276" w:lineRule="auto"/>
        <w:ind w:left="-6" w:right="6" w:hanging="11"/>
        <w:rPr>
          <w:rFonts w:ascii="Times New Roman" w:hAnsi="Times New Roman" w:cs="Times New Roman"/>
          <w:color w:val="auto"/>
        </w:rPr>
      </w:pPr>
      <w:r w:rsidRPr="00E275CE">
        <w:rPr>
          <w:rFonts w:ascii="Times New Roman" w:hAnsi="Times New Roman" w:cs="Times New Roman"/>
          <w:color w:val="auto"/>
        </w:rPr>
        <w:t>Bank wyznacza wymóg w zakresie funduszy własnych z tytuł</w:t>
      </w:r>
      <w:r w:rsidR="00C84EDD" w:rsidRPr="00E275CE">
        <w:rPr>
          <w:rFonts w:ascii="Times New Roman" w:hAnsi="Times New Roman" w:cs="Times New Roman"/>
          <w:color w:val="auto"/>
        </w:rPr>
        <w:t>u ryzyka operacyjnego zgodnie z </w:t>
      </w:r>
      <w:r w:rsidRPr="00E275CE">
        <w:rPr>
          <w:rFonts w:ascii="Times New Roman" w:hAnsi="Times New Roman" w:cs="Times New Roman"/>
          <w:color w:val="auto"/>
        </w:rPr>
        <w:t xml:space="preserve">metodą wskaźnika bazowego, o której mowa w art. 315 – </w:t>
      </w:r>
      <w:r w:rsidRPr="00E275CE">
        <w:rPr>
          <w:rFonts w:ascii="Times New Roman" w:hAnsi="Times New Roman" w:cs="Times New Roman"/>
          <w:i/>
          <w:color w:val="auto"/>
        </w:rPr>
        <w:t>Część trzecia Tytuł III Rozdział 2</w:t>
      </w:r>
      <w:r w:rsidR="00D061CB" w:rsidRPr="00E275CE">
        <w:rPr>
          <w:rFonts w:ascii="Times New Roman" w:hAnsi="Times New Roman" w:cs="Times New Roman"/>
          <w:i/>
          <w:color w:val="auto"/>
        </w:rPr>
        <w:t xml:space="preserve"> </w:t>
      </w:r>
      <w:r w:rsidRPr="00E275CE">
        <w:rPr>
          <w:rFonts w:ascii="Times New Roman" w:hAnsi="Times New Roman" w:cs="Times New Roman"/>
          <w:i/>
          <w:color w:val="auto"/>
        </w:rPr>
        <w:t>Rozporządzenia CRR</w:t>
      </w:r>
      <w:r w:rsidRPr="00E275CE">
        <w:rPr>
          <w:rFonts w:ascii="Times New Roman" w:hAnsi="Times New Roman" w:cs="Times New Roman"/>
          <w:color w:val="auto"/>
        </w:rPr>
        <w:t xml:space="preserve">. </w:t>
      </w:r>
    </w:p>
    <w:p w14:paraId="7A36D01D" w14:textId="1C988D7B" w:rsidR="002C50F6" w:rsidRPr="00E275CE" w:rsidRDefault="00264F4F" w:rsidP="00C629E0">
      <w:pPr>
        <w:spacing w:after="442" w:line="276" w:lineRule="auto"/>
        <w:ind w:left="-6" w:right="6" w:hanging="11"/>
        <w:rPr>
          <w:rFonts w:ascii="Times New Roman" w:hAnsi="Times New Roman" w:cs="Times New Roman"/>
          <w:color w:val="auto"/>
        </w:rPr>
      </w:pPr>
      <w:r w:rsidRPr="00E275CE">
        <w:rPr>
          <w:rFonts w:ascii="Times New Roman" w:hAnsi="Times New Roman" w:cs="Times New Roman"/>
          <w:color w:val="auto"/>
        </w:rPr>
        <w:t>Na dzień 31 grudnia 20</w:t>
      </w:r>
      <w:r w:rsidR="00E275CE" w:rsidRPr="00E275CE">
        <w:rPr>
          <w:rFonts w:ascii="Times New Roman" w:hAnsi="Times New Roman" w:cs="Times New Roman"/>
          <w:color w:val="auto"/>
        </w:rPr>
        <w:t>20</w:t>
      </w:r>
      <w:r w:rsidR="00E81BF6" w:rsidRPr="00E275CE">
        <w:rPr>
          <w:rFonts w:ascii="Times New Roman" w:hAnsi="Times New Roman" w:cs="Times New Roman"/>
          <w:color w:val="auto"/>
        </w:rPr>
        <w:t xml:space="preserve"> roku wymóg ten wyniósł </w:t>
      </w:r>
      <w:r w:rsidR="00E275CE" w:rsidRPr="00E275CE">
        <w:rPr>
          <w:rFonts w:ascii="Times New Roman" w:hAnsi="Times New Roman" w:cs="Times New Roman"/>
          <w:color w:val="auto"/>
        </w:rPr>
        <w:t>3 088</w:t>
      </w:r>
      <w:r w:rsidR="007245E9" w:rsidRPr="00E275CE">
        <w:rPr>
          <w:rFonts w:ascii="Times New Roman" w:hAnsi="Times New Roman" w:cs="Times New Roman"/>
          <w:color w:val="auto"/>
        </w:rPr>
        <w:t xml:space="preserve"> tys. zł</w:t>
      </w:r>
      <w:r w:rsidR="00E81BF6" w:rsidRPr="00E275CE">
        <w:rPr>
          <w:rFonts w:ascii="Times New Roman" w:hAnsi="Times New Roman" w:cs="Times New Roman"/>
          <w:color w:val="auto"/>
        </w:rPr>
        <w:t xml:space="preserve">. </w:t>
      </w:r>
    </w:p>
    <w:p w14:paraId="23DAD722" w14:textId="77777777" w:rsidR="002C50F6" w:rsidRPr="00E275CE" w:rsidRDefault="00E81BF6">
      <w:pPr>
        <w:pStyle w:val="Nagwek1"/>
        <w:ind w:left="-5" w:right="7"/>
        <w:rPr>
          <w:rFonts w:ascii="Times New Roman" w:hAnsi="Times New Roman" w:cs="Times New Roman"/>
          <w:color w:val="auto"/>
        </w:rPr>
      </w:pPr>
      <w:bookmarkStart w:id="35" w:name="_Toc75336265"/>
      <w:r w:rsidRPr="00E275CE">
        <w:rPr>
          <w:rFonts w:ascii="Times New Roman" w:hAnsi="Times New Roman" w:cs="Times New Roman"/>
          <w:color w:val="auto"/>
        </w:rPr>
        <w:t>6. Ekspozycje na ryzyko kontrahenta – art. 439 Rozporządzenia CRR</w:t>
      </w:r>
      <w:bookmarkEnd w:id="35"/>
    </w:p>
    <w:p w14:paraId="1D7BEABA" w14:textId="77777777" w:rsidR="002C50F6" w:rsidRPr="00E275CE" w:rsidRDefault="00E81BF6">
      <w:pPr>
        <w:spacing w:after="58"/>
        <w:ind w:left="-5" w:right="3590"/>
        <w:rPr>
          <w:rFonts w:ascii="Times New Roman" w:hAnsi="Times New Roman" w:cs="Times New Roman"/>
          <w:color w:val="auto"/>
        </w:rPr>
      </w:pPr>
      <w:r w:rsidRPr="00E275CE">
        <w:rPr>
          <w:rFonts w:ascii="Times New Roman" w:hAnsi="Times New Roman" w:cs="Times New Roman"/>
          <w:color w:val="auto"/>
        </w:rPr>
        <w:t>Nie dotyczy. Bank nie posiada portfela handlowego.</w:t>
      </w:r>
    </w:p>
    <w:p w14:paraId="35E89DF7" w14:textId="77777777" w:rsidR="002C50F6" w:rsidRPr="00C842DB" w:rsidRDefault="00E81BF6" w:rsidP="00C629E0">
      <w:pPr>
        <w:pStyle w:val="Nagwek1"/>
        <w:spacing w:after="58" w:line="425" w:lineRule="auto"/>
        <w:ind w:left="-5" w:right="1"/>
        <w:rPr>
          <w:rFonts w:ascii="Times New Roman" w:hAnsi="Times New Roman" w:cs="Times New Roman"/>
          <w:color w:val="auto"/>
        </w:rPr>
      </w:pPr>
      <w:bookmarkStart w:id="36" w:name="_Toc75336266"/>
      <w:r w:rsidRPr="00C842DB">
        <w:rPr>
          <w:rFonts w:ascii="Times New Roman" w:hAnsi="Times New Roman" w:cs="Times New Roman"/>
          <w:color w:val="auto"/>
        </w:rPr>
        <w:t xml:space="preserve">7. Bufory kapitałowe – art. 440 Rozporządzenia </w:t>
      </w:r>
      <w:r w:rsidR="00C629E0" w:rsidRPr="00C842DB">
        <w:rPr>
          <w:rFonts w:ascii="Times New Roman" w:hAnsi="Times New Roman" w:cs="Times New Roman"/>
          <w:color w:val="auto"/>
        </w:rPr>
        <w:t>C</w:t>
      </w:r>
      <w:r w:rsidRPr="00C842DB">
        <w:rPr>
          <w:rFonts w:ascii="Times New Roman" w:hAnsi="Times New Roman" w:cs="Times New Roman"/>
          <w:color w:val="auto"/>
        </w:rPr>
        <w:t>RR</w:t>
      </w:r>
      <w:bookmarkEnd w:id="36"/>
    </w:p>
    <w:p w14:paraId="656D3DF4" w14:textId="50CFB83D" w:rsidR="00143C30" w:rsidRPr="00C842DB" w:rsidRDefault="002A12F1" w:rsidP="00143C30">
      <w:pPr>
        <w:spacing w:after="0" w:line="276" w:lineRule="auto"/>
        <w:ind w:left="-5" w:right="8" w:hanging="11"/>
        <w:rPr>
          <w:rFonts w:ascii="Times New Roman" w:hAnsi="Times New Roman" w:cs="Times New Roman"/>
          <w:color w:val="auto"/>
        </w:rPr>
      </w:pPr>
      <w:r w:rsidRPr="00C842DB">
        <w:rPr>
          <w:rFonts w:ascii="Times New Roman" w:hAnsi="Times New Roman" w:cs="Times New Roman"/>
          <w:color w:val="auto"/>
        </w:rPr>
        <w:t xml:space="preserve">Na podstawie art. 83 oraz art. 96 ustawy z dnia 5 sierpnia 2015 r. o nadzorze </w:t>
      </w:r>
      <w:proofErr w:type="spellStart"/>
      <w:r w:rsidRPr="00C842DB">
        <w:rPr>
          <w:rFonts w:ascii="Times New Roman" w:hAnsi="Times New Roman" w:cs="Times New Roman"/>
          <w:color w:val="auto"/>
        </w:rPr>
        <w:t>makroostrożnościowym</w:t>
      </w:r>
      <w:proofErr w:type="spellEnd"/>
      <w:r w:rsidRPr="00C842DB">
        <w:rPr>
          <w:rFonts w:ascii="Times New Roman" w:hAnsi="Times New Roman" w:cs="Times New Roman"/>
          <w:color w:val="auto"/>
        </w:rPr>
        <w:t xml:space="preserve"> nad systemem finansowym i zarządzaniu kryzysowym w systemie finansowym od dnia 1 stycznia 2016 r. wskaźnik bufora antycyklicznego wynosi 0% dla ekspozycji kredytowych na terytorium RP. </w:t>
      </w:r>
      <w:r w:rsidR="00143C30" w:rsidRPr="00C842DB">
        <w:rPr>
          <w:rFonts w:ascii="Times New Roman" w:hAnsi="Times New Roman" w:cs="Times New Roman"/>
          <w:color w:val="auto"/>
        </w:rPr>
        <w:t xml:space="preserve">Wskaźnik w tej wysokości obowiązuje do czasu zmiany jego poziomu przez Ministra Finansów w drodze rozporządzenia. Natomiast bufor  zabezpieczający wynoszący </w:t>
      </w:r>
      <w:r w:rsidR="001870BA" w:rsidRPr="00C842DB">
        <w:rPr>
          <w:rFonts w:ascii="Times New Roman" w:hAnsi="Times New Roman" w:cs="Times New Roman"/>
          <w:color w:val="auto"/>
        </w:rPr>
        <w:t>2,5</w:t>
      </w:r>
      <w:r w:rsidR="00143C30" w:rsidRPr="00C842DB">
        <w:rPr>
          <w:rFonts w:ascii="Times New Roman" w:hAnsi="Times New Roman" w:cs="Times New Roman"/>
          <w:color w:val="auto"/>
        </w:rPr>
        <w:t>% całkowitej kwoty ekspozycji na ryzyko wg stanu na koniec roku 20</w:t>
      </w:r>
      <w:r w:rsidR="00E275CE" w:rsidRPr="00C842DB">
        <w:rPr>
          <w:rFonts w:ascii="Times New Roman" w:hAnsi="Times New Roman" w:cs="Times New Roman"/>
          <w:color w:val="auto"/>
        </w:rPr>
        <w:t>20</w:t>
      </w:r>
      <w:r w:rsidR="00143C30" w:rsidRPr="00C842DB">
        <w:rPr>
          <w:rFonts w:ascii="Times New Roman" w:hAnsi="Times New Roman" w:cs="Times New Roman"/>
          <w:color w:val="auto"/>
        </w:rPr>
        <w:t xml:space="preserve"> wyniósł </w:t>
      </w:r>
      <w:r w:rsidR="00E275CE" w:rsidRPr="00C842DB">
        <w:rPr>
          <w:rFonts w:ascii="Times New Roman" w:hAnsi="Times New Roman" w:cs="Times New Roman"/>
          <w:color w:val="auto"/>
        </w:rPr>
        <w:t>10 354</w:t>
      </w:r>
      <w:r w:rsidR="00143C30" w:rsidRPr="00C842DB">
        <w:rPr>
          <w:rFonts w:ascii="Times New Roman" w:hAnsi="Times New Roman" w:cs="Times New Roman"/>
          <w:color w:val="auto"/>
        </w:rPr>
        <w:t xml:space="preserve"> tys. zł. </w:t>
      </w:r>
      <w:r w:rsidR="00C842DB" w:rsidRPr="00C842DB">
        <w:rPr>
          <w:rFonts w:ascii="Times New Roman" w:hAnsi="Times New Roman" w:cs="Times New Roman"/>
          <w:color w:val="auto"/>
        </w:rPr>
        <w:t>. Ponadto zgodnie z rozporządzeniem Ministra Finansów (Dz.U. 2020 poz. 473) od 19 marca 2020 r. uchylony został obowiązek utrzymywania bufora ryzyka systemowego (BRS), który od dnia 1 stycznia 2018 r. wynosił 3%.</w:t>
      </w:r>
    </w:p>
    <w:p w14:paraId="4BDBCDC2" w14:textId="77777777" w:rsidR="00C842DB" w:rsidRPr="00065790" w:rsidRDefault="00C842DB" w:rsidP="00143C30">
      <w:pPr>
        <w:spacing w:after="0" w:line="276" w:lineRule="auto"/>
        <w:ind w:left="-5" w:right="8" w:hanging="11"/>
        <w:rPr>
          <w:rFonts w:ascii="Times New Roman" w:hAnsi="Times New Roman" w:cs="Times New Roman"/>
          <w:color w:val="FF0000"/>
        </w:rPr>
      </w:pPr>
    </w:p>
    <w:p w14:paraId="0986CCF8" w14:textId="77777777" w:rsidR="002C50F6" w:rsidRPr="00C842DB" w:rsidRDefault="00E81BF6">
      <w:pPr>
        <w:pStyle w:val="Nagwek1"/>
        <w:ind w:left="-5" w:right="7"/>
        <w:rPr>
          <w:rFonts w:ascii="Times New Roman" w:hAnsi="Times New Roman" w:cs="Times New Roman"/>
          <w:color w:val="auto"/>
        </w:rPr>
      </w:pPr>
      <w:bookmarkStart w:id="37" w:name="_Toc75336267"/>
      <w:r w:rsidRPr="00C842DB">
        <w:rPr>
          <w:rFonts w:ascii="Times New Roman" w:hAnsi="Times New Roman" w:cs="Times New Roman"/>
          <w:color w:val="auto"/>
        </w:rPr>
        <w:t>8. Wskaźniki globalnego znaczenia systemowego - art. 441 Rozporządzenia CRR</w:t>
      </w:r>
      <w:bookmarkEnd w:id="37"/>
    </w:p>
    <w:p w14:paraId="1371EE69" w14:textId="77777777" w:rsidR="002C50F6" w:rsidRPr="00C842DB" w:rsidRDefault="00E81BF6" w:rsidP="00C629E0">
      <w:pPr>
        <w:spacing w:after="0" w:line="276" w:lineRule="auto"/>
        <w:ind w:left="-6" w:right="6" w:hanging="11"/>
        <w:rPr>
          <w:rFonts w:ascii="Times New Roman" w:hAnsi="Times New Roman" w:cs="Times New Roman"/>
          <w:color w:val="auto"/>
        </w:rPr>
      </w:pPr>
      <w:r w:rsidRPr="00C842DB">
        <w:rPr>
          <w:rFonts w:ascii="Times New Roman" w:hAnsi="Times New Roman" w:cs="Times New Roman"/>
          <w:color w:val="auto"/>
        </w:rPr>
        <w:t>Nie dotyczy.</w:t>
      </w:r>
    </w:p>
    <w:p w14:paraId="14D3DAFC" w14:textId="77777777" w:rsidR="00FE1507" w:rsidRPr="00C842DB" w:rsidRDefault="00FE1507" w:rsidP="00C629E0">
      <w:pPr>
        <w:spacing w:after="0" w:line="276" w:lineRule="auto"/>
        <w:ind w:left="-6" w:right="6" w:hanging="11"/>
        <w:rPr>
          <w:rFonts w:ascii="Times New Roman" w:hAnsi="Times New Roman" w:cs="Times New Roman"/>
          <w:color w:val="auto"/>
        </w:rPr>
      </w:pPr>
      <w:r w:rsidRPr="00C842DB">
        <w:rPr>
          <w:rFonts w:ascii="Times New Roman" w:hAnsi="Times New Roman" w:cs="Times New Roman"/>
          <w:color w:val="auto"/>
        </w:rPr>
        <w:t>Bank nie jest bankiem istotnym systemowo.</w:t>
      </w:r>
    </w:p>
    <w:p w14:paraId="1E84A8CD" w14:textId="77777777" w:rsidR="00C629E0" w:rsidRPr="0017647C" w:rsidRDefault="00C629E0" w:rsidP="00C629E0">
      <w:pPr>
        <w:spacing w:after="0" w:line="276" w:lineRule="auto"/>
        <w:ind w:left="-6" w:right="6" w:hanging="11"/>
        <w:rPr>
          <w:rFonts w:ascii="Times New Roman" w:hAnsi="Times New Roman" w:cs="Times New Roman"/>
          <w:color w:val="auto"/>
        </w:rPr>
      </w:pPr>
    </w:p>
    <w:p w14:paraId="624C7D3D" w14:textId="77777777" w:rsidR="000A5551" w:rsidRPr="0017647C" w:rsidRDefault="00E81BF6">
      <w:pPr>
        <w:pStyle w:val="Nagwek1"/>
        <w:spacing w:after="296"/>
        <w:ind w:left="-5" w:right="7"/>
        <w:rPr>
          <w:rFonts w:ascii="Times New Roman" w:hAnsi="Times New Roman" w:cs="Times New Roman"/>
          <w:color w:val="auto"/>
        </w:rPr>
      </w:pPr>
      <w:bookmarkStart w:id="38" w:name="_Toc75336268"/>
      <w:r w:rsidRPr="0017647C">
        <w:rPr>
          <w:rFonts w:ascii="Times New Roman" w:hAnsi="Times New Roman" w:cs="Times New Roman"/>
          <w:color w:val="auto"/>
        </w:rPr>
        <w:t>9. Korekty z tytułu ryzyka kredytowego – art. 442 Rozporządzenia CRR</w:t>
      </w:r>
      <w:bookmarkEnd w:id="38"/>
      <w:r w:rsidRPr="0017647C">
        <w:rPr>
          <w:rFonts w:ascii="Times New Roman" w:hAnsi="Times New Roman" w:cs="Times New Roman"/>
          <w:color w:val="auto"/>
        </w:rPr>
        <w:t xml:space="preserve"> </w:t>
      </w:r>
    </w:p>
    <w:p w14:paraId="2B6D72EA" w14:textId="77777777" w:rsidR="002C50F6" w:rsidRPr="0017647C" w:rsidRDefault="00E81BF6" w:rsidP="000A5551">
      <w:pPr>
        <w:pStyle w:val="Nagwek2"/>
        <w:rPr>
          <w:rFonts w:ascii="Times New Roman" w:hAnsi="Times New Roman" w:cs="Times New Roman"/>
          <w:color w:val="auto"/>
        </w:rPr>
      </w:pPr>
      <w:bookmarkStart w:id="39" w:name="_Toc75336269"/>
      <w:r w:rsidRPr="0017647C">
        <w:rPr>
          <w:rFonts w:ascii="Times New Roman" w:hAnsi="Times New Roman" w:cs="Times New Roman"/>
          <w:color w:val="auto"/>
        </w:rPr>
        <w:t>9.1. Stosowane w rachunkowości definicje pozycji przeterminowanych i o utraconej jakości</w:t>
      </w:r>
      <w:bookmarkEnd w:id="39"/>
    </w:p>
    <w:p w14:paraId="20DE481C" w14:textId="77777777" w:rsidR="002C50F6" w:rsidRPr="0017647C" w:rsidRDefault="00E81BF6" w:rsidP="00C629E0">
      <w:pPr>
        <w:spacing w:after="0" w:line="276" w:lineRule="auto"/>
        <w:ind w:left="-5" w:right="6"/>
        <w:rPr>
          <w:rFonts w:ascii="Times New Roman" w:hAnsi="Times New Roman" w:cs="Times New Roman"/>
          <w:color w:val="auto"/>
        </w:rPr>
      </w:pPr>
      <w:r w:rsidRPr="0017647C">
        <w:rPr>
          <w:rFonts w:ascii="Times New Roman" w:hAnsi="Times New Roman" w:cs="Times New Roman"/>
          <w:color w:val="auto"/>
        </w:rPr>
        <w:t>Jako należności przeterminowane Bank uznaje niespłacone w t</w:t>
      </w:r>
      <w:r w:rsidR="000A5551" w:rsidRPr="0017647C">
        <w:rPr>
          <w:rFonts w:ascii="Times New Roman" w:hAnsi="Times New Roman" w:cs="Times New Roman"/>
          <w:color w:val="auto"/>
        </w:rPr>
        <w:t>erminach określonych w umowie o </w:t>
      </w:r>
      <w:r w:rsidRPr="0017647C">
        <w:rPr>
          <w:rFonts w:ascii="Times New Roman" w:hAnsi="Times New Roman" w:cs="Times New Roman"/>
          <w:color w:val="auto"/>
        </w:rPr>
        <w:t>kredyt należności Banku.</w:t>
      </w:r>
    </w:p>
    <w:p w14:paraId="0A81307E" w14:textId="1AD04B44" w:rsidR="002C50F6" w:rsidRPr="0017647C" w:rsidRDefault="00E81BF6" w:rsidP="00C629E0">
      <w:pPr>
        <w:spacing w:after="0" w:line="276" w:lineRule="auto"/>
        <w:ind w:left="-5" w:right="6"/>
        <w:rPr>
          <w:rFonts w:ascii="Times New Roman" w:hAnsi="Times New Roman" w:cs="Times New Roman"/>
          <w:color w:val="auto"/>
        </w:rPr>
      </w:pPr>
      <w:r w:rsidRPr="0017647C">
        <w:rPr>
          <w:rFonts w:ascii="Times New Roman" w:hAnsi="Times New Roman" w:cs="Times New Roman"/>
          <w:color w:val="auto"/>
        </w:rPr>
        <w:t>Dla celów kalkulacji wymogów kapitałowych Bank do klas ekspozycji</w:t>
      </w:r>
      <w:r w:rsidR="00C84EDD" w:rsidRPr="0017647C">
        <w:rPr>
          <w:rFonts w:ascii="Times New Roman" w:hAnsi="Times New Roman" w:cs="Times New Roman"/>
          <w:color w:val="auto"/>
        </w:rPr>
        <w:t>,</w:t>
      </w:r>
      <w:r w:rsidRPr="0017647C">
        <w:rPr>
          <w:rFonts w:ascii="Times New Roman" w:hAnsi="Times New Roman" w:cs="Times New Roman"/>
          <w:color w:val="auto"/>
        </w:rPr>
        <w:t xml:space="preserve"> których dotyczy niewykonanie zobowiązania</w:t>
      </w:r>
      <w:r w:rsidR="00C84EDD" w:rsidRPr="0017647C">
        <w:rPr>
          <w:rFonts w:ascii="Times New Roman" w:hAnsi="Times New Roman" w:cs="Times New Roman"/>
          <w:color w:val="auto"/>
        </w:rPr>
        <w:t>,</w:t>
      </w:r>
      <w:r w:rsidRPr="0017647C">
        <w:rPr>
          <w:rFonts w:ascii="Times New Roman" w:hAnsi="Times New Roman" w:cs="Times New Roman"/>
          <w:color w:val="auto"/>
        </w:rPr>
        <w:t xml:space="preserve"> zalicza ekspozycje, w przypadku których okres przeterminowania </w:t>
      </w:r>
      <w:r w:rsidR="00AF317B" w:rsidRPr="0017647C">
        <w:rPr>
          <w:rFonts w:ascii="Times New Roman" w:hAnsi="Times New Roman" w:cs="Times New Roman"/>
          <w:color w:val="auto"/>
        </w:rPr>
        <w:t>przekracza 90 dni</w:t>
      </w:r>
      <w:r w:rsidR="00BF17FD" w:rsidRPr="0017647C">
        <w:rPr>
          <w:rFonts w:ascii="Times New Roman" w:hAnsi="Times New Roman" w:cs="Times New Roman"/>
          <w:color w:val="auto"/>
        </w:rPr>
        <w:t>. Przeterminowane zobowiązanie kredytowe uznaje się za istotne, w przypadku gdy są łącznie spełnione następujące warunki:</w:t>
      </w:r>
      <w:r w:rsidRPr="0017647C">
        <w:rPr>
          <w:rFonts w:ascii="Times New Roman" w:hAnsi="Times New Roman" w:cs="Times New Roman"/>
          <w:color w:val="auto"/>
        </w:rPr>
        <w:t xml:space="preserve"> </w:t>
      </w:r>
    </w:p>
    <w:p w14:paraId="43E42820" w14:textId="064985D2" w:rsidR="00BF17FD" w:rsidRPr="0017647C" w:rsidRDefault="00BF17FD" w:rsidP="0017647C">
      <w:pPr>
        <w:pStyle w:val="Akapitzlist"/>
        <w:numPr>
          <w:ilvl w:val="0"/>
          <w:numId w:val="17"/>
        </w:numPr>
        <w:spacing w:line="276" w:lineRule="auto"/>
        <w:ind w:left="709" w:right="6" w:hanging="425"/>
        <w:rPr>
          <w:sz w:val="24"/>
          <w:szCs w:val="24"/>
        </w:rPr>
      </w:pPr>
      <w:r w:rsidRPr="0017647C">
        <w:rPr>
          <w:sz w:val="24"/>
          <w:szCs w:val="24"/>
        </w:rPr>
        <w:lastRenderedPageBreak/>
        <w:t>kwota stanowiąca sumę wszystkich kwot przeterminowanych zobowiązań kredytowych dłużnika wobec banku lub jego jednostki dominującej lub zależnej przekroczy:</w:t>
      </w:r>
    </w:p>
    <w:p w14:paraId="192E0ED8" w14:textId="169D474C" w:rsidR="002C50F6" w:rsidRPr="0017647C" w:rsidRDefault="00BF17FD" w:rsidP="00BF17FD">
      <w:pPr>
        <w:numPr>
          <w:ilvl w:val="1"/>
          <w:numId w:val="17"/>
        </w:numPr>
        <w:spacing w:after="0" w:line="276" w:lineRule="auto"/>
        <w:ind w:left="1418" w:right="6" w:hanging="425"/>
        <w:rPr>
          <w:rFonts w:ascii="Times New Roman" w:hAnsi="Times New Roman" w:cs="Times New Roman"/>
          <w:color w:val="auto"/>
          <w:szCs w:val="24"/>
        </w:rPr>
      </w:pPr>
      <w:r w:rsidRPr="0017647C">
        <w:rPr>
          <w:rFonts w:ascii="Times New Roman" w:hAnsi="Times New Roman" w:cs="Times New Roman"/>
          <w:color w:val="auto"/>
          <w:szCs w:val="24"/>
        </w:rPr>
        <w:t xml:space="preserve">400 zł- </w:t>
      </w:r>
      <w:r w:rsidR="00E81BF6" w:rsidRPr="0017647C">
        <w:rPr>
          <w:rFonts w:ascii="Times New Roman" w:hAnsi="Times New Roman" w:cs="Times New Roman"/>
          <w:color w:val="auto"/>
          <w:szCs w:val="24"/>
        </w:rPr>
        <w:t>w przy</w:t>
      </w:r>
      <w:r w:rsidR="00434A86" w:rsidRPr="0017647C">
        <w:rPr>
          <w:rFonts w:ascii="Times New Roman" w:hAnsi="Times New Roman" w:cs="Times New Roman"/>
          <w:color w:val="auto"/>
          <w:szCs w:val="24"/>
        </w:rPr>
        <w:t>padku ekspozycji detalicznych</w:t>
      </w:r>
      <w:r w:rsidRPr="0017647C">
        <w:rPr>
          <w:rFonts w:ascii="Times New Roman" w:hAnsi="Times New Roman" w:cs="Times New Roman"/>
          <w:color w:val="auto"/>
          <w:szCs w:val="24"/>
        </w:rPr>
        <w:t>,</w:t>
      </w:r>
    </w:p>
    <w:p w14:paraId="16FC295F" w14:textId="2CD6CC00" w:rsidR="002C50F6" w:rsidRPr="0017647C" w:rsidRDefault="00BF17FD" w:rsidP="00BF17FD">
      <w:pPr>
        <w:numPr>
          <w:ilvl w:val="1"/>
          <w:numId w:val="17"/>
        </w:numPr>
        <w:spacing w:after="0" w:line="276" w:lineRule="auto"/>
        <w:ind w:left="1418" w:right="6" w:hanging="425"/>
        <w:rPr>
          <w:rFonts w:ascii="Times New Roman" w:hAnsi="Times New Roman" w:cs="Times New Roman"/>
          <w:color w:val="auto"/>
          <w:szCs w:val="24"/>
        </w:rPr>
      </w:pPr>
      <w:r w:rsidRPr="0017647C">
        <w:rPr>
          <w:rFonts w:ascii="Times New Roman" w:hAnsi="Times New Roman" w:cs="Times New Roman"/>
          <w:color w:val="auto"/>
          <w:szCs w:val="24"/>
        </w:rPr>
        <w:t xml:space="preserve">2 000 zł- </w:t>
      </w:r>
      <w:r w:rsidR="00E81BF6" w:rsidRPr="0017647C">
        <w:rPr>
          <w:rFonts w:ascii="Times New Roman" w:hAnsi="Times New Roman" w:cs="Times New Roman"/>
          <w:color w:val="auto"/>
          <w:szCs w:val="24"/>
        </w:rPr>
        <w:t>w przypadk</w:t>
      </w:r>
      <w:r w:rsidR="00434A86" w:rsidRPr="0017647C">
        <w:rPr>
          <w:rFonts w:ascii="Times New Roman" w:hAnsi="Times New Roman" w:cs="Times New Roman"/>
          <w:color w:val="auto"/>
          <w:szCs w:val="24"/>
        </w:rPr>
        <w:t xml:space="preserve">u </w:t>
      </w:r>
      <w:r w:rsidRPr="0017647C">
        <w:rPr>
          <w:rFonts w:ascii="Times New Roman" w:hAnsi="Times New Roman" w:cs="Times New Roman"/>
          <w:color w:val="auto"/>
          <w:szCs w:val="24"/>
        </w:rPr>
        <w:t>ekspozycji innych niż ekspozycje detaliczne;</w:t>
      </w:r>
    </w:p>
    <w:p w14:paraId="5E41D63D" w14:textId="2B03949E" w:rsidR="00BF17FD" w:rsidRPr="0017647C" w:rsidRDefault="0017647C" w:rsidP="0017647C">
      <w:pPr>
        <w:pStyle w:val="Akapitzlist"/>
        <w:numPr>
          <w:ilvl w:val="0"/>
          <w:numId w:val="17"/>
        </w:numPr>
        <w:spacing w:line="276" w:lineRule="auto"/>
        <w:ind w:right="6" w:hanging="436"/>
        <w:rPr>
          <w:sz w:val="24"/>
          <w:szCs w:val="24"/>
        </w:rPr>
      </w:pPr>
      <w:r w:rsidRPr="0017647C">
        <w:rPr>
          <w:sz w:val="24"/>
          <w:szCs w:val="24"/>
        </w:rPr>
        <w:t>kwota przeterminowanych zobowiązań kredytowych dłużnika w stosunku do łącznej kwoty wszystkich ekspozycji bilansowych banku lub jego jednostki dominującej lub zależnej wobec tego dłużnika, z wyłączeniem ekspozycji kapitałowych, przekroczy 1%.</w:t>
      </w:r>
    </w:p>
    <w:p w14:paraId="62CBDE20" w14:textId="77777777" w:rsidR="00AF317B" w:rsidRPr="00C842DB" w:rsidRDefault="00C84EDD" w:rsidP="00C629E0">
      <w:pPr>
        <w:spacing w:after="0" w:line="276" w:lineRule="auto"/>
        <w:ind w:right="6"/>
        <w:rPr>
          <w:rFonts w:ascii="Times New Roman" w:hAnsi="Times New Roman" w:cs="Times New Roman"/>
          <w:color w:val="auto"/>
        </w:rPr>
      </w:pPr>
      <w:r w:rsidRPr="0017647C">
        <w:rPr>
          <w:rFonts w:ascii="Times New Roman" w:hAnsi="Times New Roman" w:cs="Times New Roman"/>
          <w:color w:val="auto"/>
        </w:rPr>
        <w:t>N</w:t>
      </w:r>
      <w:r w:rsidR="00916EDA" w:rsidRPr="0017647C">
        <w:rPr>
          <w:rFonts w:ascii="Times New Roman" w:hAnsi="Times New Roman" w:cs="Times New Roman"/>
          <w:color w:val="auto"/>
        </w:rPr>
        <w:t xml:space="preserve">ależności zagrożone (z rozpoznaną utratą wartości) </w:t>
      </w:r>
      <w:r w:rsidR="004E3F66" w:rsidRPr="0017647C">
        <w:rPr>
          <w:rFonts w:ascii="Times New Roman" w:hAnsi="Times New Roman" w:cs="Times New Roman"/>
          <w:color w:val="auto"/>
        </w:rPr>
        <w:t xml:space="preserve">to ekspozycje </w:t>
      </w:r>
      <w:r w:rsidR="004E3F66" w:rsidRPr="00C842DB">
        <w:rPr>
          <w:rFonts w:ascii="Times New Roman" w:hAnsi="Times New Roman" w:cs="Times New Roman"/>
          <w:color w:val="auto"/>
        </w:rPr>
        <w:t>kredytowe zakwalifikowane do kategorii podwyższonego ryzyka : poniżej standardu, wątpliwe i stracone w rozumieniu Rozporządzenia Ministra Finansów z dnia 16.12.2008</w:t>
      </w:r>
      <w:r w:rsidRPr="00C842DB">
        <w:rPr>
          <w:rFonts w:ascii="Times New Roman" w:hAnsi="Times New Roman" w:cs="Times New Roman"/>
          <w:color w:val="auto"/>
        </w:rPr>
        <w:t xml:space="preserve"> </w:t>
      </w:r>
      <w:r w:rsidR="004E3F66" w:rsidRPr="00C842DB">
        <w:rPr>
          <w:rFonts w:ascii="Times New Roman" w:hAnsi="Times New Roman" w:cs="Times New Roman"/>
          <w:color w:val="auto"/>
        </w:rPr>
        <w:t>r. w sprawie zasad tw</w:t>
      </w:r>
      <w:r w:rsidRPr="00C842DB">
        <w:rPr>
          <w:rFonts w:ascii="Times New Roman" w:hAnsi="Times New Roman" w:cs="Times New Roman"/>
          <w:color w:val="auto"/>
        </w:rPr>
        <w:t>orzenia rezerw na </w:t>
      </w:r>
      <w:r w:rsidR="004E3F66" w:rsidRPr="00C842DB">
        <w:rPr>
          <w:rFonts w:ascii="Times New Roman" w:hAnsi="Times New Roman" w:cs="Times New Roman"/>
          <w:color w:val="auto"/>
        </w:rPr>
        <w:t xml:space="preserve">ryzyko związane z działalnością banków. </w:t>
      </w:r>
    </w:p>
    <w:p w14:paraId="42156FCE" w14:textId="77777777" w:rsidR="00EA6F7B" w:rsidRPr="0017647C" w:rsidRDefault="00EA6F7B" w:rsidP="007B5986">
      <w:pPr>
        <w:spacing w:after="0" w:line="360" w:lineRule="auto"/>
        <w:ind w:right="6"/>
        <w:rPr>
          <w:rFonts w:ascii="Times New Roman" w:hAnsi="Times New Roman" w:cs="Times New Roman"/>
          <w:color w:val="auto"/>
        </w:rPr>
      </w:pPr>
    </w:p>
    <w:p w14:paraId="4B6F072E" w14:textId="77777777" w:rsidR="002C50F6" w:rsidRPr="0017647C" w:rsidRDefault="00E81BF6">
      <w:pPr>
        <w:pStyle w:val="Nagwek2"/>
        <w:ind w:left="-5" w:right="7"/>
        <w:rPr>
          <w:rFonts w:ascii="Times New Roman" w:hAnsi="Times New Roman" w:cs="Times New Roman"/>
          <w:color w:val="auto"/>
        </w:rPr>
      </w:pPr>
      <w:bookmarkStart w:id="40" w:name="_Toc75336270"/>
      <w:r w:rsidRPr="0017647C">
        <w:rPr>
          <w:rFonts w:ascii="Times New Roman" w:hAnsi="Times New Roman" w:cs="Times New Roman"/>
          <w:color w:val="auto"/>
        </w:rPr>
        <w:t>9.2. Opis strategii przyjętych w celu określenia korekt z tytułu szczególnego i</w:t>
      </w:r>
      <w:r w:rsidR="005B6A8F" w:rsidRPr="0017647C">
        <w:rPr>
          <w:rFonts w:ascii="Times New Roman" w:hAnsi="Times New Roman" w:cs="Times New Roman"/>
          <w:color w:val="auto"/>
        </w:rPr>
        <w:t xml:space="preserve"> </w:t>
      </w:r>
      <w:r w:rsidRPr="0017647C">
        <w:rPr>
          <w:rFonts w:ascii="Times New Roman" w:hAnsi="Times New Roman" w:cs="Times New Roman"/>
          <w:color w:val="auto"/>
        </w:rPr>
        <w:t>ogólnego ryzyka kredytowego</w:t>
      </w:r>
      <w:bookmarkEnd w:id="40"/>
      <w:r w:rsidRPr="0017647C">
        <w:rPr>
          <w:rFonts w:ascii="Times New Roman" w:hAnsi="Times New Roman" w:cs="Times New Roman"/>
          <w:color w:val="auto"/>
        </w:rPr>
        <w:t xml:space="preserve"> </w:t>
      </w:r>
    </w:p>
    <w:p w14:paraId="7D734547" w14:textId="77777777" w:rsidR="002C50F6" w:rsidRPr="0017647C" w:rsidRDefault="00E81BF6" w:rsidP="00151E8A">
      <w:pPr>
        <w:spacing w:after="0" w:line="276" w:lineRule="auto"/>
        <w:ind w:left="-5" w:right="8"/>
        <w:rPr>
          <w:rFonts w:ascii="Times New Roman" w:hAnsi="Times New Roman" w:cs="Times New Roman"/>
          <w:color w:val="auto"/>
        </w:rPr>
      </w:pPr>
      <w:r w:rsidRPr="0017647C">
        <w:rPr>
          <w:rFonts w:ascii="Times New Roman" w:hAnsi="Times New Roman" w:cs="Times New Roman"/>
          <w:color w:val="auto"/>
        </w:rPr>
        <w:t xml:space="preserve">Opis strategii przyjętych w celu określenia korekt z tytułu szczególnego i ogólnego ryzyka kredytowego określa </w:t>
      </w:r>
      <w:r w:rsidR="00C073F8" w:rsidRPr="0017647C">
        <w:rPr>
          <w:rFonts w:ascii="Times New Roman" w:hAnsi="Times New Roman" w:cs="Times New Roman"/>
          <w:i/>
          <w:color w:val="auto"/>
        </w:rPr>
        <w:t xml:space="preserve">Instrukcja </w:t>
      </w:r>
      <w:r w:rsidRPr="0017647C">
        <w:rPr>
          <w:rFonts w:ascii="Times New Roman" w:hAnsi="Times New Roman" w:cs="Times New Roman"/>
          <w:i/>
          <w:color w:val="auto"/>
        </w:rPr>
        <w:t xml:space="preserve"> – Zasady </w:t>
      </w:r>
      <w:r w:rsidR="00C073F8" w:rsidRPr="0017647C">
        <w:rPr>
          <w:rFonts w:ascii="Times New Roman" w:hAnsi="Times New Roman" w:cs="Times New Roman"/>
          <w:i/>
          <w:color w:val="auto"/>
        </w:rPr>
        <w:t xml:space="preserve">przeglądu i </w:t>
      </w:r>
      <w:r w:rsidRPr="0017647C">
        <w:rPr>
          <w:rFonts w:ascii="Times New Roman" w:hAnsi="Times New Roman" w:cs="Times New Roman"/>
          <w:i/>
          <w:color w:val="auto"/>
        </w:rPr>
        <w:t xml:space="preserve">klasyfikacji </w:t>
      </w:r>
      <w:r w:rsidR="00C84EDD" w:rsidRPr="0017647C">
        <w:rPr>
          <w:rFonts w:ascii="Times New Roman" w:hAnsi="Times New Roman" w:cs="Times New Roman"/>
          <w:i/>
          <w:color w:val="auto"/>
        </w:rPr>
        <w:t>ekspozycji kredytowych oraz </w:t>
      </w:r>
      <w:r w:rsidR="00C073F8" w:rsidRPr="0017647C">
        <w:rPr>
          <w:rFonts w:ascii="Times New Roman" w:hAnsi="Times New Roman" w:cs="Times New Roman"/>
          <w:i/>
          <w:color w:val="auto"/>
        </w:rPr>
        <w:t>tworzenia rezer</w:t>
      </w:r>
      <w:r w:rsidR="00B30712" w:rsidRPr="0017647C">
        <w:rPr>
          <w:rFonts w:ascii="Times New Roman" w:hAnsi="Times New Roman" w:cs="Times New Roman"/>
          <w:i/>
          <w:color w:val="auto"/>
        </w:rPr>
        <w:t>w celowych</w:t>
      </w:r>
      <w:r w:rsidRPr="0017647C">
        <w:rPr>
          <w:rFonts w:ascii="Times New Roman" w:hAnsi="Times New Roman" w:cs="Times New Roman"/>
          <w:color w:val="auto"/>
        </w:rPr>
        <w:t xml:space="preserve">. </w:t>
      </w:r>
    </w:p>
    <w:p w14:paraId="4A359F44" w14:textId="77777777" w:rsidR="002C50F6" w:rsidRPr="0017647C" w:rsidRDefault="00E81BF6" w:rsidP="00151E8A">
      <w:pPr>
        <w:spacing w:after="0" w:line="276" w:lineRule="auto"/>
        <w:ind w:left="-5" w:right="8"/>
        <w:rPr>
          <w:rFonts w:ascii="Times New Roman" w:hAnsi="Times New Roman" w:cs="Times New Roman"/>
          <w:color w:val="auto"/>
        </w:rPr>
      </w:pPr>
      <w:r w:rsidRPr="0017647C">
        <w:rPr>
          <w:rFonts w:ascii="Times New Roman" w:hAnsi="Times New Roman" w:cs="Times New Roman"/>
          <w:color w:val="auto"/>
        </w:rPr>
        <w:t xml:space="preserve">Bank tworzy rezerwy </w:t>
      </w:r>
      <w:r w:rsidR="00C76FBF" w:rsidRPr="0017647C">
        <w:rPr>
          <w:rFonts w:ascii="Times New Roman" w:hAnsi="Times New Roman" w:cs="Times New Roman"/>
          <w:color w:val="auto"/>
        </w:rPr>
        <w:t xml:space="preserve">i odpisy aktualizujące </w:t>
      </w:r>
      <w:r w:rsidRPr="0017647C">
        <w:rPr>
          <w:rFonts w:ascii="Times New Roman" w:hAnsi="Times New Roman" w:cs="Times New Roman"/>
          <w:color w:val="auto"/>
        </w:rPr>
        <w:t>na ryzyko związane z działalnością banków zwane dalej „rezerwami celowymi” zgodnie z zasadami określonymi w:</w:t>
      </w:r>
    </w:p>
    <w:p w14:paraId="062BD1E4" w14:textId="77777777" w:rsidR="002C50F6" w:rsidRPr="0017647C" w:rsidRDefault="00E81BF6" w:rsidP="00151E8A">
      <w:pPr>
        <w:numPr>
          <w:ilvl w:val="0"/>
          <w:numId w:val="18"/>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Ustawie z dnia 29 września 1994 r. o rachunkowości;</w:t>
      </w:r>
    </w:p>
    <w:p w14:paraId="5A1FD7AA" w14:textId="77777777" w:rsidR="002C50F6" w:rsidRPr="0017647C" w:rsidRDefault="00E81BF6" w:rsidP="00151E8A">
      <w:pPr>
        <w:numPr>
          <w:ilvl w:val="0"/>
          <w:numId w:val="18"/>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Rozporządzeniu Ministra Finansów z dnia 1 października 2010 r. w sprawie szczególnych zasad rachunkowości banków;</w:t>
      </w:r>
    </w:p>
    <w:p w14:paraId="12A18BAC" w14:textId="77777777" w:rsidR="002C50F6" w:rsidRPr="0017647C" w:rsidRDefault="00E81BF6" w:rsidP="00151E8A">
      <w:pPr>
        <w:numPr>
          <w:ilvl w:val="0"/>
          <w:numId w:val="18"/>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Rozporządzeniu Ministra Finansów z dnia 16 grudnia 2008 r. w sprawie zasad tworzenia rezerw na ryzyko związane z działalnością banków;</w:t>
      </w:r>
    </w:p>
    <w:p w14:paraId="5A780313" w14:textId="77777777" w:rsidR="002C50F6" w:rsidRPr="0017647C" w:rsidRDefault="00CB65FA" w:rsidP="00151E8A">
      <w:pPr>
        <w:numPr>
          <w:ilvl w:val="0"/>
          <w:numId w:val="18"/>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 xml:space="preserve">zasadach </w:t>
      </w:r>
      <w:r w:rsidR="00E81BF6" w:rsidRPr="0017647C">
        <w:rPr>
          <w:rFonts w:ascii="Times New Roman" w:hAnsi="Times New Roman" w:cs="Times New Roman"/>
          <w:color w:val="auto"/>
        </w:rPr>
        <w:t>rachunkowości Banku;</w:t>
      </w:r>
    </w:p>
    <w:p w14:paraId="491AD594" w14:textId="77777777" w:rsidR="00EA6F7B" w:rsidRPr="0017647C" w:rsidRDefault="00C84EDD" w:rsidP="00151E8A">
      <w:pPr>
        <w:numPr>
          <w:ilvl w:val="0"/>
          <w:numId w:val="18"/>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z</w:t>
      </w:r>
      <w:r w:rsidR="00E81BF6" w:rsidRPr="0017647C">
        <w:rPr>
          <w:rFonts w:ascii="Times New Roman" w:hAnsi="Times New Roman" w:cs="Times New Roman"/>
          <w:color w:val="auto"/>
        </w:rPr>
        <w:t xml:space="preserve">asadach klasyfikacji ekspozycji kredytowych i tworzenia rezerw </w:t>
      </w:r>
      <w:r w:rsidR="00303782" w:rsidRPr="0017647C">
        <w:rPr>
          <w:rFonts w:ascii="Times New Roman" w:hAnsi="Times New Roman" w:cs="Times New Roman"/>
          <w:color w:val="auto"/>
        </w:rPr>
        <w:t>celowych</w:t>
      </w:r>
      <w:r w:rsidR="00E81BF6" w:rsidRPr="0017647C">
        <w:rPr>
          <w:rFonts w:ascii="Times New Roman" w:hAnsi="Times New Roman" w:cs="Times New Roman"/>
          <w:color w:val="auto"/>
        </w:rPr>
        <w:t>.</w:t>
      </w:r>
    </w:p>
    <w:p w14:paraId="25807B44" w14:textId="77777777" w:rsidR="002C50F6" w:rsidRPr="0017647C" w:rsidRDefault="00303782" w:rsidP="00151E8A">
      <w:pPr>
        <w:spacing w:after="0" w:line="276" w:lineRule="auto"/>
        <w:ind w:left="720" w:right="8" w:hanging="720"/>
        <w:rPr>
          <w:rFonts w:ascii="Times New Roman" w:hAnsi="Times New Roman" w:cs="Times New Roman"/>
          <w:color w:val="auto"/>
        </w:rPr>
      </w:pPr>
      <w:r w:rsidRPr="0017647C">
        <w:rPr>
          <w:rFonts w:ascii="Times New Roman" w:hAnsi="Times New Roman" w:cs="Times New Roman"/>
          <w:color w:val="auto"/>
        </w:rPr>
        <w:t>B</w:t>
      </w:r>
      <w:r w:rsidR="00C84EDD" w:rsidRPr="0017647C">
        <w:rPr>
          <w:rFonts w:ascii="Times New Roman" w:hAnsi="Times New Roman" w:cs="Times New Roman"/>
          <w:color w:val="auto"/>
        </w:rPr>
        <w:t>ank tworzy rezerwy celowe</w:t>
      </w:r>
      <w:r w:rsidR="00E81BF6" w:rsidRPr="0017647C">
        <w:rPr>
          <w:rFonts w:ascii="Times New Roman" w:hAnsi="Times New Roman" w:cs="Times New Roman"/>
          <w:color w:val="auto"/>
        </w:rPr>
        <w:t xml:space="preserve"> w odniesieniu do ekspozycji kredytowych zaklasyfikowanych do:</w:t>
      </w:r>
    </w:p>
    <w:p w14:paraId="4D0593C7" w14:textId="77777777" w:rsidR="002C50F6" w:rsidRPr="0017647C" w:rsidRDefault="00E81BF6" w:rsidP="00151E8A">
      <w:pPr>
        <w:numPr>
          <w:ilvl w:val="0"/>
          <w:numId w:val="19"/>
        </w:numPr>
        <w:spacing w:after="0" w:line="276" w:lineRule="auto"/>
        <w:ind w:left="714" w:right="6" w:hanging="357"/>
        <w:rPr>
          <w:rFonts w:ascii="Times New Roman" w:hAnsi="Times New Roman" w:cs="Times New Roman"/>
          <w:color w:val="auto"/>
        </w:rPr>
      </w:pPr>
      <w:r w:rsidRPr="0017647C">
        <w:rPr>
          <w:rFonts w:ascii="Times New Roman" w:hAnsi="Times New Roman" w:cs="Times New Roman"/>
          <w:color w:val="auto"/>
        </w:rPr>
        <w:t>kategorii „normalne” - w zakresie ekspozycji kredyt</w:t>
      </w:r>
      <w:r w:rsidR="002F6A14" w:rsidRPr="0017647C">
        <w:rPr>
          <w:rFonts w:ascii="Times New Roman" w:hAnsi="Times New Roman" w:cs="Times New Roman"/>
          <w:color w:val="auto"/>
        </w:rPr>
        <w:t>owych wynikających z pożyczek i </w:t>
      </w:r>
      <w:r w:rsidRPr="0017647C">
        <w:rPr>
          <w:rFonts w:ascii="Times New Roman" w:hAnsi="Times New Roman" w:cs="Times New Roman"/>
          <w:color w:val="auto"/>
        </w:rPr>
        <w:t>kredytów detalicznych;</w:t>
      </w:r>
    </w:p>
    <w:p w14:paraId="6A031C59" w14:textId="77777777" w:rsidR="002C50F6" w:rsidRPr="0017647C" w:rsidRDefault="00E81BF6" w:rsidP="00151E8A">
      <w:pPr>
        <w:numPr>
          <w:ilvl w:val="0"/>
          <w:numId w:val="19"/>
        </w:numPr>
        <w:spacing w:after="0" w:line="276" w:lineRule="auto"/>
        <w:ind w:left="714" w:right="6" w:hanging="357"/>
        <w:rPr>
          <w:rFonts w:ascii="Times New Roman" w:hAnsi="Times New Roman" w:cs="Times New Roman"/>
          <w:color w:val="auto"/>
        </w:rPr>
      </w:pPr>
      <w:r w:rsidRPr="0017647C">
        <w:rPr>
          <w:rFonts w:ascii="Times New Roman" w:hAnsi="Times New Roman" w:cs="Times New Roman"/>
          <w:color w:val="auto"/>
        </w:rPr>
        <w:t>kategorii „pod obserwacją”;</w:t>
      </w:r>
    </w:p>
    <w:p w14:paraId="1463611F" w14:textId="77777777" w:rsidR="002C50F6" w:rsidRPr="0017647C" w:rsidRDefault="00E81BF6" w:rsidP="00151E8A">
      <w:pPr>
        <w:numPr>
          <w:ilvl w:val="0"/>
          <w:numId w:val="19"/>
        </w:numPr>
        <w:spacing w:after="0" w:line="276" w:lineRule="auto"/>
        <w:ind w:left="714" w:right="6" w:hanging="357"/>
        <w:rPr>
          <w:rFonts w:ascii="Times New Roman" w:hAnsi="Times New Roman" w:cs="Times New Roman"/>
          <w:color w:val="auto"/>
        </w:rPr>
      </w:pPr>
      <w:r w:rsidRPr="0017647C">
        <w:rPr>
          <w:rFonts w:ascii="Times New Roman" w:hAnsi="Times New Roman" w:cs="Times New Roman"/>
          <w:color w:val="auto"/>
        </w:rPr>
        <w:t>grupy „zagrożone” - w tym do kategorii „poniżej standardu”, „wątpliwe” lub „stracone”.</w:t>
      </w:r>
    </w:p>
    <w:p w14:paraId="43918D1F" w14:textId="77777777" w:rsidR="002C50F6" w:rsidRPr="0017647C" w:rsidRDefault="00E81BF6" w:rsidP="00151E8A">
      <w:pPr>
        <w:spacing w:after="0" w:line="276" w:lineRule="auto"/>
        <w:ind w:left="-5" w:right="8"/>
        <w:rPr>
          <w:rFonts w:ascii="Times New Roman" w:hAnsi="Times New Roman" w:cs="Times New Roman"/>
          <w:color w:val="auto"/>
        </w:rPr>
      </w:pPr>
      <w:r w:rsidRPr="0017647C">
        <w:rPr>
          <w:rFonts w:ascii="Times New Roman" w:hAnsi="Times New Roman" w:cs="Times New Roman"/>
          <w:color w:val="auto"/>
        </w:rPr>
        <w:t xml:space="preserve">Bank nie tworzy rezerw celowych dotyczących ekspozycji kredytowych stanowiących udzielone zobowiązania pozabilansowe </w:t>
      </w:r>
      <w:r w:rsidR="006D0214" w:rsidRPr="0017647C">
        <w:rPr>
          <w:rFonts w:ascii="Times New Roman" w:hAnsi="Times New Roman" w:cs="Times New Roman"/>
          <w:color w:val="auto"/>
        </w:rPr>
        <w:t xml:space="preserve">(w tym z tytułu niewykorzystanych kwot kredytów) </w:t>
      </w:r>
      <w:r w:rsidRPr="0017647C">
        <w:rPr>
          <w:rFonts w:ascii="Times New Roman" w:hAnsi="Times New Roman" w:cs="Times New Roman"/>
          <w:color w:val="auto"/>
        </w:rPr>
        <w:t>w przypadku, gdy postanowienia umowy:</w:t>
      </w:r>
    </w:p>
    <w:p w14:paraId="41DFB434" w14:textId="77777777" w:rsidR="006D0214" w:rsidRPr="0017647C" w:rsidRDefault="006D0214" w:rsidP="00151E8A">
      <w:pPr>
        <w:numPr>
          <w:ilvl w:val="0"/>
          <w:numId w:val="20"/>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gwarantują Bankowi swobodę w podjęciu decyzji o uruchomieniu środków w ramach każdej kolejnej transzy; lub</w:t>
      </w:r>
    </w:p>
    <w:p w14:paraId="3E1115D8" w14:textId="77777777" w:rsidR="006D0214" w:rsidRPr="0017647C" w:rsidRDefault="006D0214" w:rsidP="00151E8A">
      <w:pPr>
        <w:numPr>
          <w:ilvl w:val="0"/>
          <w:numId w:val="20"/>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uzależniają uruchomienie środków w ramach każdej kolejnej transzy od terminowej obsługi już wykorzystanej części i nie budzącej obaw sytuacji ekonomiczno-finansowej dłużnika w przypadku, gdy wymagane jest stosowanie tego kryterium; lub</w:t>
      </w:r>
    </w:p>
    <w:p w14:paraId="307FC8FA" w14:textId="77777777" w:rsidR="006D0214" w:rsidRPr="0017647C" w:rsidRDefault="006D0214" w:rsidP="00151E8A">
      <w:pPr>
        <w:numPr>
          <w:ilvl w:val="0"/>
          <w:numId w:val="20"/>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lastRenderedPageBreak/>
        <w:t>uzależniają uruchomienie środków w ramach zobowiązania od złożenia zabezpieczeń umożliwiających pomniejszenie podstawy tworzenia rezerw celowych o kwotę odpowiadającą uruchamianym środkom lub klasyfik</w:t>
      </w:r>
      <w:r w:rsidR="002F6A14" w:rsidRPr="0017647C">
        <w:rPr>
          <w:rFonts w:ascii="Times New Roman" w:hAnsi="Times New Roman" w:cs="Times New Roman"/>
          <w:color w:val="auto"/>
        </w:rPr>
        <w:t>owanie ekspozycji kredytowej do </w:t>
      </w:r>
      <w:r w:rsidRPr="0017647C">
        <w:rPr>
          <w:rFonts w:ascii="Times New Roman" w:hAnsi="Times New Roman" w:cs="Times New Roman"/>
          <w:color w:val="auto"/>
        </w:rPr>
        <w:t>kategorii „normalne”</w:t>
      </w:r>
      <w:r w:rsidR="002F6A14" w:rsidRPr="0017647C">
        <w:rPr>
          <w:rFonts w:ascii="Times New Roman" w:hAnsi="Times New Roman" w:cs="Times New Roman"/>
          <w:color w:val="auto"/>
        </w:rPr>
        <w:t>.</w:t>
      </w:r>
    </w:p>
    <w:p w14:paraId="314DD991" w14:textId="77777777" w:rsidR="00151E8A" w:rsidRPr="0017647C" w:rsidRDefault="00151E8A" w:rsidP="00151E8A">
      <w:pPr>
        <w:spacing w:after="0" w:line="276" w:lineRule="auto"/>
        <w:ind w:left="-5" w:right="7"/>
        <w:rPr>
          <w:rFonts w:ascii="Times New Roman" w:hAnsi="Times New Roman" w:cs="Times New Roman"/>
          <w:i/>
          <w:color w:val="auto"/>
        </w:rPr>
      </w:pPr>
    </w:p>
    <w:p w14:paraId="12A052BD" w14:textId="77777777" w:rsidR="002C50F6" w:rsidRPr="0017647C" w:rsidRDefault="006D0214" w:rsidP="002F6A14">
      <w:pPr>
        <w:spacing w:after="120" w:line="276" w:lineRule="auto"/>
        <w:ind w:left="-6" w:right="6" w:hanging="11"/>
        <w:rPr>
          <w:rFonts w:ascii="Times New Roman" w:hAnsi="Times New Roman" w:cs="Times New Roman"/>
          <w:color w:val="auto"/>
        </w:rPr>
      </w:pPr>
      <w:r w:rsidRPr="0017647C">
        <w:rPr>
          <w:rFonts w:ascii="Times New Roman" w:hAnsi="Times New Roman" w:cs="Times New Roman"/>
          <w:i/>
          <w:color w:val="auto"/>
        </w:rPr>
        <w:t>Z</w:t>
      </w:r>
      <w:r w:rsidR="00E81BF6" w:rsidRPr="0017647C">
        <w:rPr>
          <w:rFonts w:ascii="Times New Roman" w:hAnsi="Times New Roman" w:cs="Times New Roman"/>
          <w:i/>
          <w:color w:val="auto"/>
        </w:rPr>
        <w:t>asady klasyfikacji ekspozycji kredytowych</w:t>
      </w:r>
    </w:p>
    <w:p w14:paraId="2B92E5F1" w14:textId="77777777" w:rsidR="002C50F6" w:rsidRPr="0017647C" w:rsidRDefault="00E81BF6" w:rsidP="00151E8A">
      <w:pPr>
        <w:spacing w:after="0" w:line="276" w:lineRule="auto"/>
        <w:ind w:left="-5" w:right="8"/>
        <w:rPr>
          <w:rFonts w:ascii="Times New Roman" w:hAnsi="Times New Roman" w:cs="Times New Roman"/>
          <w:color w:val="auto"/>
        </w:rPr>
      </w:pPr>
      <w:r w:rsidRPr="0017647C">
        <w:rPr>
          <w:rFonts w:ascii="Times New Roman" w:hAnsi="Times New Roman" w:cs="Times New Roman"/>
          <w:color w:val="auto"/>
        </w:rPr>
        <w:t>Podstawowymi kryteriami prawidłowej klasyfikacji są dwa niezależne od siebie kryteria:</w:t>
      </w:r>
    </w:p>
    <w:p w14:paraId="3D8C1AC1" w14:textId="77777777" w:rsidR="002C50F6" w:rsidRPr="0017647C" w:rsidRDefault="00E81BF6" w:rsidP="00151E8A">
      <w:pPr>
        <w:numPr>
          <w:ilvl w:val="0"/>
          <w:numId w:val="21"/>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terminowość spłaty kapitału lub odsetek;</w:t>
      </w:r>
    </w:p>
    <w:p w14:paraId="42EB2D8A" w14:textId="77777777" w:rsidR="002C50F6" w:rsidRPr="0017647C" w:rsidRDefault="00E81BF6" w:rsidP="00151E8A">
      <w:pPr>
        <w:numPr>
          <w:ilvl w:val="0"/>
          <w:numId w:val="21"/>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 xml:space="preserve">sytuacja ekonomiczno-finansowa kredytobiorcy. </w:t>
      </w:r>
    </w:p>
    <w:p w14:paraId="533ECF4A" w14:textId="77777777" w:rsidR="002C50F6" w:rsidRPr="0017647C" w:rsidRDefault="00E81BF6" w:rsidP="00151E8A">
      <w:pPr>
        <w:spacing w:after="0" w:line="276" w:lineRule="auto"/>
        <w:ind w:left="-5" w:right="8"/>
        <w:rPr>
          <w:rFonts w:ascii="Times New Roman" w:hAnsi="Times New Roman" w:cs="Times New Roman"/>
          <w:color w:val="auto"/>
        </w:rPr>
      </w:pPr>
      <w:r w:rsidRPr="0017647C">
        <w:rPr>
          <w:rFonts w:ascii="Times New Roman" w:hAnsi="Times New Roman" w:cs="Times New Roman"/>
          <w:color w:val="auto"/>
        </w:rPr>
        <w:t>Kategorię ryzyka dla należności dotyczących</w:t>
      </w:r>
      <w:r w:rsidR="00F67DF7" w:rsidRPr="0017647C">
        <w:rPr>
          <w:rFonts w:ascii="Times New Roman" w:hAnsi="Times New Roman" w:cs="Times New Roman"/>
          <w:color w:val="auto"/>
        </w:rPr>
        <w:t xml:space="preserve"> klientów instytucjonalnych (</w:t>
      </w:r>
      <w:r w:rsidRPr="0017647C">
        <w:rPr>
          <w:rFonts w:ascii="Times New Roman" w:hAnsi="Times New Roman" w:cs="Times New Roman"/>
          <w:color w:val="auto"/>
        </w:rPr>
        <w:t>podmiot</w:t>
      </w:r>
      <w:r w:rsidR="00F67DF7" w:rsidRPr="0017647C">
        <w:rPr>
          <w:rFonts w:ascii="Times New Roman" w:hAnsi="Times New Roman" w:cs="Times New Roman"/>
          <w:color w:val="auto"/>
        </w:rPr>
        <w:t>y</w:t>
      </w:r>
      <w:r w:rsidRPr="0017647C">
        <w:rPr>
          <w:rFonts w:ascii="Times New Roman" w:hAnsi="Times New Roman" w:cs="Times New Roman"/>
          <w:color w:val="auto"/>
        </w:rPr>
        <w:t xml:space="preserve"> gospodarcz</w:t>
      </w:r>
      <w:r w:rsidR="00F67DF7" w:rsidRPr="0017647C">
        <w:rPr>
          <w:rFonts w:ascii="Times New Roman" w:hAnsi="Times New Roman" w:cs="Times New Roman"/>
          <w:color w:val="auto"/>
        </w:rPr>
        <w:t>e</w:t>
      </w:r>
      <w:r w:rsidRPr="0017647C">
        <w:rPr>
          <w:rFonts w:ascii="Times New Roman" w:hAnsi="Times New Roman" w:cs="Times New Roman"/>
          <w:color w:val="auto"/>
        </w:rPr>
        <w:t>,</w:t>
      </w:r>
      <w:r w:rsidR="00F67DF7" w:rsidRPr="0017647C">
        <w:rPr>
          <w:rFonts w:ascii="Times New Roman" w:hAnsi="Times New Roman" w:cs="Times New Roman"/>
          <w:color w:val="auto"/>
        </w:rPr>
        <w:t xml:space="preserve"> rolnicy,</w:t>
      </w:r>
      <w:r w:rsidRPr="0017647C">
        <w:rPr>
          <w:rFonts w:ascii="Times New Roman" w:hAnsi="Times New Roman" w:cs="Times New Roman"/>
          <w:color w:val="auto"/>
        </w:rPr>
        <w:t xml:space="preserve"> podmiot</w:t>
      </w:r>
      <w:r w:rsidR="00F67DF7" w:rsidRPr="0017647C">
        <w:rPr>
          <w:rFonts w:ascii="Times New Roman" w:hAnsi="Times New Roman" w:cs="Times New Roman"/>
          <w:color w:val="auto"/>
        </w:rPr>
        <w:t>y</w:t>
      </w:r>
      <w:r w:rsidRPr="0017647C">
        <w:rPr>
          <w:rFonts w:ascii="Times New Roman" w:hAnsi="Times New Roman" w:cs="Times New Roman"/>
          <w:color w:val="auto"/>
        </w:rPr>
        <w:t xml:space="preserve"> finansow</w:t>
      </w:r>
      <w:r w:rsidR="00F67DF7" w:rsidRPr="0017647C">
        <w:rPr>
          <w:rFonts w:ascii="Times New Roman" w:hAnsi="Times New Roman" w:cs="Times New Roman"/>
          <w:color w:val="auto"/>
        </w:rPr>
        <w:t>e</w:t>
      </w:r>
      <w:r w:rsidRPr="0017647C">
        <w:rPr>
          <w:rFonts w:ascii="Times New Roman" w:hAnsi="Times New Roman" w:cs="Times New Roman"/>
          <w:color w:val="auto"/>
        </w:rPr>
        <w:t xml:space="preserve"> i jednostk</w:t>
      </w:r>
      <w:r w:rsidR="00F67DF7" w:rsidRPr="0017647C">
        <w:rPr>
          <w:rFonts w:ascii="Times New Roman" w:hAnsi="Times New Roman" w:cs="Times New Roman"/>
          <w:color w:val="auto"/>
        </w:rPr>
        <w:t>i</w:t>
      </w:r>
      <w:r w:rsidRPr="0017647C">
        <w:rPr>
          <w:rFonts w:ascii="Times New Roman" w:hAnsi="Times New Roman" w:cs="Times New Roman"/>
          <w:color w:val="auto"/>
        </w:rPr>
        <w:t xml:space="preserve"> samorządu terytorialnego</w:t>
      </w:r>
      <w:r w:rsidR="00F67DF7" w:rsidRPr="0017647C">
        <w:rPr>
          <w:rFonts w:ascii="Times New Roman" w:hAnsi="Times New Roman" w:cs="Times New Roman"/>
          <w:color w:val="auto"/>
        </w:rPr>
        <w:t>)</w:t>
      </w:r>
      <w:r w:rsidRPr="0017647C">
        <w:rPr>
          <w:rFonts w:ascii="Times New Roman" w:hAnsi="Times New Roman" w:cs="Times New Roman"/>
          <w:color w:val="auto"/>
        </w:rPr>
        <w:t xml:space="preserve"> ustala się przy wykorzystaniu obydwu w/w kryteriów. </w:t>
      </w:r>
    </w:p>
    <w:p w14:paraId="2BA320A7" w14:textId="77777777" w:rsidR="002C50F6" w:rsidRPr="0017647C" w:rsidRDefault="00E81BF6" w:rsidP="00151E8A">
      <w:pPr>
        <w:spacing w:after="0" w:line="276" w:lineRule="auto"/>
        <w:ind w:left="-5" w:right="8"/>
        <w:rPr>
          <w:rFonts w:ascii="Times New Roman" w:hAnsi="Times New Roman" w:cs="Times New Roman"/>
          <w:color w:val="auto"/>
        </w:rPr>
      </w:pPr>
      <w:r w:rsidRPr="0017647C">
        <w:rPr>
          <w:rFonts w:ascii="Times New Roman" w:hAnsi="Times New Roman" w:cs="Times New Roman"/>
          <w:color w:val="auto"/>
        </w:rPr>
        <w:t xml:space="preserve">Ekspozycje kredytowe klasyfikuje się na podstawie: </w:t>
      </w:r>
    </w:p>
    <w:p w14:paraId="2C28672F" w14:textId="77777777" w:rsidR="002C50F6" w:rsidRPr="0017647C" w:rsidRDefault="00E81BF6" w:rsidP="00151E8A">
      <w:pPr>
        <w:numPr>
          <w:ilvl w:val="0"/>
          <w:numId w:val="22"/>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kryterium terminowości spłaty kapitału lub odsetek w odniesieniu do:</w:t>
      </w:r>
    </w:p>
    <w:p w14:paraId="250B389D" w14:textId="77777777" w:rsidR="002C50F6" w:rsidRPr="0017647C" w:rsidRDefault="00E81BF6" w:rsidP="00151E8A">
      <w:pPr>
        <w:numPr>
          <w:ilvl w:val="1"/>
          <w:numId w:val="22"/>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ekspozycji kredytowych wobec Skarbu Państwa;</w:t>
      </w:r>
    </w:p>
    <w:p w14:paraId="3A879DE7" w14:textId="77777777" w:rsidR="002C50F6" w:rsidRPr="0017647C" w:rsidRDefault="00E81BF6" w:rsidP="00151E8A">
      <w:pPr>
        <w:numPr>
          <w:ilvl w:val="1"/>
          <w:numId w:val="22"/>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ekspozycji kredytowych wobec osób fizycznych, ud</w:t>
      </w:r>
      <w:r w:rsidR="002F6A14" w:rsidRPr="0017647C">
        <w:rPr>
          <w:rFonts w:ascii="Times New Roman" w:hAnsi="Times New Roman" w:cs="Times New Roman"/>
          <w:color w:val="auto"/>
        </w:rPr>
        <w:t>zielonych na cele niezwiązane z </w:t>
      </w:r>
      <w:r w:rsidRPr="0017647C">
        <w:rPr>
          <w:rFonts w:ascii="Times New Roman" w:hAnsi="Times New Roman" w:cs="Times New Roman"/>
          <w:color w:val="auto"/>
        </w:rPr>
        <w:t>działalnością gospodarczą lub prowadzeniem gospodarstwa rolnego</w:t>
      </w:r>
      <w:r w:rsidR="002F6A14" w:rsidRPr="0017647C">
        <w:rPr>
          <w:rFonts w:ascii="Times New Roman" w:hAnsi="Times New Roman" w:cs="Times New Roman"/>
          <w:color w:val="auto"/>
        </w:rPr>
        <w:t>;</w:t>
      </w:r>
      <w:r w:rsidRPr="0017647C">
        <w:rPr>
          <w:rFonts w:ascii="Times New Roman" w:hAnsi="Times New Roman" w:cs="Times New Roman"/>
          <w:color w:val="auto"/>
        </w:rPr>
        <w:t xml:space="preserve"> </w:t>
      </w:r>
    </w:p>
    <w:p w14:paraId="7FC1699A" w14:textId="77777777" w:rsidR="00F67DF7" w:rsidRPr="0017647C" w:rsidRDefault="00EE290C" w:rsidP="00151E8A">
      <w:pPr>
        <w:numPr>
          <w:ilvl w:val="1"/>
          <w:numId w:val="22"/>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e</w:t>
      </w:r>
      <w:r w:rsidR="00F67DF7" w:rsidRPr="0017647C">
        <w:rPr>
          <w:rFonts w:ascii="Times New Roman" w:hAnsi="Times New Roman" w:cs="Times New Roman"/>
          <w:color w:val="auto"/>
        </w:rPr>
        <w:t>kspozycj</w:t>
      </w:r>
      <w:r w:rsidRPr="0017647C">
        <w:rPr>
          <w:rFonts w:ascii="Times New Roman" w:hAnsi="Times New Roman" w:cs="Times New Roman"/>
          <w:color w:val="auto"/>
        </w:rPr>
        <w:t>i</w:t>
      </w:r>
      <w:r w:rsidR="00F67DF7" w:rsidRPr="0017647C">
        <w:rPr>
          <w:rFonts w:ascii="Times New Roman" w:hAnsi="Times New Roman" w:cs="Times New Roman"/>
          <w:color w:val="auto"/>
        </w:rPr>
        <w:t xml:space="preserve"> kredytow</w:t>
      </w:r>
      <w:r w:rsidRPr="0017647C">
        <w:rPr>
          <w:rFonts w:ascii="Times New Roman" w:hAnsi="Times New Roman" w:cs="Times New Roman"/>
          <w:color w:val="auto"/>
        </w:rPr>
        <w:t xml:space="preserve">ych wobec osób fizycznych </w:t>
      </w:r>
      <w:r w:rsidR="00F67DF7" w:rsidRPr="0017647C">
        <w:rPr>
          <w:rFonts w:ascii="Times New Roman" w:hAnsi="Times New Roman" w:cs="Times New Roman"/>
          <w:color w:val="auto"/>
        </w:rPr>
        <w:t>wynikając</w:t>
      </w:r>
      <w:r w:rsidRPr="0017647C">
        <w:rPr>
          <w:rFonts w:ascii="Times New Roman" w:hAnsi="Times New Roman" w:cs="Times New Roman"/>
          <w:color w:val="auto"/>
        </w:rPr>
        <w:t>ych</w:t>
      </w:r>
      <w:r w:rsidR="00F67DF7" w:rsidRPr="0017647C">
        <w:rPr>
          <w:rFonts w:ascii="Times New Roman" w:hAnsi="Times New Roman" w:cs="Times New Roman"/>
          <w:color w:val="auto"/>
        </w:rPr>
        <w:t xml:space="preserve"> z pożyczek i kredytów mieszkaniowych oraz pożyczek i kredytów hipotecznych</w:t>
      </w:r>
      <w:r w:rsidR="002F6A14" w:rsidRPr="0017647C">
        <w:rPr>
          <w:rFonts w:ascii="Times New Roman" w:hAnsi="Times New Roman" w:cs="Times New Roman"/>
          <w:color w:val="auto"/>
        </w:rPr>
        <w:t>;</w:t>
      </w:r>
    </w:p>
    <w:p w14:paraId="39FD2C1C" w14:textId="77777777" w:rsidR="002C50F6" w:rsidRPr="0017647C" w:rsidRDefault="00E81BF6" w:rsidP="00151E8A">
      <w:pPr>
        <w:numPr>
          <w:ilvl w:val="0"/>
          <w:numId w:val="22"/>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 xml:space="preserve">w odniesieniu do pozostałych ekspozycji kredytowych, dwóch niezależnych od siebie kryteriów: </w:t>
      </w:r>
    </w:p>
    <w:p w14:paraId="40920F0E" w14:textId="77777777" w:rsidR="002C50F6" w:rsidRPr="0017647C" w:rsidRDefault="00E81BF6" w:rsidP="00151E8A">
      <w:pPr>
        <w:numPr>
          <w:ilvl w:val="1"/>
          <w:numId w:val="22"/>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terminowości spłaty kapitału lub odsetek;</w:t>
      </w:r>
    </w:p>
    <w:p w14:paraId="3E58609B" w14:textId="77777777" w:rsidR="002C50F6" w:rsidRPr="0017647C" w:rsidRDefault="00E81BF6" w:rsidP="00151E8A">
      <w:pPr>
        <w:numPr>
          <w:ilvl w:val="1"/>
          <w:numId w:val="22"/>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sytuacji ekonomiczno-finansowej dłużnika.</w:t>
      </w:r>
    </w:p>
    <w:p w14:paraId="5F7EEFF3" w14:textId="77777777" w:rsidR="00EE290C" w:rsidRPr="0017647C" w:rsidRDefault="00EE290C" w:rsidP="00151E8A">
      <w:pPr>
        <w:spacing w:after="0" w:line="276" w:lineRule="auto"/>
        <w:ind w:left="-5" w:right="8"/>
        <w:rPr>
          <w:rFonts w:ascii="Times New Roman" w:hAnsi="Times New Roman" w:cs="Times New Roman"/>
          <w:color w:val="auto"/>
        </w:rPr>
      </w:pPr>
      <w:r w:rsidRPr="0017647C">
        <w:rPr>
          <w:rFonts w:ascii="Times New Roman" w:hAnsi="Times New Roman" w:cs="Times New Roman"/>
          <w:color w:val="auto"/>
        </w:rPr>
        <w:t>Ocenę sytuacji ekonomiczno-finansowej klienta instytucjonalnego przeprowadza się na podstawie oceny bieżących mierników ilościowych i jakościowych</w:t>
      </w:r>
      <w:r w:rsidR="002F6A14" w:rsidRPr="0017647C">
        <w:rPr>
          <w:rFonts w:ascii="Times New Roman" w:hAnsi="Times New Roman" w:cs="Times New Roman"/>
          <w:color w:val="auto"/>
        </w:rPr>
        <w:t>.</w:t>
      </w:r>
    </w:p>
    <w:p w14:paraId="23C82EB9" w14:textId="77777777" w:rsidR="00EE290C" w:rsidRPr="0017647C" w:rsidRDefault="00EE290C" w:rsidP="00151E8A">
      <w:pPr>
        <w:spacing w:after="0" w:line="276" w:lineRule="auto"/>
        <w:ind w:left="-5" w:right="8"/>
        <w:rPr>
          <w:rFonts w:ascii="Times New Roman" w:hAnsi="Times New Roman" w:cs="Times New Roman"/>
          <w:color w:val="auto"/>
        </w:rPr>
      </w:pPr>
    </w:p>
    <w:p w14:paraId="51B522D5" w14:textId="77777777" w:rsidR="002C50F6" w:rsidRPr="0017647C" w:rsidRDefault="00E81BF6" w:rsidP="00151E8A">
      <w:pPr>
        <w:spacing w:after="0" w:line="276" w:lineRule="auto"/>
        <w:ind w:left="-5" w:right="8"/>
        <w:rPr>
          <w:rFonts w:ascii="Times New Roman" w:hAnsi="Times New Roman" w:cs="Times New Roman"/>
          <w:color w:val="auto"/>
        </w:rPr>
      </w:pPr>
      <w:r w:rsidRPr="0017647C">
        <w:rPr>
          <w:rFonts w:ascii="Times New Roman" w:hAnsi="Times New Roman" w:cs="Times New Roman"/>
          <w:color w:val="auto"/>
        </w:rPr>
        <w:t xml:space="preserve">Ekspozycje kredytowe klasyfikuje się do następujących kategorii: </w:t>
      </w:r>
    </w:p>
    <w:p w14:paraId="2D0624FD" w14:textId="77777777" w:rsidR="002C50F6" w:rsidRPr="0017647C" w:rsidRDefault="00E81BF6" w:rsidP="00151E8A">
      <w:pPr>
        <w:numPr>
          <w:ilvl w:val="0"/>
          <w:numId w:val="23"/>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 xml:space="preserve">w przypadku ekspozycji wobec Skarbu Państwa: </w:t>
      </w:r>
    </w:p>
    <w:p w14:paraId="5FC5CF0E" w14:textId="77777777" w:rsidR="00EE290C" w:rsidRPr="0017647C" w:rsidRDefault="00E81BF6" w:rsidP="00151E8A">
      <w:pPr>
        <w:numPr>
          <w:ilvl w:val="1"/>
          <w:numId w:val="23"/>
        </w:numPr>
        <w:spacing w:after="0" w:line="276" w:lineRule="auto"/>
        <w:ind w:right="8" w:hanging="371"/>
        <w:rPr>
          <w:rFonts w:ascii="Times New Roman" w:hAnsi="Times New Roman" w:cs="Times New Roman"/>
          <w:color w:val="auto"/>
        </w:rPr>
      </w:pPr>
      <w:r w:rsidRPr="0017647C">
        <w:rPr>
          <w:rFonts w:ascii="Times New Roman" w:hAnsi="Times New Roman" w:cs="Times New Roman"/>
          <w:color w:val="auto"/>
        </w:rPr>
        <w:t>ekspozycje kredytowe „normalne” –</w:t>
      </w:r>
      <w:r w:rsidR="00EE290C" w:rsidRPr="0017647C">
        <w:rPr>
          <w:rFonts w:ascii="Times New Roman" w:hAnsi="Times New Roman" w:cs="Times New Roman"/>
          <w:color w:val="auto"/>
        </w:rPr>
        <w:t xml:space="preserve"> ekspozycje kredytowe, w przypadku których opóźnienie w spłatach kapitału lub odsetek w stosunku do terminu (harmonogramu) spłat określonego w momencie powstania zobowiązania Skarbu Państwa nie przekracza 1 roku;</w:t>
      </w:r>
    </w:p>
    <w:p w14:paraId="42A5416C" w14:textId="77777777" w:rsidR="002C50F6" w:rsidRPr="0017647C" w:rsidRDefault="00E81BF6" w:rsidP="00151E8A">
      <w:pPr>
        <w:numPr>
          <w:ilvl w:val="1"/>
          <w:numId w:val="23"/>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 xml:space="preserve">ekspozycje kredytowe „wątpliwe” – </w:t>
      </w:r>
      <w:r w:rsidR="00EE290C" w:rsidRPr="0017647C">
        <w:rPr>
          <w:rFonts w:ascii="Times New Roman" w:hAnsi="Times New Roman" w:cs="Times New Roman"/>
          <w:color w:val="auto"/>
        </w:rPr>
        <w:t>ekspozycje kredytowe</w:t>
      </w:r>
      <w:r w:rsidRPr="0017647C">
        <w:rPr>
          <w:rFonts w:ascii="Times New Roman" w:hAnsi="Times New Roman" w:cs="Times New Roman"/>
          <w:color w:val="auto"/>
        </w:rPr>
        <w:t xml:space="preserve">: </w:t>
      </w:r>
    </w:p>
    <w:p w14:paraId="58CBB74E" w14:textId="77777777" w:rsidR="00EE290C" w:rsidRPr="0017647C" w:rsidRDefault="00EE290C" w:rsidP="00151E8A">
      <w:pPr>
        <w:pStyle w:val="Akapitzlist"/>
        <w:numPr>
          <w:ilvl w:val="0"/>
          <w:numId w:val="33"/>
        </w:numPr>
        <w:spacing w:line="276" w:lineRule="auto"/>
        <w:ind w:right="6"/>
        <w:rPr>
          <w:sz w:val="24"/>
          <w:szCs w:val="24"/>
        </w:rPr>
      </w:pPr>
      <w:r w:rsidRPr="0017647C">
        <w:rPr>
          <w:sz w:val="24"/>
          <w:szCs w:val="24"/>
        </w:rPr>
        <w:t>w przypadku których opóźnienie w spłatach kapitału lub odsetek w stosunku do terminu (harmonogramu) spłat określonego w momencie powstania zobowiązania Skarbu Państwa wynosi powyżej 1 roku i nie dłużej niż 2 lata</w:t>
      </w:r>
      <w:r w:rsidR="002F6A14" w:rsidRPr="0017647C">
        <w:rPr>
          <w:sz w:val="24"/>
          <w:szCs w:val="24"/>
        </w:rPr>
        <w:t>;</w:t>
      </w:r>
    </w:p>
    <w:p w14:paraId="1A441AD5" w14:textId="77777777" w:rsidR="00EE290C" w:rsidRPr="0017647C" w:rsidRDefault="00EE290C" w:rsidP="002F6A14">
      <w:pPr>
        <w:pStyle w:val="Akapitzlist"/>
        <w:numPr>
          <w:ilvl w:val="0"/>
          <w:numId w:val="33"/>
        </w:numPr>
        <w:spacing w:line="276" w:lineRule="auto"/>
        <w:ind w:right="6"/>
        <w:jc w:val="both"/>
        <w:rPr>
          <w:sz w:val="24"/>
          <w:szCs w:val="24"/>
        </w:rPr>
      </w:pPr>
      <w:r w:rsidRPr="0017647C">
        <w:rPr>
          <w:sz w:val="24"/>
          <w:szCs w:val="24"/>
        </w:rPr>
        <w:t xml:space="preserve">o nieokreślonym terminie (harmonogramie) </w:t>
      </w:r>
      <w:r w:rsidR="002F6A14" w:rsidRPr="0017647C">
        <w:rPr>
          <w:sz w:val="24"/>
          <w:szCs w:val="24"/>
        </w:rPr>
        <w:t>płatności, dla których okres od </w:t>
      </w:r>
      <w:r w:rsidRPr="0017647C">
        <w:rPr>
          <w:sz w:val="24"/>
          <w:szCs w:val="24"/>
        </w:rPr>
        <w:t>momentu powstania zobowiązania Skarbu Państwa do momentu klasyfikacji nie przekracza 1 roku;</w:t>
      </w:r>
    </w:p>
    <w:p w14:paraId="41C61BA5" w14:textId="77777777" w:rsidR="002C50F6" w:rsidRPr="0017647C" w:rsidRDefault="00E81BF6" w:rsidP="00151E8A">
      <w:pPr>
        <w:numPr>
          <w:ilvl w:val="1"/>
          <w:numId w:val="23"/>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 xml:space="preserve">ekspozycje kredytowe „stracone” – </w:t>
      </w:r>
      <w:r w:rsidR="00EE290C" w:rsidRPr="0017647C">
        <w:rPr>
          <w:rFonts w:ascii="Times New Roman" w:hAnsi="Times New Roman" w:cs="Times New Roman"/>
          <w:color w:val="auto"/>
        </w:rPr>
        <w:t>ekspozycje kredytowe</w:t>
      </w:r>
      <w:r w:rsidRPr="0017647C">
        <w:rPr>
          <w:rFonts w:ascii="Times New Roman" w:hAnsi="Times New Roman" w:cs="Times New Roman"/>
          <w:color w:val="auto"/>
        </w:rPr>
        <w:t xml:space="preserve">: </w:t>
      </w:r>
    </w:p>
    <w:p w14:paraId="681F609B" w14:textId="77777777" w:rsidR="00EE290C" w:rsidRPr="0017647C" w:rsidRDefault="00EE290C" w:rsidP="00151E8A">
      <w:pPr>
        <w:numPr>
          <w:ilvl w:val="0"/>
          <w:numId w:val="34"/>
        </w:numPr>
        <w:tabs>
          <w:tab w:val="clear" w:pos="1083"/>
          <w:tab w:val="num" w:pos="1418"/>
        </w:tabs>
        <w:spacing w:after="0" w:line="276" w:lineRule="auto"/>
        <w:ind w:left="1418" w:right="0" w:hanging="142"/>
        <w:rPr>
          <w:rFonts w:ascii="Times New Roman" w:hAnsi="Times New Roman" w:cs="Times New Roman"/>
          <w:color w:val="auto"/>
        </w:rPr>
      </w:pPr>
      <w:r w:rsidRPr="0017647C">
        <w:rPr>
          <w:rFonts w:ascii="Times New Roman" w:hAnsi="Times New Roman" w:cs="Times New Roman"/>
          <w:color w:val="auto"/>
        </w:rPr>
        <w:lastRenderedPageBreak/>
        <w:t>w przypadku których opóźnienie w spłatach kap</w:t>
      </w:r>
      <w:r w:rsidR="002F6A14" w:rsidRPr="0017647C">
        <w:rPr>
          <w:rFonts w:ascii="Times New Roman" w:hAnsi="Times New Roman" w:cs="Times New Roman"/>
          <w:color w:val="auto"/>
        </w:rPr>
        <w:t>itału lub odsetek w stosunku do </w:t>
      </w:r>
      <w:r w:rsidRPr="0017647C">
        <w:rPr>
          <w:rFonts w:ascii="Times New Roman" w:hAnsi="Times New Roman" w:cs="Times New Roman"/>
          <w:color w:val="auto"/>
        </w:rPr>
        <w:t>terminu (harmonogramu) spłat określonego w momencie powstania zobowiązania Skar</w:t>
      </w:r>
      <w:r w:rsidR="002F6A14" w:rsidRPr="0017647C">
        <w:rPr>
          <w:rFonts w:ascii="Times New Roman" w:hAnsi="Times New Roman" w:cs="Times New Roman"/>
          <w:color w:val="auto"/>
        </w:rPr>
        <w:t>bu Państwa wynosi powyżej 2 lat;</w:t>
      </w:r>
    </w:p>
    <w:p w14:paraId="16CA0815" w14:textId="77777777" w:rsidR="00EE290C" w:rsidRPr="0017647C" w:rsidRDefault="00EE290C" w:rsidP="00151E8A">
      <w:pPr>
        <w:numPr>
          <w:ilvl w:val="0"/>
          <w:numId w:val="34"/>
        </w:numPr>
        <w:tabs>
          <w:tab w:val="clear" w:pos="1083"/>
          <w:tab w:val="num" w:pos="1418"/>
        </w:tabs>
        <w:spacing w:after="0" w:line="276" w:lineRule="auto"/>
        <w:ind w:left="1418" w:right="0" w:hanging="142"/>
        <w:rPr>
          <w:rFonts w:ascii="Times New Roman" w:hAnsi="Times New Roman" w:cs="Times New Roman"/>
          <w:color w:val="auto"/>
        </w:rPr>
      </w:pPr>
      <w:r w:rsidRPr="0017647C">
        <w:rPr>
          <w:rFonts w:ascii="Times New Roman" w:hAnsi="Times New Roman" w:cs="Times New Roman"/>
          <w:color w:val="auto"/>
        </w:rPr>
        <w:t>o nieokreślonym terminie (harmonogramie) płatności, dla których okres od momentu powstania zobowiązania Skarbu Państwa do momentu kla</w:t>
      </w:r>
      <w:r w:rsidR="002F6A14" w:rsidRPr="0017647C">
        <w:rPr>
          <w:rFonts w:ascii="Times New Roman" w:hAnsi="Times New Roman" w:cs="Times New Roman"/>
          <w:color w:val="auto"/>
        </w:rPr>
        <w:t>syfikacji wynosi powyżej 1 roku;</w:t>
      </w:r>
    </w:p>
    <w:p w14:paraId="5FA4C513" w14:textId="77777777" w:rsidR="00EE290C" w:rsidRPr="0017647C" w:rsidRDefault="00EE290C" w:rsidP="00151E8A">
      <w:pPr>
        <w:numPr>
          <w:ilvl w:val="0"/>
          <w:numId w:val="34"/>
        </w:numPr>
        <w:tabs>
          <w:tab w:val="clear" w:pos="1083"/>
          <w:tab w:val="num" w:pos="1418"/>
        </w:tabs>
        <w:spacing w:after="0" w:line="276" w:lineRule="auto"/>
        <w:ind w:left="1418" w:right="0" w:hanging="142"/>
        <w:rPr>
          <w:rFonts w:ascii="Times New Roman" w:hAnsi="Times New Roman" w:cs="Times New Roman"/>
          <w:color w:val="auto"/>
        </w:rPr>
      </w:pPr>
      <w:r w:rsidRPr="0017647C">
        <w:rPr>
          <w:rFonts w:ascii="Times New Roman" w:hAnsi="Times New Roman" w:cs="Times New Roman"/>
          <w:color w:val="auto"/>
        </w:rPr>
        <w:t>kwestionowane</w:t>
      </w:r>
      <w:r w:rsidR="002F6A14" w:rsidRPr="0017647C">
        <w:rPr>
          <w:rFonts w:ascii="Times New Roman" w:hAnsi="Times New Roman" w:cs="Times New Roman"/>
          <w:color w:val="auto"/>
        </w:rPr>
        <w:t xml:space="preserve"> przez Skarb Państwa („sporne”);</w:t>
      </w:r>
    </w:p>
    <w:p w14:paraId="4F2953A0" w14:textId="77777777" w:rsidR="002C50F6" w:rsidRPr="0017647C" w:rsidRDefault="00E81BF6" w:rsidP="00151E8A">
      <w:pPr>
        <w:numPr>
          <w:ilvl w:val="0"/>
          <w:numId w:val="23"/>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w przypadku ekspozycji kredytowych wynikających z pożyczek i kredytów detalicznych:</w:t>
      </w:r>
    </w:p>
    <w:p w14:paraId="7F7A0646" w14:textId="77777777" w:rsidR="002C50F6" w:rsidRPr="0017647C" w:rsidRDefault="00E81BF6" w:rsidP="00151E8A">
      <w:pPr>
        <w:numPr>
          <w:ilvl w:val="0"/>
          <w:numId w:val="24"/>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eks</w:t>
      </w:r>
      <w:r w:rsidR="00C742AF" w:rsidRPr="0017647C">
        <w:rPr>
          <w:rFonts w:ascii="Times New Roman" w:hAnsi="Times New Roman" w:cs="Times New Roman"/>
          <w:color w:val="auto"/>
        </w:rPr>
        <w:t xml:space="preserve">pozycje kredytowe „normalne” – </w:t>
      </w:r>
      <w:r w:rsidRPr="0017647C">
        <w:rPr>
          <w:rFonts w:ascii="Times New Roman" w:hAnsi="Times New Roman" w:cs="Times New Roman"/>
          <w:color w:val="auto"/>
        </w:rPr>
        <w:t>ekspozycje</w:t>
      </w:r>
      <w:r w:rsidR="00C742AF" w:rsidRPr="0017647C">
        <w:rPr>
          <w:rFonts w:ascii="Times New Roman" w:hAnsi="Times New Roman" w:cs="Times New Roman"/>
          <w:color w:val="auto"/>
        </w:rPr>
        <w:t xml:space="preserve"> kredytowe</w:t>
      </w:r>
      <w:r w:rsidRPr="0017647C">
        <w:rPr>
          <w:rFonts w:ascii="Times New Roman" w:hAnsi="Times New Roman" w:cs="Times New Roman"/>
          <w:color w:val="auto"/>
        </w:rPr>
        <w:t>, w przypadku których opóźnienie w spłacie kapitału lub odsetek nie przekracza 6 miesięcy;</w:t>
      </w:r>
    </w:p>
    <w:p w14:paraId="074FB3E1" w14:textId="77777777" w:rsidR="002C50F6" w:rsidRPr="0017647C" w:rsidRDefault="00E81BF6" w:rsidP="00151E8A">
      <w:pPr>
        <w:numPr>
          <w:ilvl w:val="0"/>
          <w:numId w:val="24"/>
        </w:numPr>
        <w:spacing w:after="0" w:line="276" w:lineRule="auto"/>
        <w:ind w:right="8" w:hanging="360"/>
        <w:rPr>
          <w:rFonts w:ascii="Times New Roman" w:hAnsi="Times New Roman" w:cs="Times New Roman"/>
          <w:color w:val="auto"/>
          <w:szCs w:val="24"/>
        </w:rPr>
      </w:pPr>
      <w:r w:rsidRPr="0017647C">
        <w:rPr>
          <w:rFonts w:ascii="Times New Roman" w:hAnsi="Times New Roman" w:cs="Times New Roman"/>
          <w:color w:val="auto"/>
          <w:szCs w:val="24"/>
        </w:rPr>
        <w:t xml:space="preserve">ekspozycje kredytowe „stracone” – </w:t>
      </w:r>
      <w:r w:rsidR="00C742AF" w:rsidRPr="0017647C">
        <w:rPr>
          <w:rFonts w:ascii="Times New Roman" w:hAnsi="Times New Roman" w:cs="Times New Roman"/>
          <w:color w:val="auto"/>
          <w:szCs w:val="24"/>
        </w:rPr>
        <w:t>ekspozycje kredytowe</w:t>
      </w:r>
      <w:r w:rsidRPr="0017647C">
        <w:rPr>
          <w:rFonts w:ascii="Times New Roman" w:hAnsi="Times New Roman" w:cs="Times New Roman"/>
          <w:color w:val="auto"/>
          <w:szCs w:val="24"/>
        </w:rPr>
        <w:t xml:space="preserve">: </w:t>
      </w:r>
    </w:p>
    <w:p w14:paraId="17B46960" w14:textId="77777777" w:rsidR="00C742AF" w:rsidRPr="0017647C" w:rsidRDefault="00E81BF6" w:rsidP="00151E8A">
      <w:pPr>
        <w:pStyle w:val="Akapitzlist"/>
        <w:numPr>
          <w:ilvl w:val="0"/>
          <w:numId w:val="35"/>
        </w:numPr>
        <w:spacing w:line="276" w:lineRule="auto"/>
        <w:ind w:left="1418" w:right="8" w:hanging="425"/>
        <w:rPr>
          <w:sz w:val="24"/>
          <w:szCs w:val="24"/>
        </w:rPr>
      </w:pPr>
      <w:r w:rsidRPr="0017647C">
        <w:rPr>
          <w:sz w:val="24"/>
          <w:szCs w:val="24"/>
        </w:rPr>
        <w:t xml:space="preserve">w przypadku których opóźnienie w spłacie kapitału lub odsetek </w:t>
      </w:r>
      <w:r w:rsidR="00E27AA1" w:rsidRPr="0017647C">
        <w:rPr>
          <w:sz w:val="24"/>
          <w:szCs w:val="24"/>
        </w:rPr>
        <w:t>wynosi powyżej</w:t>
      </w:r>
      <w:r w:rsidRPr="0017647C">
        <w:rPr>
          <w:sz w:val="24"/>
          <w:szCs w:val="24"/>
        </w:rPr>
        <w:t xml:space="preserve"> 6 miesięcy; </w:t>
      </w:r>
    </w:p>
    <w:p w14:paraId="7F3B48E9" w14:textId="77777777" w:rsidR="00C742AF" w:rsidRPr="0017647C" w:rsidRDefault="00E81BF6" w:rsidP="002F6A14">
      <w:pPr>
        <w:pStyle w:val="Akapitzlist"/>
        <w:numPr>
          <w:ilvl w:val="0"/>
          <w:numId w:val="35"/>
        </w:numPr>
        <w:spacing w:line="276" w:lineRule="auto"/>
        <w:ind w:left="1418" w:right="8" w:hanging="425"/>
        <w:jc w:val="both"/>
        <w:rPr>
          <w:sz w:val="24"/>
          <w:szCs w:val="24"/>
        </w:rPr>
      </w:pPr>
      <w:r w:rsidRPr="0017647C">
        <w:rPr>
          <w:sz w:val="24"/>
          <w:szCs w:val="24"/>
        </w:rPr>
        <w:t xml:space="preserve">wobec dłużników, przeciwko którym bank złożył wniosek o wszczęcie postępowania egzekucyjnego; </w:t>
      </w:r>
    </w:p>
    <w:p w14:paraId="206905F6" w14:textId="77777777" w:rsidR="00C742AF" w:rsidRPr="0017647C" w:rsidRDefault="00E81BF6" w:rsidP="00151E8A">
      <w:pPr>
        <w:pStyle w:val="Akapitzlist"/>
        <w:numPr>
          <w:ilvl w:val="0"/>
          <w:numId w:val="35"/>
        </w:numPr>
        <w:spacing w:line="276" w:lineRule="auto"/>
        <w:ind w:left="1418" w:right="8" w:hanging="425"/>
        <w:rPr>
          <w:sz w:val="24"/>
          <w:szCs w:val="24"/>
        </w:rPr>
      </w:pPr>
      <w:r w:rsidRPr="0017647C">
        <w:rPr>
          <w:sz w:val="24"/>
          <w:szCs w:val="24"/>
        </w:rPr>
        <w:t>kwestionowane przez dłużników na drodze postępowania sądowego;</w:t>
      </w:r>
    </w:p>
    <w:p w14:paraId="781676D2" w14:textId="77777777" w:rsidR="002C50F6" w:rsidRPr="0017647C" w:rsidRDefault="00E81BF6" w:rsidP="002F6A14">
      <w:pPr>
        <w:pStyle w:val="Akapitzlist"/>
        <w:numPr>
          <w:ilvl w:val="0"/>
          <w:numId w:val="35"/>
        </w:numPr>
        <w:spacing w:line="276" w:lineRule="auto"/>
        <w:ind w:left="1418" w:right="8" w:hanging="425"/>
        <w:jc w:val="both"/>
        <w:rPr>
          <w:sz w:val="24"/>
          <w:szCs w:val="24"/>
        </w:rPr>
      </w:pPr>
      <w:r w:rsidRPr="0017647C">
        <w:rPr>
          <w:sz w:val="24"/>
          <w:szCs w:val="24"/>
        </w:rPr>
        <w:t>wobec dłużników, których miejsce pobytu jest nieznane i których majątek nie został ujawniony;</w:t>
      </w:r>
    </w:p>
    <w:p w14:paraId="10D948EF" w14:textId="77777777" w:rsidR="002C50F6" w:rsidRPr="0017647C" w:rsidRDefault="00E81BF6" w:rsidP="00151E8A">
      <w:pPr>
        <w:numPr>
          <w:ilvl w:val="0"/>
          <w:numId w:val="25"/>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 xml:space="preserve">w przypadku pozostałych ekspozycji kredytowych wobec osób fizycznych, udzielonych na cele niezwiązane z działalnością gospodarczą lub prowadzeniem gospodarstwa rolnego: </w:t>
      </w:r>
    </w:p>
    <w:p w14:paraId="7ACFA900" w14:textId="77777777" w:rsidR="002C50F6" w:rsidRPr="0017647C" w:rsidRDefault="00E81BF6" w:rsidP="00151E8A">
      <w:pPr>
        <w:numPr>
          <w:ilvl w:val="1"/>
          <w:numId w:val="25"/>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 xml:space="preserve">ekspozycje kredytowe „normalne” – ekspozycje kredytowe, w przypadku których opóźnienie w spłacie kapitału lub odsetek </w:t>
      </w:r>
      <w:r w:rsidR="00E27AA1" w:rsidRPr="0017647C">
        <w:rPr>
          <w:rFonts w:ascii="Times New Roman" w:hAnsi="Times New Roman" w:cs="Times New Roman"/>
          <w:color w:val="auto"/>
        </w:rPr>
        <w:t xml:space="preserve">nie przekracza </w:t>
      </w:r>
      <w:r w:rsidRPr="0017647C">
        <w:rPr>
          <w:rFonts w:ascii="Times New Roman" w:hAnsi="Times New Roman" w:cs="Times New Roman"/>
          <w:color w:val="auto"/>
        </w:rPr>
        <w:t>1 miesiąca;</w:t>
      </w:r>
    </w:p>
    <w:p w14:paraId="0B935D57" w14:textId="77777777" w:rsidR="002C50F6" w:rsidRPr="0017647C" w:rsidRDefault="00E81BF6" w:rsidP="00151E8A">
      <w:pPr>
        <w:numPr>
          <w:ilvl w:val="1"/>
          <w:numId w:val="25"/>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ekspozycje kredytowe „pod obserwacją” –</w:t>
      </w:r>
      <w:r w:rsidR="00C742AF" w:rsidRPr="0017647C">
        <w:rPr>
          <w:rFonts w:ascii="Times New Roman" w:hAnsi="Times New Roman" w:cs="Times New Roman"/>
          <w:color w:val="auto"/>
        </w:rPr>
        <w:t xml:space="preserve"> </w:t>
      </w:r>
      <w:r w:rsidRPr="0017647C">
        <w:rPr>
          <w:rFonts w:ascii="Times New Roman" w:hAnsi="Times New Roman" w:cs="Times New Roman"/>
          <w:color w:val="auto"/>
        </w:rPr>
        <w:t xml:space="preserve">ekspozycje kredytowe, w przypadku których opóźnienie w spłacie kapitału lub odsetek </w:t>
      </w:r>
      <w:r w:rsidR="00E27AA1" w:rsidRPr="0017647C">
        <w:rPr>
          <w:rFonts w:ascii="Times New Roman" w:hAnsi="Times New Roman" w:cs="Times New Roman"/>
          <w:color w:val="auto"/>
        </w:rPr>
        <w:t xml:space="preserve">wynosi powyżej </w:t>
      </w:r>
      <w:r w:rsidRPr="0017647C">
        <w:rPr>
          <w:rFonts w:ascii="Times New Roman" w:hAnsi="Times New Roman" w:cs="Times New Roman"/>
          <w:color w:val="auto"/>
        </w:rPr>
        <w:t xml:space="preserve">1 miesiąc i nie </w:t>
      </w:r>
      <w:r w:rsidR="00E27AA1" w:rsidRPr="0017647C">
        <w:rPr>
          <w:rFonts w:ascii="Times New Roman" w:hAnsi="Times New Roman" w:cs="Times New Roman"/>
          <w:color w:val="auto"/>
        </w:rPr>
        <w:t>dłużej niż 3 miesiące</w:t>
      </w:r>
      <w:r w:rsidRPr="0017647C">
        <w:rPr>
          <w:rFonts w:ascii="Times New Roman" w:hAnsi="Times New Roman" w:cs="Times New Roman"/>
          <w:color w:val="auto"/>
        </w:rPr>
        <w:t>;</w:t>
      </w:r>
    </w:p>
    <w:p w14:paraId="2F707B4B" w14:textId="77777777" w:rsidR="002C50F6" w:rsidRPr="0017647C" w:rsidRDefault="00E81BF6" w:rsidP="00151E8A">
      <w:pPr>
        <w:numPr>
          <w:ilvl w:val="1"/>
          <w:numId w:val="25"/>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 xml:space="preserve">ekspozycje kredytowe "poniżej standardu" – obejmujące ekspozycje kredytowe, w </w:t>
      </w:r>
      <w:r w:rsidR="002F6A14" w:rsidRPr="0017647C">
        <w:rPr>
          <w:rFonts w:ascii="Times New Roman" w:hAnsi="Times New Roman" w:cs="Times New Roman"/>
          <w:color w:val="auto"/>
        </w:rPr>
        <w:t> </w:t>
      </w:r>
      <w:r w:rsidRPr="0017647C">
        <w:rPr>
          <w:rFonts w:ascii="Times New Roman" w:hAnsi="Times New Roman" w:cs="Times New Roman"/>
          <w:color w:val="auto"/>
        </w:rPr>
        <w:t xml:space="preserve">których opóźnienie w spłacie kapitału lub odsetek </w:t>
      </w:r>
      <w:r w:rsidR="00E27AA1" w:rsidRPr="0017647C">
        <w:rPr>
          <w:rFonts w:ascii="Times New Roman" w:hAnsi="Times New Roman" w:cs="Times New Roman"/>
          <w:color w:val="auto"/>
        </w:rPr>
        <w:t>wynosi powyżej</w:t>
      </w:r>
      <w:r w:rsidR="002F6A14" w:rsidRPr="0017647C">
        <w:rPr>
          <w:rFonts w:ascii="Times New Roman" w:hAnsi="Times New Roman" w:cs="Times New Roman"/>
          <w:color w:val="auto"/>
        </w:rPr>
        <w:t xml:space="preserve"> 3 miesięcy</w:t>
      </w:r>
      <w:r w:rsidRPr="0017647C">
        <w:rPr>
          <w:rFonts w:ascii="Times New Roman" w:hAnsi="Times New Roman" w:cs="Times New Roman"/>
          <w:color w:val="auto"/>
        </w:rPr>
        <w:t xml:space="preserve"> i nie </w:t>
      </w:r>
      <w:r w:rsidR="0085343E" w:rsidRPr="0017647C">
        <w:rPr>
          <w:rFonts w:ascii="Times New Roman" w:hAnsi="Times New Roman" w:cs="Times New Roman"/>
          <w:color w:val="auto"/>
        </w:rPr>
        <w:t xml:space="preserve">dłużej niż </w:t>
      </w:r>
      <w:r w:rsidRPr="0017647C">
        <w:rPr>
          <w:rFonts w:ascii="Times New Roman" w:hAnsi="Times New Roman" w:cs="Times New Roman"/>
          <w:color w:val="auto"/>
        </w:rPr>
        <w:t>6 miesięcy;</w:t>
      </w:r>
    </w:p>
    <w:p w14:paraId="0936B7ED" w14:textId="77777777" w:rsidR="002C50F6" w:rsidRPr="0017647C" w:rsidRDefault="00E81BF6" w:rsidP="00151E8A">
      <w:pPr>
        <w:numPr>
          <w:ilvl w:val="1"/>
          <w:numId w:val="25"/>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 xml:space="preserve">ekspozycje kredytowe „wątpliwe” – obejmujące ekspozycje kredytowe, w przypadku których opóźnienie w spłacie kapitału lub odsetek </w:t>
      </w:r>
      <w:r w:rsidR="00D65FED" w:rsidRPr="0017647C">
        <w:rPr>
          <w:rFonts w:ascii="Times New Roman" w:hAnsi="Times New Roman" w:cs="Times New Roman"/>
          <w:color w:val="auto"/>
        </w:rPr>
        <w:t xml:space="preserve">wynosi powyżej </w:t>
      </w:r>
      <w:r w:rsidRPr="0017647C">
        <w:rPr>
          <w:rFonts w:ascii="Times New Roman" w:hAnsi="Times New Roman" w:cs="Times New Roman"/>
          <w:color w:val="auto"/>
        </w:rPr>
        <w:t xml:space="preserve">6 miesięcy i nie </w:t>
      </w:r>
      <w:r w:rsidR="00D65FED" w:rsidRPr="0017647C">
        <w:rPr>
          <w:rFonts w:ascii="Times New Roman" w:hAnsi="Times New Roman" w:cs="Times New Roman"/>
          <w:color w:val="auto"/>
        </w:rPr>
        <w:t>dłużej niż</w:t>
      </w:r>
      <w:r w:rsidRPr="0017647C">
        <w:rPr>
          <w:rFonts w:ascii="Times New Roman" w:hAnsi="Times New Roman" w:cs="Times New Roman"/>
          <w:color w:val="auto"/>
        </w:rPr>
        <w:t xml:space="preserve"> 12 miesięcy;</w:t>
      </w:r>
    </w:p>
    <w:p w14:paraId="133AC41C" w14:textId="77777777" w:rsidR="002C50F6" w:rsidRPr="0017647C" w:rsidRDefault="00E81BF6" w:rsidP="00151E8A">
      <w:pPr>
        <w:numPr>
          <w:ilvl w:val="1"/>
          <w:numId w:val="25"/>
        </w:numPr>
        <w:spacing w:after="0" w:line="276" w:lineRule="auto"/>
        <w:ind w:right="6" w:hanging="360"/>
        <w:rPr>
          <w:rFonts w:ascii="Times New Roman" w:hAnsi="Times New Roman" w:cs="Times New Roman"/>
          <w:color w:val="auto"/>
          <w:szCs w:val="24"/>
        </w:rPr>
      </w:pPr>
      <w:r w:rsidRPr="0017647C">
        <w:rPr>
          <w:rFonts w:ascii="Times New Roman" w:hAnsi="Times New Roman" w:cs="Times New Roman"/>
          <w:color w:val="auto"/>
          <w:szCs w:val="24"/>
        </w:rPr>
        <w:t>ekspozycje k</w:t>
      </w:r>
      <w:r w:rsidR="00D65FED" w:rsidRPr="0017647C">
        <w:rPr>
          <w:rFonts w:ascii="Times New Roman" w:hAnsi="Times New Roman" w:cs="Times New Roman"/>
          <w:color w:val="auto"/>
          <w:szCs w:val="24"/>
        </w:rPr>
        <w:t xml:space="preserve">redytowe „stracone” – obejmujące </w:t>
      </w:r>
      <w:r w:rsidR="00211ADC" w:rsidRPr="0017647C">
        <w:rPr>
          <w:rFonts w:ascii="Times New Roman" w:hAnsi="Times New Roman" w:cs="Times New Roman"/>
          <w:color w:val="auto"/>
          <w:szCs w:val="24"/>
        </w:rPr>
        <w:t>ekspozycje kredytowe</w:t>
      </w:r>
      <w:r w:rsidRPr="0017647C">
        <w:rPr>
          <w:rFonts w:ascii="Times New Roman" w:hAnsi="Times New Roman" w:cs="Times New Roman"/>
          <w:color w:val="auto"/>
          <w:szCs w:val="24"/>
        </w:rPr>
        <w:t xml:space="preserve">: </w:t>
      </w:r>
    </w:p>
    <w:p w14:paraId="508224D0" w14:textId="77777777" w:rsidR="00211ADC" w:rsidRPr="0017647C" w:rsidRDefault="00E81BF6" w:rsidP="00151E8A">
      <w:pPr>
        <w:pStyle w:val="Akapitzlist"/>
        <w:numPr>
          <w:ilvl w:val="0"/>
          <w:numId w:val="36"/>
        </w:numPr>
        <w:spacing w:line="276" w:lineRule="auto"/>
        <w:ind w:left="1418" w:right="6" w:hanging="284"/>
        <w:rPr>
          <w:sz w:val="24"/>
          <w:szCs w:val="24"/>
        </w:rPr>
      </w:pPr>
      <w:r w:rsidRPr="0017647C">
        <w:rPr>
          <w:sz w:val="24"/>
          <w:szCs w:val="24"/>
        </w:rPr>
        <w:t xml:space="preserve">w przypadku których opóźnienie w spłacie kapitału lub odsetek </w:t>
      </w:r>
      <w:r w:rsidR="00211ADC" w:rsidRPr="0017647C">
        <w:rPr>
          <w:sz w:val="24"/>
          <w:szCs w:val="24"/>
        </w:rPr>
        <w:t xml:space="preserve">wynosi powyżej </w:t>
      </w:r>
      <w:r w:rsidRPr="0017647C">
        <w:rPr>
          <w:sz w:val="24"/>
          <w:szCs w:val="24"/>
        </w:rPr>
        <w:t xml:space="preserve">12 miesięcy; </w:t>
      </w:r>
    </w:p>
    <w:p w14:paraId="2BCB13B5" w14:textId="77777777" w:rsidR="00211ADC" w:rsidRPr="0017647C" w:rsidRDefault="00211ADC" w:rsidP="002F6A14">
      <w:pPr>
        <w:pStyle w:val="Akapitzlist"/>
        <w:numPr>
          <w:ilvl w:val="0"/>
          <w:numId w:val="36"/>
        </w:numPr>
        <w:spacing w:line="276" w:lineRule="auto"/>
        <w:ind w:left="1418" w:right="6" w:hanging="284"/>
        <w:jc w:val="both"/>
        <w:rPr>
          <w:sz w:val="24"/>
          <w:szCs w:val="24"/>
        </w:rPr>
      </w:pPr>
      <w:r w:rsidRPr="0017647C">
        <w:rPr>
          <w:sz w:val="24"/>
          <w:szCs w:val="24"/>
        </w:rPr>
        <w:t>dotyczące klientów</w:t>
      </w:r>
      <w:r w:rsidR="00E81BF6" w:rsidRPr="0017647C">
        <w:rPr>
          <w:sz w:val="24"/>
          <w:szCs w:val="24"/>
        </w:rPr>
        <w:t xml:space="preserve">, przeciwko którym </w:t>
      </w:r>
      <w:r w:rsidR="002F6A14" w:rsidRPr="0017647C">
        <w:rPr>
          <w:sz w:val="24"/>
          <w:szCs w:val="24"/>
        </w:rPr>
        <w:t xml:space="preserve">bank złożył wniosek o wszczęcie </w:t>
      </w:r>
      <w:r w:rsidR="00E81BF6" w:rsidRPr="0017647C">
        <w:rPr>
          <w:sz w:val="24"/>
          <w:szCs w:val="24"/>
        </w:rPr>
        <w:t xml:space="preserve">postępowania egzekucyjnego; </w:t>
      </w:r>
    </w:p>
    <w:p w14:paraId="28BFDFEC" w14:textId="77777777" w:rsidR="00211ADC" w:rsidRPr="0017647C" w:rsidRDefault="00E81BF6" w:rsidP="00151E8A">
      <w:pPr>
        <w:pStyle w:val="Akapitzlist"/>
        <w:numPr>
          <w:ilvl w:val="0"/>
          <w:numId w:val="36"/>
        </w:numPr>
        <w:spacing w:line="276" w:lineRule="auto"/>
        <w:ind w:left="1418" w:right="6" w:hanging="284"/>
        <w:rPr>
          <w:sz w:val="24"/>
          <w:szCs w:val="24"/>
        </w:rPr>
      </w:pPr>
      <w:r w:rsidRPr="0017647C">
        <w:rPr>
          <w:sz w:val="24"/>
          <w:szCs w:val="24"/>
        </w:rPr>
        <w:t xml:space="preserve">kwestionowane przez </w:t>
      </w:r>
      <w:r w:rsidR="00211ADC" w:rsidRPr="0017647C">
        <w:rPr>
          <w:sz w:val="24"/>
          <w:szCs w:val="24"/>
        </w:rPr>
        <w:t>klientów</w:t>
      </w:r>
      <w:r w:rsidRPr="0017647C">
        <w:rPr>
          <w:sz w:val="24"/>
          <w:szCs w:val="24"/>
        </w:rPr>
        <w:t xml:space="preserve"> na drodze postępowania sądowego;</w:t>
      </w:r>
    </w:p>
    <w:p w14:paraId="63FE1A0D" w14:textId="77777777" w:rsidR="002C50F6" w:rsidRPr="0017647C" w:rsidRDefault="00211ADC" w:rsidP="002F6A14">
      <w:pPr>
        <w:pStyle w:val="Akapitzlist"/>
        <w:numPr>
          <w:ilvl w:val="0"/>
          <w:numId w:val="36"/>
        </w:numPr>
        <w:spacing w:line="276" w:lineRule="auto"/>
        <w:ind w:left="1418" w:right="6" w:hanging="284"/>
        <w:jc w:val="both"/>
        <w:rPr>
          <w:sz w:val="24"/>
          <w:szCs w:val="24"/>
        </w:rPr>
      </w:pPr>
      <w:r w:rsidRPr="0017647C">
        <w:rPr>
          <w:sz w:val="24"/>
          <w:szCs w:val="24"/>
        </w:rPr>
        <w:t>dotyczące klientów</w:t>
      </w:r>
      <w:r w:rsidR="00E81BF6" w:rsidRPr="0017647C">
        <w:rPr>
          <w:sz w:val="24"/>
          <w:szCs w:val="24"/>
        </w:rPr>
        <w:t xml:space="preserve">, których miejsce </w:t>
      </w:r>
      <w:r w:rsidRPr="0017647C">
        <w:rPr>
          <w:sz w:val="24"/>
          <w:szCs w:val="24"/>
        </w:rPr>
        <w:t>zamieszkania (</w:t>
      </w:r>
      <w:r w:rsidR="00E81BF6" w:rsidRPr="0017647C">
        <w:rPr>
          <w:sz w:val="24"/>
          <w:szCs w:val="24"/>
        </w:rPr>
        <w:t>pobytu</w:t>
      </w:r>
      <w:r w:rsidRPr="0017647C">
        <w:rPr>
          <w:sz w:val="24"/>
          <w:szCs w:val="24"/>
        </w:rPr>
        <w:t>)</w:t>
      </w:r>
      <w:r w:rsidR="00E81BF6" w:rsidRPr="0017647C">
        <w:rPr>
          <w:sz w:val="24"/>
          <w:szCs w:val="24"/>
        </w:rPr>
        <w:t xml:space="preserve"> jest </w:t>
      </w:r>
      <w:r w:rsidR="002F6A14" w:rsidRPr="0017647C">
        <w:rPr>
          <w:sz w:val="24"/>
          <w:szCs w:val="24"/>
        </w:rPr>
        <w:t>nieznane i </w:t>
      </w:r>
      <w:r w:rsidR="00E81BF6" w:rsidRPr="0017647C">
        <w:rPr>
          <w:sz w:val="24"/>
          <w:szCs w:val="24"/>
        </w:rPr>
        <w:t>których majątek nie został ujawniony;</w:t>
      </w:r>
    </w:p>
    <w:p w14:paraId="263A6334" w14:textId="77777777" w:rsidR="002C50F6" w:rsidRPr="0017647C" w:rsidRDefault="00E81BF6" w:rsidP="00151E8A">
      <w:pPr>
        <w:numPr>
          <w:ilvl w:val="0"/>
          <w:numId w:val="25"/>
        </w:numPr>
        <w:spacing w:after="0" w:line="276" w:lineRule="auto"/>
        <w:ind w:right="6" w:hanging="360"/>
        <w:rPr>
          <w:rFonts w:ascii="Times New Roman" w:hAnsi="Times New Roman" w:cs="Times New Roman"/>
          <w:color w:val="auto"/>
        </w:rPr>
      </w:pPr>
      <w:r w:rsidRPr="0017647C">
        <w:rPr>
          <w:rFonts w:ascii="Times New Roman" w:hAnsi="Times New Roman" w:cs="Times New Roman"/>
          <w:color w:val="auto"/>
          <w:szCs w:val="24"/>
        </w:rPr>
        <w:t>w</w:t>
      </w:r>
      <w:r w:rsidRPr="0017647C">
        <w:rPr>
          <w:rFonts w:ascii="Times New Roman" w:hAnsi="Times New Roman" w:cs="Times New Roman"/>
          <w:color w:val="auto"/>
        </w:rPr>
        <w:t xml:space="preserve"> przypadku pozostałych ekspozycji kredytowych: </w:t>
      </w:r>
    </w:p>
    <w:p w14:paraId="28FC8CBF" w14:textId="77777777" w:rsidR="002C50F6" w:rsidRPr="0017647C" w:rsidRDefault="00E81BF6" w:rsidP="00151E8A">
      <w:pPr>
        <w:numPr>
          <w:ilvl w:val="1"/>
          <w:numId w:val="25"/>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lastRenderedPageBreak/>
        <w:t xml:space="preserve">ekspozycje kredytowe „normalne” – obejmujące ekspozycje kredytowe, w przypadku których opóźnienie w spłacie kapitału lub odsetek nie przekracza 1 miesiąca, a sytuacja ekonomiczno-finansowa </w:t>
      </w:r>
      <w:r w:rsidR="00CC6BAA" w:rsidRPr="0017647C">
        <w:rPr>
          <w:rFonts w:ascii="Times New Roman" w:hAnsi="Times New Roman" w:cs="Times New Roman"/>
          <w:color w:val="auto"/>
        </w:rPr>
        <w:t>klienta</w:t>
      </w:r>
      <w:r w:rsidRPr="0017647C">
        <w:rPr>
          <w:rFonts w:ascii="Times New Roman" w:hAnsi="Times New Roman" w:cs="Times New Roman"/>
          <w:color w:val="auto"/>
        </w:rPr>
        <w:t xml:space="preserve"> nie budzi obaw;</w:t>
      </w:r>
    </w:p>
    <w:p w14:paraId="7BB04078" w14:textId="77777777" w:rsidR="002C50F6" w:rsidRPr="0017647C" w:rsidRDefault="00E81BF6" w:rsidP="00151E8A">
      <w:pPr>
        <w:numPr>
          <w:ilvl w:val="1"/>
          <w:numId w:val="25"/>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 xml:space="preserve">ekspozycje kredytowe „pod obserwacją” – obejmujące ekspozycje kredytowe: </w:t>
      </w:r>
    </w:p>
    <w:p w14:paraId="33A62791" w14:textId="77777777" w:rsidR="002C50F6" w:rsidRPr="0017647C" w:rsidRDefault="00E81BF6" w:rsidP="00151E8A">
      <w:pPr>
        <w:numPr>
          <w:ilvl w:val="1"/>
          <w:numId w:val="26"/>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 xml:space="preserve">w przypadku których opóźnienie w spłacie kapitału lub odsetek przekracza 1 </w:t>
      </w:r>
      <w:r w:rsidR="002F6A14" w:rsidRPr="0017647C">
        <w:rPr>
          <w:rFonts w:ascii="Times New Roman" w:hAnsi="Times New Roman" w:cs="Times New Roman"/>
          <w:color w:val="auto"/>
        </w:rPr>
        <w:t> </w:t>
      </w:r>
      <w:r w:rsidRPr="0017647C">
        <w:rPr>
          <w:rFonts w:ascii="Times New Roman" w:hAnsi="Times New Roman" w:cs="Times New Roman"/>
          <w:color w:val="auto"/>
        </w:rPr>
        <w:t>i nie przekracza 3 miesięcy, a sytuacja ekonomiczno-finansowa dłużników nie budzi obaw, lub;</w:t>
      </w:r>
    </w:p>
    <w:p w14:paraId="5A4780B6" w14:textId="77777777" w:rsidR="00343E14" w:rsidRPr="0017647C" w:rsidRDefault="00E81BF6" w:rsidP="00343E14">
      <w:pPr>
        <w:numPr>
          <w:ilvl w:val="1"/>
          <w:numId w:val="26"/>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które ze względu na ryzyko</w:t>
      </w:r>
      <w:r w:rsidR="00CC6BAA" w:rsidRPr="0017647C">
        <w:rPr>
          <w:rFonts w:ascii="Times New Roman" w:hAnsi="Times New Roman" w:cs="Times New Roman"/>
          <w:color w:val="auto"/>
        </w:rPr>
        <w:t xml:space="preserve"> branży </w:t>
      </w:r>
      <w:r w:rsidRPr="0017647C">
        <w:rPr>
          <w:rFonts w:ascii="Times New Roman" w:hAnsi="Times New Roman" w:cs="Times New Roman"/>
          <w:color w:val="auto"/>
        </w:rPr>
        <w:t>wymagają szczególnej uwagi.</w:t>
      </w:r>
      <w:r w:rsidR="00CC6BAA" w:rsidRPr="0017647C">
        <w:rPr>
          <w:rFonts w:ascii="Times New Roman" w:hAnsi="Times New Roman" w:cs="Times New Roman"/>
          <w:color w:val="auto"/>
        </w:rPr>
        <w:t xml:space="preserve"> Jako wymagające szczególnej uwagi </w:t>
      </w:r>
      <w:r w:rsidRPr="0017647C">
        <w:rPr>
          <w:rFonts w:ascii="Times New Roman" w:hAnsi="Times New Roman" w:cs="Times New Roman"/>
          <w:color w:val="auto"/>
        </w:rPr>
        <w:t xml:space="preserve"> </w:t>
      </w:r>
      <w:r w:rsidR="00CC6BAA" w:rsidRPr="0017647C">
        <w:rPr>
          <w:rFonts w:ascii="Times New Roman" w:hAnsi="Times New Roman" w:cs="Times New Roman"/>
          <w:color w:val="auto"/>
        </w:rPr>
        <w:t>Bank określił następujące branże : zakwalifikowane przez Instytut Badań nad Gospodarką Rynkową zgodnie z raportem „Mapa Ryzyka inwestycyjnego w branżach polskiej gospodarki” do branży bardzo wysokiego ryzyka oraz których szkodowość portfela kredytowego Banku przekracza 1%;</w:t>
      </w:r>
    </w:p>
    <w:p w14:paraId="68724D6F" w14:textId="77777777" w:rsidR="002C50F6" w:rsidRPr="0017647C" w:rsidRDefault="00E81BF6" w:rsidP="00151E8A">
      <w:pPr>
        <w:numPr>
          <w:ilvl w:val="0"/>
          <w:numId w:val="27"/>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 xml:space="preserve">ekspozycje kredytowe „poniżej standardu” – obejmujące: </w:t>
      </w:r>
    </w:p>
    <w:p w14:paraId="041199BB" w14:textId="77777777" w:rsidR="00CC6BAA" w:rsidRPr="0017647C" w:rsidRDefault="00E81BF6" w:rsidP="00151E8A">
      <w:pPr>
        <w:numPr>
          <w:ilvl w:val="1"/>
          <w:numId w:val="27"/>
        </w:numPr>
        <w:spacing w:after="0" w:line="276" w:lineRule="auto"/>
        <w:ind w:left="1418" w:right="8" w:hanging="284"/>
        <w:rPr>
          <w:rFonts w:ascii="Times New Roman" w:hAnsi="Times New Roman" w:cs="Times New Roman"/>
          <w:color w:val="auto"/>
        </w:rPr>
      </w:pPr>
      <w:r w:rsidRPr="0017647C">
        <w:rPr>
          <w:rFonts w:ascii="Times New Roman" w:hAnsi="Times New Roman" w:cs="Times New Roman"/>
          <w:color w:val="auto"/>
        </w:rPr>
        <w:t>ekspozycje kredytowe, w przypadku których op</w:t>
      </w:r>
      <w:r w:rsidR="002F6A14" w:rsidRPr="0017647C">
        <w:rPr>
          <w:rFonts w:ascii="Times New Roman" w:hAnsi="Times New Roman" w:cs="Times New Roman"/>
          <w:color w:val="auto"/>
        </w:rPr>
        <w:t>óźnienie w spłacie kapitału lub </w:t>
      </w:r>
      <w:r w:rsidRPr="0017647C">
        <w:rPr>
          <w:rFonts w:ascii="Times New Roman" w:hAnsi="Times New Roman" w:cs="Times New Roman"/>
          <w:color w:val="auto"/>
        </w:rPr>
        <w:t xml:space="preserve">odsetek </w:t>
      </w:r>
      <w:r w:rsidR="00CC6BAA" w:rsidRPr="0017647C">
        <w:rPr>
          <w:rFonts w:ascii="Times New Roman" w:hAnsi="Times New Roman" w:cs="Times New Roman"/>
          <w:color w:val="auto"/>
        </w:rPr>
        <w:t xml:space="preserve">wynosi powyżej </w:t>
      </w:r>
      <w:r w:rsidRPr="0017647C">
        <w:rPr>
          <w:rFonts w:ascii="Times New Roman" w:hAnsi="Times New Roman" w:cs="Times New Roman"/>
          <w:color w:val="auto"/>
        </w:rPr>
        <w:t xml:space="preserve"> 3 miesiące i nie przekracza 6 miesięcy;</w:t>
      </w:r>
    </w:p>
    <w:p w14:paraId="32435ED2" w14:textId="77777777" w:rsidR="00CC6BAA" w:rsidRPr="0017647C" w:rsidRDefault="00E81BF6" w:rsidP="00151E8A">
      <w:pPr>
        <w:numPr>
          <w:ilvl w:val="1"/>
          <w:numId w:val="27"/>
        </w:numPr>
        <w:spacing w:after="0" w:line="276" w:lineRule="auto"/>
        <w:ind w:left="1418" w:right="8" w:hanging="284"/>
        <w:rPr>
          <w:rFonts w:ascii="Times New Roman" w:hAnsi="Times New Roman" w:cs="Times New Roman"/>
          <w:color w:val="auto"/>
        </w:rPr>
      </w:pPr>
      <w:r w:rsidRPr="0017647C">
        <w:rPr>
          <w:rFonts w:ascii="Times New Roman" w:hAnsi="Times New Roman" w:cs="Times New Roman"/>
          <w:color w:val="auto"/>
        </w:rPr>
        <w:t xml:space="preserve"> ekspozycje kredytowe wobec dłużników, których sytuacja ekonomicznofinansowa może stanowić zagrożen</w:t>
      </w:r>
      <w:r w:rsidR="00CC6BAA" w:rsidRPr="0017647C">
        <w:rPr>
          <w:rFonts w:ascii="Times New Roman" w:hAnsi="Times New Roman" w:cs="Times New Roman"/>
          <w:color w:val="auto"/>
        </w:rPr>
        <w:t>ie terminowej spłaty ekspozycji, przy czym w przypadku ekspozycji kredytowych udzielonych na podstawie biznes planu Bank ocenia stopień realizacji przyjętych do oceny zdolności kredytowej prognoz i w przypadku identyfikacji znacznych odchyleń ocenia ich wpływ na możliwości terminowej spłaty ekspozycji kredytowych przez klienta;</w:t>
      </w:r>
    </w:p>
    <w:p w14:paraId="5D99677E" w14:textId="77777777" w:rsidR="002C50F6" w:rsidRPr="0017647C" w:rsidRDefault="00E81BF6" w:rsidP="00151E8A">
      <w:pPr>
        <w:numPr>
          <w:ilvl w:val="0"/>
          <w:numId w:val="27"/>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 xml:space="preserve">ekspozycje kredytowe „wątpliwe” – obejmujące: </w:t>
      </w:r>
    </w:p>
    <w:p w14:paraId="6124385E" w14:textId="77777777" w:rsidR="00CC6BAA" w:rsidRPr="0017647C" w:rsidRDefault="00E81BF6" w:rsidP="00151E8A">
      <w:pPr>
        <w:numPr>
          <w:ilvl w:val="1"/>
          <w:numId w:val="27"/>
        </w:numPr>
        <w:spacing w:after="0" w:line="276" w:lineRule="auto"/>
        <w:ind w:left="1418" w:right="8" w:hanging="284"/>
        <w:rPr>
          <w:rFonts w:ascii="Times New Roman" w:hAnsi="Times New Roman" w:cs="Times New Roman"/>
          <w:color w:val="auto"/>
        </w:rPr>
      </w:pPr>
      <w:r w:rsidRPr="0017647C">
        <w:rPr>
          <w:rFonts w:ascii="Times New Roman" w:hAnsi="Times New Roman" w:cs="Times New Roman"/>
          <w:color w:val="auto"/>
        </w:rPr>
        <w:t>ekspozycje kredytowe, w przypadku których opóźnienie w spłacie</w:t>
      </w:r>
      <w:r w:rsidR="002F6A14" w:rsidRPr="0017647C">
        <w:rPr>
          <w:rFonts w:ascii="Times New Roman" w:hAnsi="Times New Roman" w:cs="Times New Roman"/>
          <w:color w:val="auto"/>
        </w:rPr>
        <w:t xml:space="preserve"> kapitału lub </w:t>
      </w:r>
      <w:r w:rsidR="00CC6BAA" w:rsidRPr="0017647C">
        <w:rPr>
          <w:rFonts w:ascii="Times New Roman" w:hAnsi="Times New Roman" w:cs="Times New Roman"/>
          <w:color w:val="auto"/>
        </w:rPr>
        <w:t xml:space="preserve">odsetek wynosi powyżej </w:t>
      </w:r>
      <w:r w:rsidRPr="0017647C">
        <w:rPr>
          <w:rFonts w:ascii="Times New Roman" w:hAnsi="Times New Roman" w:cs="Times New Roman"/>
          <w:color w:val="auto"/>
        </w:rPr>
        <w:t>6 miesięcy i nie przekracza 12 miesięcy;</w:t>
      </w:r>
    </w:p>
    <w:p w14:paraId="4593680F" w14:textId="77777777" w:rsidR="002C50F6" w:rsidRPr="0017647C" w:rsidRDefault="00E81BF6" w:rsidP="00151E8A">
      <w:pPr>
        <w:numPr>
          <w:ilvl w:val="1"/>
          <w:numId w:val="27"/>
        </w:numPr>
        <w:spacing w:after="0" w:line="276" w:lineRule="auto"/>
        <w:ind w:left="1418" w:right="8" w:hanging="284"/>
        <w:rPr>
          <w:rFonts w:ascii="Times New Roman" w:hAnsi="Times New Roman" w:cs="Times New Roman"/>
          <w:color w:val="auto"/>
        </w:rPr>
      </w:pPr>
      <w:r w:rsidRPr="0017647C">
        <w:rPr>
          <w:rFonts w:ascii="Times New Roman" w:hAnsi="Times New Roman" w:cs="Times New Roman"/>
          <w:color w:val="auto"/>
        </w:rPr>
        <w:t>ekspozycje kredytowe wobec dłużników, których sytuacja ekonomiczno</w:t>
      </w:r>
      <w:r w:rsidR="002F720C" w:rsidRPr="0017647C">
        <w:rPr>
          <w:rFonts w:ascii="Times New Roman" w:hAnsi="Times New Roman" w:cs="Times New Roman"/>
          <w:color w:val="auto"/>
        </w:rPr>
        <w:t>-</w:t>
      </w:r>
      <w:r w:rsidRPr="0017647C">
        <w:rPr>
          <w:rFonts w:ascii="Times New Roman" w:hAnsi="Times New Roman" w:cs="Times New Roman"/>
          <w:color w:val="auto"/>
        </w:rPr>
        <w:t>finansowa ulega znacznemu pogorszeniu, a zwłaszcza gdy ponoszone straty w sposób istotny narusza</w:t>
      </w:r>
      <w:r w:rsidR="002F6A14" w:rsidRPr="0017647C">
        <w:rPr>
          <w:rFonts w:ascii="Times New Roman" w:hAnsi="Times New Roman" w:cs="Times New Roman"/>
          <w:color w:val="auto"/>
        </w:rPr>
        <w:t>ją ich kapitały (aktywa netto);</w:t>
      </w:r>
    </w:p>
    <w:p w14:paraId="430BCF3B" w14:textId="77777777" w:rsidR="002C50F6" w:rsidRPr="0017647C" w:rsidRDefault="00E81BF6" w:rsidP="00151E8A">
      <w:pPr>
        <w:numPr>
          <w:ilvl w:val="0"/>
          <w:numId w:val="27"/>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 xml:space="preserve">ekspozycje kredytowe „stracone” – obejmujące: </w:t>
      </w:r>
    </w:p>
    <w:p w14:paraId="3719E4B9" w14:textId="77777777" w:rsidR="002F720C" w:rsidRPr="0017647C" w:rsidRDefault="00E81BF6" w:rsidP="00151E8A">
      <w:pPr>
        <w:numPr>
          <w:ilvl w:val="1"/>
          <w:numId w:val="27"/>
        </w:numPr>
        <w:spacing w:after="0" w:line="276" w:lineRule="auto"/>
        <w:ind w:left="1418" w:right="8" w:hanging="284"/>
        <w:rPr>
          <w:rFonts w:ascii="Times New Roman" w:hAnsi="Times New Roman" w:cs="Times New Roman"/>
          <w:color w:val="auto"/>
        </w:rPr>
      </w:pPr>
      <w:r w:rsidRPr="0017647C">
        <w:rPr>
          <w:rFonts w:ascii="Times New Roman" w:hAnsi="Times New Roman" w:cs="Times New Roman"/>
          <w:color w:val="auto"/>
        </w:rPr>
        <w:t>ekspozycje kredytowe, w przypadku których opóźnienie w spłaci</w:t>
      </w:r>
      <w:r w:rsidR="002F6A14" w:rsidRPr="0017647C">
        <w:rPr>
          <w:rFonts w:ascii="Times New Roman" w:hAnsi="Times New Roman" w:cs="Times New Roman"/>
          <w:color w:val="auto"/>
        </w:rPr>
        <w:t>e kapitału lub </w:t>
      </w:r>
      <w:r w:rsidRPr="0017647C">
        <w:rPr>
          <w:rFonts w:ascii="Times New Roman" w:hAnsi="Times New Roman" w:cs="Times New Roman"/>
          <w:color w:val="auto"/>
        </w:rPr>
        <w:t xml:space="preserve">odsetek </w:t>
      </w:r>
      <w:r w:rsidR="002F720C" w:rsidRPr="0017647C">
        <w:rPr>
          <w:rFonts w:ascii="Times New Roman" w:hAnsi="Times New Roman" w:cs="Times New Roman"/>
          <w:color w:val="auto"/>
        </w:rPr>
        <w:t xml:space="preserve">wynosi powyżej </w:t>
      </w:r>
      <w:r w:rsidRPr="0017647C">
        <w:rPr>
          <w:rFonts w:ascii="Times New Roman" w:hAnsi="Times New Roman" w:cs="Times New Roman"/>
          <w:color w:val="auto"/>
        </w:rPr>
        <w:t xml:space="preserve"> 12 miesięcy;</w:t>
      </w:r>
    </w:p>
    <w:p w14:paraId="77686253" w14:textId="77777777" w:rsidR="002C50F6" w:rsidRPr="0017647C" w:rsidRDefault="00E81BF6" w:rsidP="00151E8A">
      <w:pPr>
        <w:numPr>
          <w:ilvl w:val="1"/>
          <w:numId w:val="27"/>
        </w:numPr>
        <w:spacing w:after="0" w:line="276" w:lineRule="auto"/>
        <w:ind w:left="1418" w:right="8" w:hanging="284"/>
        <w:rPr>
          <w:rFonts w:ascii="Times New Roman" w:hAnsi="Times New Roman" w:cs="Times New Roman"/>
          <w:color w:val="auto"/>
        </w:rPr>
      </w:pPr>
      <w:r w:rsidRPr="0017647C">
        <w:rPr>
          <w:rFonts w:ascii="Times New Roman" w:hAnsi="Times New Roman" w:cs="Times New Roman"/>
          <w:color w:val="auto"/>
        </w:rPr>
        <w:t>ekspozycje kredytowe wobec dłużników, których sytuacja ekonomiczno</w:t>
      </w:r>
      <w:r w:rsidR="002F6A14" w:rsidRPr="0017647C">
        <w:rPr>
          <w:rFonts w:ascii="Times New Roman" w:hAnsi="Times New Roman" w:cs="Times New Roman"/>
          <w:color w:val="auto"/>
        </w:rPr>
        <w:t>-</w:t>
      </w:r>
      <w:r w:rsidRPr="0017647C">
        <w:rPr>
          <w:rFonts w:ascii="Times New Roman" w:hAnsi="Times New Roman" w:cs="Times New Roman"/>
          <w:color w:val="auto"/>
        </w:rPr>
        <w:t>finansowa pogorszyła się w sposób nieodwracalnie uniemożliwiający spłacenie długu;</w:t>
      </w:r>
    </w:p>
    <w:p w14:paraId="7A90F12D" w14:textId="77777777" w:rsidR="002F720C" w:rsidRPr="0017647C" w:rsidRDefault="00E81BF6" w:rsidP="00151E8A">
      <w:pPr>
        <w:spacing w:after="0" w:line="276" w:lineRule="auto"/>
        <w:ind w:left="1418" w:right="8" w:hanging="284"/>
        <w:rPr>
          <w:rFonts w:ascii="Times New Roman" w:hAnsi="Times New Roman" w:cs="Times New Roman"/>
          <w:color w:val="auto"/>
        </w:rPr>
      </w:pPr>
      <w:r w:rsidRPr="0017647C">
        <w:rPr>
          <w:rFonts w:ascii="Times New Roman" w:hAnsi="Times New Roman" w:cs="Times New Roman"/>
          <w:color w:val="auto"/>
        </w:rPr>
        <w:t>iii. ekspozycje kredytowe wobec dłużników, w stosunku do których ogłoszono upadłość lub w stosunku do których nastąpiło otwar</w:t>
      </w:r>
      <w:r w:rsidR="00F364C8" w:rsidRPr="0017647C">
        <w:rPr>
          <w:rFonts w:ascii="Times New Roman" w:hAnsi="Times New Roman" w:cs="Times New Roman"/>
          <w:color w:val="auto"/>
        </w:rPr>
        <w:t>cie likwidacji z wyjątkiem, gdy </w:t>
      </w:r>
      <w:r w:rsidRPr="0017647C">
        <w:rPr>
          <w:rFonts w:ascii="Times New Roman" w:hAnsi="Times New Roman" w:cs="Times New Roman"/>
          <w:color w:val="auto"/>
        </w:rPr>
        <w:t>następuje ona na podstawie przepisów o komercjalizacji i prywatyzacji;</w:t>
      </w:r>
    </w:p>
    <w:p w14:paraId="25814243" w14:textId="77777777" w:rsidR="002C50F6" w:rsidRPr="0017647C" w:rsidRDefault="00E81BF6" w:rsidP="00151E8A">
      <w:pPr>
        <w:spacing w:after="0" w:line="276" w:lineRule="auto"/>
        <w:ind w:left="1418" w:right="8" w:hanging="284"/>
        <w:rPr>
          <w:rFonts w:ascii="Times New Roman" w:hAnsi="Times New Roman" w:cs="Times New Roman"/>
          <w:color w:val="auto"/>
        </w:rPr>
      </w:pPr>
      <w:r w:rsidRPr="0017647C">
        <w:rPr>
          <w:rFonts w:ascii="Times New Roman" w:hAnsi="Times New Roman" w:cs="Times New Roman"/>
          <w:color w:val="auto"/>
        </w:rPr>
        <w:t>iv. ekspozycje kredytowe wob</w:t>
      </w:r>
      <w:r w:rsidR="00F364C8" w:rsidRPr="0017647C">
        <w:rPr>
          <w:rFonts w:ascii="Times New Roman" w:hAnsi="Times New Roman" w:cs="Times New Roman"/>
          <w:color w:val="auto"/>
        </w:rPr>
        <w:t>ec dłużników, przeciwko którym B</w:t>
      </w:r>
      <w:r w:rsidRPr="0017647C">
        <w:rPr>
          <w:rFonts w:ascii="Times New Roman" w:hAnsi="Times New Roman" w:cs="Times New Roman"/>
          <w:color w:val="auto"/>
        </w:rPr>
        <w:t>ank złożył wniosek o wszczęcie postępowania egzekucyjnego;</w:t>
      </w:r>
    </w:p>
    <w:p w14:paraId="6AD7C201" w14:textId="77777777" w:rsidR="002F720C" w:rsidRPr="0017647C" w:rsidRDefault="00E81BF6" w:rsidP="00151E8A">
      <w:pPr>
        <w:spacing w:after="0" w:line="276" w:lineRule="auto"/>
        <w:ind w:left="1418" w:right="8" w:hanging="284"/>
        <w:rPr>
          <w:rFonts w:ascii="Times New Roman" w:hAnsi="Times New Roman" w:cs="Times New Roman"/>
          <w:color w:val="auto"/>
        </w:rPr>
      </w:pPr>
      <w:r w:rsidRPr="0017647C">
        <w:rPr>
          <w:rFonts w:ascii="Times New Roman" w:hAnsi="Times New Roman" w:cs="Times New Roman"/>
          <w:color w:val="auto"/>
        </w:rPr>
        <w:t xml:space="preserve">v. ekspozycje kredytowe kwestionowane przez dłużników na drodze postępowania sądowego; </w:t>
      </w:r>
    </w:p>
    <w:p w14:paraId="723A8D02" w14:textId="77777777" w:rsidR="002C50F6" w:rsidRPr="0017647C" w:rsidRDefault="00E81BF6" w:rsidP="00151E8A">
      <w:pPr>
        <w:spacing w:after="0" w:line="276" w:lineRule="auto"/>
        <w:ind w:left="1418" w:right="8" w:hanging="284"/>
        <w:rPr>
          <w:rFonts w:ascii="Times New Roman" w:hAnsi="Times New Roman" w:cs="Times New Roman"/>
          <w:color w:val="auto"/>
        </w:rPr>
      </w:pPr>
      <w:r w:rsidRPr="0017647C">
        <w:rPr>
          <w:rFonts w:ascii="Times New Roman" w:hAnsi="Times New Roman" w:cs="Times New Roman"/>
          <w:color w:val="auto"/>
        </w:rPr>
        <w:lastRenderedPageBreak/>
        <w:t>vi. ekspozycje kredytowe wobec dłużników, których</w:t>
      </w:r>
      <w:r w:rsidR="00F364C8" w:rsidRPr="0017647C">
        <w:rPr>
          <w:rFonts w:ascii="Times New Roman" w:hAnsi="Times New Roman" w:cs="Times New Roman"/>
          <w:color w:val="auto"/>
        </w:rPr>
        <w:t xml:space="preserve"> miejsce pobytu jest nieznane i </w:t>
      </w:r>
      <w:r w:rsidRPr="0017647C">
        <w:rPr>
          <w:rFonts w:ascii="Times New Roman" w:hAnsi="Times New Roman" w:cs="Times New Roman"/>
          <w:color w:val="auto"/>
        </w:rPr>
        <w:t xml:space="preserve">których majątek nie został ujawniony. </w:t>
      </w:r>
    </w:p>
    <w:p w14:paraId="4B406E40" w14:textId="77777777" w:rsidR="002C50F6" w:rsidRPr="0017647C" w:rsidRDefault="00E81BF6" w:rsidP="00151E8A">
      <w:pPr>
        <w:spacing w:after="0" w:line="276" w:lineRule="auto"/>
        <w:ind w:left="-5" w:right="8"/>
        <w:rPr>
          <w:rFonts w:ascii="Times New Roman" w:hAnsi="Times New Roman" w:cs="Times New Roman"/>
          <w:color w:val="auto"/>
        </w:rPr>
      </w:pPr>
      <w:r w:rsidRPr="0017647C">
        <w:rPr>
          <w:rFonts w:ascii="Times New Roman" w:hAnsi="Times New Roman" w:cs="Times New Roman"/>
          <w:color w:val="auto"/>
        </w:rPr>
        <w:t xml:space="preserve">Przeglądów i klasyfikacji ekspozycji kredytowych dokonuje </w:t>
      </w:r>
      <w:r w:rsidR="00F364C8" w:rsidRPr="0017647C">
        <w:rPr>
          <w:rFonts w:ascii="Times New Roman" w:hAnsi="Times New Roman" w:cs="Times New Roman"/>
          <w:color w:val="auto"/>
        </w:rPr>
        <w:t>się według danych aktualnych na </w:t>
      </w:r>
      <w:r w:rsidRPr="0017647C">
        <w:rPr>
          <w:rFonts w:ascii="Times New Roman" w:hAnsi="Times New Roman" w:cs="Times New Roman"/>
          <w:color w:val="auto"/>
        </w:rPr>
        <w:t>dzień przeprowadzania klasyfikacji.</w:t>
      </w:r>
    </w:p>
    <w:p w14:paraId="01D27614" w14:textId="77777777" w:rsidR="002C50F6" w:rsidRPr="0017647C" w:rsidRDefault="00E81BF6" w:rsidP="00151E8A">
      <w:pPr>
        <w:spacing w:after="0" w:line="276" w:lineRule="auto"/>
        <w:ind w:left="-5" w:right="8"/>
        <w:rPr>
          <w:rFonts w:ascii="Times New Roman" w:hAnsi="Times New Roman" w:cs="Times New Roman"/>
          <w:color w:val="auto"/>
        </w:rPr>
      </w:pPr>
      <w:r w:rsidRPr="0017647C">
        <w:rPr>
          <w:rFonts w:ascii="Times New Roman" w:hAnsi="Times New Roman" w:cs="Times New Roman"/>
          <w:color w:val="auto"/>
        </w:rPr>
        <w:t>Bank dokonuje przeglądu i klasyfikacji ekspozycji kredytowych w oparciu o terminowość spłat rat kapitałowych i odsetek</w:t>
      </w:r>
      <w:r w:rsidR="002F720C" w:rsidRPr="0017647C">
        <w:rPr>
          <w:rFonts w:ascii="Times New Roman" w:hAnsi="Times New Roman" w:cs="Times New Roman"/>
          <w:color w:val="auto"/>
        </w:rPr>
        <w:t xml:space="preserve"> najpóźniej w </w:t>
      </w:r>
      <w:r w:rsidRPr="0017647C">
        <w:rPr>
          <w:rFonts w:ascii="Times New Roman" w:hAnsi="Times New Roman" w:cs="Times New Roman"/>
          <w:color w:val="auto"/>
        </w:rPr>
        <w:t xml:space="preserve"> </w:t>
      </w:r>
      <w:r w:rsidR="00A77648" w:rsidRPr="0017647C">
        <w:rPr>
          <w:rFonts w:ascii="Times New Roman" w:hAnsi="Times New Roman" w:cs="Times New Roman"/>
          <w:color w:val="auto"/>
        </w:rPr>
        <w:t>ostatnim dniu każdego miesiąca</w:t>
      </w:r>
      <w:r w:rsidRPr="0017647C">
        <w:rPr>
          <w:rFonts w:ascii="Times New Roman" w:hAnsi="Times New Roman" w:cs="Times New Roman"/>
          <w:color w:val="auto"/>
        </w:rPr>
        <w:t xml:space="preserve">, przy czym opóźnienie w spłacie części należnej raty kapitałowej lub odsetkowej, w kwocie nie przekraczającej 200 zł, nie wymaga przeklasyfikowania ekspozycji kredytowej do wyższej kategorii ryzyka. </w:t>
      </w:r>
    </w:p>
    <w:p w14:paraId="0208952B" w14:textId="77777777" w:rsidR="002C50F6" w:rsidRPr="0017647C" w:rsidRDefault="00E81BF6" w:rsidP="00151E8A">
      <w:pPr>
        <w:spacing w:after="0" w:line="276" w:lineRule="auto"/>
        <w:ind w:left="-5" w:right="8"/>
        <w:rPr>
          <w:rFonts w:ascii="Times New Roman" w:hAnsi="Times New Roman" w:cs="Times New Roman"/>
          <w:color w:val="auto"/>
        </w:rPr>
      </w:pPr>
      <w:r w:rsidRPr="0017647C">
        <w:rPr>
          <w:rFonts w:ascii="Times New Roman" w:hAnsi="Times New Roman" w:cs="Times New Roman"/>
          <w:color w:val="auto"/>
        </w:rPr>
        <w:t xml:space="preserve">Przeglądów i klasyfikacji ekspozycji kredytowych ze względu na kryterium sytuacji ekonomiczno-finansowej dokonuje się </w:t>
      </w:r>
      <w:r w:rsidR="00A77648" w:rsidRPr="0017647C">
        <w:rPr>
          <w:rFonts w:ascii="Times New Roman" w:hAnsi="Times New Roman" w:cs="Times New Roman"/>
          <w:color w:val="auto"/>
        </w:rPr>
        <w:t xml:space="preserve">najpóźniej w ostatnim dniu miesiąca kończącego kwartał, w którym dokonano przeglądu ekspozycji kredytowych i zabezpieczeń </w:t>
      </w:r>
      <w:r w:rsidRPr="0017647C">
        <w:rPr>
          <w:rFonts w:ascii="Times New Roman" w:hAnsi="Times New Roman" w:cs="Times New Roman"/>
          <w:color w:val="auto"/>
        </w:rPr>
        <w:t xml:space="preserve">z poniższym zastrzeżeniem. </w:t>
      </w:r>
    </w:p>
    <w:p w14:paraId="1E4F3312" w14:textId="77777777" w:rsidR="00A77648" w:rsidRPr="0017647C" w:rsidRDefault="00A77648" w:rsidP="00151E8A">
      <w:pPr>
        <w:spacing w:after="0" w:line="276" w:lineRule="auto"/>
        <w:ind w:left="0" w:right="0" w:firstLine="0"/>
        <w:rPr>
          <w:rFonts w:ascii="Times New Roman" w:hAnsi="Times New Roman" w:cs="Times New Roman"/>
          <w:color w:val="auto"/>
        </w:rPr>
      </w:pPr>
      <w:r w:rsidRPr="0017647C">
        <w:rPr>
          <w:rFonts w:ascii="Times New Roman" w:hAnsi="Times New Roman" w:cs="Times New Roman"/>
          <w:color w:val="auto"/>
        </w:rPr>
        <w:t>W przypadku ekspozycji kredytowych spełniających łącznie następujące warunki:</w:t>
      </w:r>
    </w:p>
    <w:p w14:paraId="5F66F699" w14:textId="77777777" w:rsidR="00A77648" w:rsidRPr="0017647C" w:rsidRDefault="00A77648" w:rsidP="00151E8A">
      <w:pPr>
        <w:numPr>
          <w:ilvl w:val="0"/>
          <w:numId w:val="38"/>
        </w:numPr>
        <w:tabs>
          <w:tab w:val="left" w:pos="720"/>
        </w:tabs>
        <w:spacing w:after="0" w:line="276" w:lineRule="auto"/>
        <w:ind w:left="720" w:right="0"/>
        <w:rPr>
          <w:rFonts w:ascii="Times New Roman" w:hAnsi="Times New Roman" w:cs="Times New Roman"/>
          <w:color w:val="auto"/>
        </w:rPr>
      </w:pPr>
      <w:r w:rsidRPr="0017647C">
        <w:rPr>
          <w:rFonts w:ascii="Times New Roman" w:hAnsi="Times New Roman" w:cs="Times New Roman"/>
          <w:color w:val="auto"/>
        </w:rPr>
        <w:t>ekspozycja jest zaklasyfikowana do kategorii „normalne”;</w:t>
      </w:r>
    </w:p>
    <w:p w14:paraId="0C0F4592" w14:textId="77777777" w:rsidR="00A77648" w:rsidRPr="0017647C" w:rsidRDefault="00A77648" w:rsidP="00151E8A">
      <w:pPr>
        <w:numPr>
          <w:ilvl w:val="0"/>
          <w:numId w:val="38"/>
        </w:numPr>
        <w:tabs>
          <w:tab w:val="left" w:pos="720"/>
        </w:tabs>
        <w:spacing w:after="0" w:line="276" w:lineRule="auto"/>
        <w:ind w:left="720" w:right="0"/>
        <w:rPr>
          <w:rFonts w:ascii="Times New Roman" w:hAnsi="Times New Roman" w:cs="Times New Roman"/>
          <w:color w:val="auto"/>
        </w:rPr>
      </w:pPr>
      <w:r w:rsidRPr="0017647C">
        <w:rPr>
          <w:rFonts w:ascii="Times New Roman" w:hAnsi="Times New Roman" w:cs="Times New Roman"/>
          <w:color w:val="auto"/>
        </w:rPr>
        <w:t>kwota ekspozycji, łącznie z innymi ekspozycjami Banku wobec tego podmiotu, nie przekracza równowartości w złotych kwoty 1 mln euro, obliczonej według kursu średniego ustalonego przez Narodowy Bank Polski, obowiązującego na dzień dokonywania klasyfikacji;</w:t>
      </w:r>
    </w:p>
    <w:p w14:paraId="40EC9A6D" w14:textId="77777777" w:rsidR="00A77648" w:rsidRPr="0017647C" w:rsidRDefault="00A77648" w:rsidP="00151E8A">
      <w:pPr>
        <w:tabs>
          <w:tab w:val="left" w:pos="720"/>
        </w:tabs>
        <w:spacing w:after="0" w:line="276" w:lineRule="auto"/>
        <w:ind w:left="0" w:firstLine="350"/>
        <w:rPr>
          <w:rFonts w:ascii="Times New Roman" w:hAnsi="Times New Roman" w:cs="Times New Roman"/>
          <w:color w:val="auto"/>
        </w:rPr>
      </w:pPr>
      <w:r w:rsidRPr="0017647C">
        <w:rPr>
          <w:rFonts w:ascii="Times New Roman" w:hAnsi="Times New Roman" w:cs="Times New Roman"/>
          <w:color w:val="auto"/>
        </w:rPr>
        <w:t>Bank dokonuje przeglądów, monitorowania i klasyfikacji ekspozycji kredytowych w oparciu o kryterium sytuacji ekonomiczno-finansowej w okresach rocznych, według danych na dzień kończący rok obrotowy klienta, najpóźniej do końca dru</w:t>
      </w:r>
      <w:r w:rsidR="00F364C8" w:rsidRPr="0017647C">
        <w:rPr>
          <w:rFonts w:ascii="Times New Roman" w:hAnsi="Times New Roman" w:cs="Times New Roman"/>
          <w:color w:val="auto"/>
        </w:rPr>
        <w:t>giego kwartału następującego po </w:t>
      </w:r>
      <w:r w:rsidRPr="0017647C">
        <w:rPr>
          <w:rFonts w:ascii="Times New Roman" w:hAnsi="Times New Roman" w:cs="Times New Roman"/>
          <w:color w:val="auto"/>
        </w:rPr>
        <w:t>zakończeniu każdego roku obrotowego klienta.</w:t>
      </w:r>
    </w:p>
    <w:p w14:paraId="4FED1DC4" w14:textId="77777777" w:rsidR="00A77648" w:rsidRPr="0017647C" w:rsidRDefault="00A77648" w:rsidP="00151E8A">
      <w:pPr>
        <w:autoSpaceDE w:val="0"/>
        <w:autoSpaceDN w:val="0"/>
        <w:adjustRightInd w:val="0"/>
        <w:spacing w:after="0" w:line="276" w:lineRule="auto"/>
        <w:ind w:right="0"/>
        <w:rPr>
          <w:rFonts w:ascii="Times New Roman" w:hAnsi="Times New Roman" w:cs="Times New Roman"/>
          <w:iCs/>
          <w:color w:val="auto"/>
        </w:rPr>
      </w:pPr>
      <w:r w:rsidRPr="0017647C">
        <w:rPr>
          <w:rFonts w:ascii="Times New Roman" w:hAnsi="Times New Roman" w:cs="Times New Roman"/>
          <w:iCs/>
          <w:color w:val="auto"/>
        </w:rPr>
        <w:t xml:space="preserve">Bank przyjmuje, że każda nowa decyzja </w:t>
      </w:r>
      <w:r w:rsidR="00F364C8" w:rsidRPr="0017647C">
        <w:rPr>
          <w:rFonts w:ascii="Times New Roman" w:hAnsi="Times New Roman" w:cs="Times New Roman"/>
          <w:iCs/>
          <w:color w:val="auto"/>
        </w:rPr>
        <w:t>kredytowa w sprawie udzielenia/</w:t>
      </w:r>
      <w:r w:rsidRPr="0017647C">
        <w:rPr>
          <w:rFonts w:ascii="Times New Roman" w:hAnsi="Times New Roman" w:cs="Times New Roman"/>
          <w:iCs/>
          <w:color w:val="auto"/>
        </w:rPr>
        <w:t>przedłużenia/ /odnowienia ekspozycji kredytowej na nowy/kolejny okres funkcjonowania, która została podjęta na podstawie oceny ryzyka przeprowadzonej według obowiązującej w Banku metodyki, zastępuje przegląd w ramach klasyfikacji, wymagany w najbliższych 3 miesiącach, z zastrzeż</w:t>
      </w:r>
      <w:r w:rsidR="00F364C8" w:rsidRPr="0017647C">
        <w:rPr>
          <w:rFonts w:ascii="Times New Roman" w:hAnsi="Times New Roman" w:cs="Times New Roman"/>
          <w:iCs/>
          <w:color w:val="auto"/>
        </w:rPr>
        <w:t>eniem, że </w:t>
      </w:r>
      <w:r w:rsidRPr="0017647C">
        <w:rPr>
          <w:rFonts w:ascii="Times New Roman" w:hAnsi="Times New Roman" w:cs="Times New Roman"/>
          <w:iCs/>
          <w:color w:val="auto"/>
        </w:rPr>
        <w:t xml:space="preserve">przeprowadzona ocena ryzyka kredytowego uwzględnia: </w:t>
      </w:r>
    </w:p>
    <w:p w14:paraId="569BBDB2" w14:textId="77777777" w:rsidR="00A77648" w:rsidRPr="0017647C" w:rsidRDefault="00A77648" w:rsidP="00151E8A">
      <w:pPr>
        <w:numPr>
          <w:ilvl w:val="0"/>
          <w:numId w:val="39"/>
        </w:numPr>
        <w:autoSpaceDE w:val="0"/>
        <w:autoSpaceDN w:val="0"/>
        <w:adjustRightInd w:val="0"/>
        <w:spacing w:after="0" w:line="276" w:lineRule="auto"/>
        <w:ind w:right="0"/>
        <w:rPr>
          <w:rFonts w:ascii="Times New Roman" w:hAnsi="Times New Roman" w:cs="Times New Roman"/>
          <w:iCs/>
          <w:color w:val="auto"/>
        </w:rPr>
      </w:pPr>
      <w:r w:rsidRPr="0017647C">
        <w:rPr>
          <w:rFonts w:ascii="Times New Roman" w:hAnsi="Times New Roman" w:cs="Times New Roman"/>
          <w:iCs/>
          <w:color w:val="auto"/>
        </w:rPr>
        <w:t>sytuację ekonomiczno-finansową dłużnika;</w:t>
      </w:r>
    </w:p>
    <w:p w14:paraId="2FC9392C" w14:textId="77777777" w:rsidR="00A77648" w:rsidRPr="0017647C" w:rsidRDefault="00A77648" w:rsidP="00F364C8">
      <w:pPr>
        <w:numPr>
          <w:ilvl w:val="0"/>
          <w:numId w:val="39"/>
        </w:numPr>
        <w:autoSpaceDE w:val="0"/>
        <w:autoSpaceDN w:val="0"/>
        <w:adjustRightInd w:val="0"/>
        <w:spacing w:after="240" w:line="276" w:lineRule="auto"/>
        <w:ind w:left="697" w:right="0" w:hanging="357"/>
        <w:rPr>
          <w:rFonts w:ascii="Times New Roman" w:hAnsi="Times New Roman" w:cs="Times New Roman"/>
          <w:iCs/>
          <w:color w:val="auto"/>
        </w:rPr>
      </w:pPr>
      <w:r w:rsidRPr="0017647C">
        <w:rPr>
          <w:rFonts w:ascii="Times New Roman" w:hAnsi="Times New Roman" w:cs="Times New Roman"/>
          <w:iCs/>
          <w:color w:val="auto"/>
        </w:rPr>
        <w:t>przegląd wszystkich ekspozycji kredytowych klienta w tym: spełnienie warunków dotychczasowych umów kredytowych i zachowanie terminowości spłat rat kredytowych (jeśli dotyczy) i odsetek.</w:t>
      </w:r>
    </w:p>
    <w:p w14:paraId="55A308DA" w14:textId="77777777" w:rsidR="002C50F6" w:rsidRPr="0017647C" w:rsidRDefault="00A77648" w:rsidP="00F364C8">
      <w:pPr>
        <w:spacing w:after="120" w:line="276" w:lineRule="auto"/>
        <w:ind w:left="-6" w:right="6" w:hanging="11"/>
        <w:rPr>
          <w:rFonts w:ascii="Times New Roman" w:hAnsi="Times New Roman" w:cs="Times New Roman"/>
          <w:color w:val="auto"/>
        </w:rPr>
      </w:pPr>
      <w:r w:rsidRPr="0017647C">
        <w:rPr>
          <w:rFonts w:ascii="Times New Roman" w:hAnsi="Times New Roman" w:cs="Times New Roman"/>
          <w:i/>
          <w:color w:val="auto"/>
        </w:rPr>
        <w:t>T</w:t>
      </w:r>
      <w:r w:rsidR="00E81BF6" w:rsidRPr="0017647C">
        <w:rPr>
          <w:rFonts w:ascii="Times New Roman" w:hAnsi="Times New Roman" w:cs="Times New Roman"/>
          <w:i/>
          <w:color w:val="auto"/>
        </w:rPr>
        <w:t>worzenie rezerw</w:t>
      </w:r>
    </w:p>
    <w:p w14:paraId="6A97720D" w14:textId="77777777" w:rsidR="00A77648" w:rsidRPr="0017647C" w:rsidRDefault="00E81BF6" w:rsidP="00151E8A">
      <w:pPr>
        <w:spacing w:after="0" w:line="276" w:lineRule="auto"/>
        <w:ind w:left="-5" w:right="8"/>
        <w:rPr>
          <w:rFonts w:ascii="Times New Roman" w:hAnsi="Times New Roman" w:cs="Times New Roman"/>
          <w:color w:val="auto"/>
        </w:rPr>
      </w:pPr>
      <w:r w:rsidRPr="0017647C">
        <w:rPr>
          <w:rFonts w:ascii="Times New Roman" w:hAnsi="Times New Roman" w:cs="Times New Roman"/>
          <w:color w:val="auto"/>
        </w:rPr>
        <w:t xml:space="preserve">Podstawę tworzenia rezerw celowych </w:t>
      </w:r>
      <w:r w:rsidR="000B75A0" w:rsidRPr="0017647C">
        <w:rPr>
          <w:rFonts w:ascii="Times New Roman" w:hAnsi="Times New Roman" w:cs="Times New Roman"/>
          <w:color w:val="auto"/>
        </w:rPr>
        <w:t xml:space="preserve">i odpisów aktualizujących </w:t>
      </w:r>
      <w:r w:rsidRPr="0017647C">
        <w:rPr>
          <w:rFonts w:ascii="Times New Roman" w:hAnsi="Times New Roman" w:cs="Times New Roman"/>
          <w:color w:val="auto"/>
        </w:rPr>
        <w:t>stanowi wartość bilansowa ekspozycji kredytowej bez uwzględnienia utworzonych rezerw celowych, ale z uwzględnieniem przewidywanej, w związku z restrukturyzacją zadłużenia, kwoty umorzenia części ek</w:t>
      </w:r>
      <w:r w:rsidR="00A77648" w:rsidRPr="0017647C">
        <w:rPr>
          <w:rFonts w:ascii="Times New Roman" w:hAnsi="Times New Roman" w:cs="Times New Roman"/>
          <w:color w:val="auto"/>
        </w:rPr>
        <w:t>spozycji kredytowej oraz udzielone zobowiązania pozabilansowe w przypadku, gdy postanowienia umowy:</w:t>
      </w:r>
    </w:p>
    <w:p w14:paraId="4EFF5B47" w14:textId="77777777" w:rsidR="00A77648" w:rsidRPr="0017647C" w:rsidRDefault="00A77648" w:rsidP="00151E8A">
      <w:pPr>
        <w:numPr>
          <w:ilvl w:val="1"/>
          <w:numId w:val="40"/>
        </w:numPr>
        <w:spacing w:after="0" w:line="276" w:lineRule="auto"/>
        <w:ind w:right="0"/>
        <w:rPr>
          <w:rFonts w:ascii="Times New Roman" w:hAnsi="Times New Roman" w:cs="Times New Roman"/>
          <w:color w:val="auto"/>
        </w:rPr>
      </w:pPr>
      <w:r w:rsidRPr="0017647C">
        <w:rPr>
          <w:rFonts w:ascii="Times New Roman" w:hAnsi="Times New Roman" w:cs="Times New Roman"/>
          <w:color w:val="auto"/>
        </w:rPr>
        <w:t>nie gwarantują Bankowi swobody w podjęciu decyzji o uruchomieniu środków w ramach zobowiązania</w:t>
      </w:r>
      <w:r w:rsidR="00F364C8" w:rsidRPr="0017647C">
        <w:rPr>
          <w:rFonts w:ascii="Times New Roman" w:hAnsi="Times New Roman" w:cs="Times New Roman"/>
          <w:color w:val="auto"/>
        </w:rPr>
        <w:t>;</w:t>
      </w:r>
      <w:r w:rsidRPr="0017647C">
        <w:rPr>
          <w:rFonts w:ascii="Times New Roman" w:hAnsi="Times New Roman" w:cs="Times New Roman"/>
          <w:color w:val="auto"/>
        </w:rPr>
        <w:t xml:space="preserve"> lub</w:t>
      </w:r>
    </w:p>
    <w:p w14:paraId="355D849E" w14:textId="77777777" w:rsidR="00A77648" w:rsidRPr="0017647C" w:rsidRDefault="00A77648" w:rsidP="00151E8A">
      <w:pPr>
        <w:numPr>
          <w:ilvl w:val="1"/>
          <w:numId w:val="40"/>
        </w:numPr>
        <w:spacing w:after="0" w:line="276" w:lineRule="auto"/>
        <w:ind w:right="0"/>
        <w:rPr>
          <w:rFonts w:ascii="Times New Roman" w:hAnsi="Times New Roman" w:cs="Times New Roman"/>
          <w:color w:val="auto"/>
        </w:rPr>
      </w:pPr>
      <w:r w:rsidRPr="0017647C">
        <w:rPr>
          <w:rFonts w:ascii="Times New Roman" w:hAnsi="Times New Roman" w:cs="Times New Roman"/>
          <w:color w:val="auto"/>
        </w:rPr>
        <w:lastRenderedPageBreak/>
        <w:t>nie uzależniają uruchomienia środków w ramach zobowiązania od terminowej obsługi już wykorzystanej części i niebudzącej obaw sytuacji ek</w:t>
      </w:r>
      <w:r w:rsidR="00F364C8" w:rsidRPr="0017647C">
        <w:rPr>
          <w:rFonts w:ascii="Times New Roman" w:hAnsi="Times New Roman" w:cs="Times New Roman"/>
          <w:color w:val="auto"/>
        </w:rPr>
        <w:t>onomiczno-finansowej dłużnika w </w:t>
      </w:r>
      <w:r w:rsidRPr="0017647C">
        <w:rPr>
          <w:rFonts w:ascii="Times New Roman" w:hAnsi="Times New Roman" w:cs="Times New Roman"/>
          <w:color w:val="auto"/>
        </w:rPr>
        <w:t>przypadku, gdy wymagane</w:t>
      </w:r>
      <w:r w:rsidR="00F364C8" w:rsidRPr="0017647C">
        <w:rPr>
          <w:rFonts w:ascii="Times New Roman" w:hAnsi="Times New Roman" w:cs="Times New Roman"/>
          <w:color w:val="auto"/>
        </w:rPr>
        <w:t xml:space="preserve"> jest stosowanie tego kryterium; </w:t>
      </w:r>
      <w:r w:rsidRPr="0017647C">
        <w:rPr>
          <w:rFonts w:ascii="Times New Roman" w:hAnsi="Times New Roman" w:cs="Times New Roman"/>
          <w:color w:val="auto"/>
        </w:rPr>
        <w:t xml:space="preserve"> lub</w:t>
      </w:r>
    </w:p>
    <w:p w14:paraId="5FB5625C" w14:textId="77777777" w:rsidR="00A77648" w:rsidRPr="0017647C" w:rsidRDefault="00A77648" w:rsidP="00151E8A">
      <w:pPr>
        <w:numPr>
          <w:ilvl w:val="1"/>
          <w:numId w:val="40"/>
        </w:numPr>
        <w:spacing w:after="0" w:line="276" w:lineRule="auto"/>
        <w:ind w:right="0"/>
        <w:rPr>
          <w:rFonts w:ascii="Times New Roman" w:hAnsi="Times New Roman" w:cs="Times New Roman"/>
          <w:color w:val="auto"/>
          <w:szCs w:val="24"/>
        </w:rPr>
      </w:pPr>
      <w:r w:rsidRPr="0017647C">
        <w:rPr>
          <w:rFonts w:ascii="Times New Roman" w:hAnsi="Times New Roman" w:cs="Times New Roman"/>
          <w:color w:val="auto"/>
          <w:szCs w:val="24"/>
        </w:rPr>
        <w:t>nie uzależniają uruchomienia środków w ramach zobowiązania od złożenia zabezpieczeń wymienionych w załączniku nr 2 do R</w:t>
      </w:r>
      <w:r w:rsidR="00156E44" w:rsidRPr="0017647C">
        <w:rPr>
          <w:rFonts w:ascii="Times New Roman" w:hAnsi="Times New Roman" w:cs="Times New Roman"/>
          <w:color w:val="auto"/>
          <w:szCs w:val="24"/>
        </w:rPr>
        <w:t>ozporządzenia Ministra finansów z dnia 16.12.2008</w:t>
      </w:r>
      <w:r w:rsidR="00F364C8" w:rsidRPr="0017647C">
        <w:rPr>
          <w:rFonts w:ascii="Times New Roman" w:hAnsi="Times New Roman" w:cs="Times New Roman"/>
          <w:color w:val="auto"/>
          <w:szCs w:val="24"/>
        </w:rPr>
        <w:t> </w:t>
      </w:r>
      <w:r w:rsidR="00156E44" w:rsidRPr="0017647C">
        <w:rPr>
          <w:rFonts w:ascii="Times New Roman" w:hAnsi="Times New Roman" w:cs="Times New Roman"/>
          <w:color w:val="auto"/>
          <w:szCs w:val="24"/>
        </w:rPr>
        <w:t>r.</w:t>
      </w:r>
      <w:r w:rsidR="00156E44" w:rsidRPr="0017647C">
        <w:rPr>
          <w:rStyle w:val="Nagwek3Znak"/>
          <w:rFonts w:ascii="Times New Roman" w:hAnsi="Times New Roman" w:cs="Times New Roman"/>
          <w:color w:val="auto"/>
          <w:sz w:val="24"/>
          <w:szCs w:val="24"/>
        </w:rPr>
        <w:t xml:space="preserve"> </w:t>
      </w:r>
      <w:r w:rsidR="00156E44" w:rsidRPr="0017647C">
        <w:rPr>
          <w:rStyle w:val="Nagwek3Znak"/>
          <w:rFonts w:ascii="Times New Roman" w:hAnsi="Times New Roman" w:cs="Times New Roman"/>
          <w:b w:val="0"/>
          <w:color w:val="auto"/>
          <w:sz w:val="24"/>
          <w:szCs w:val="24"/>
        </w:rPr>
        <w:t>w</w:t>
      </w:r>
      <w:r w:rsidR="00156E44" w:rsidRPr="0017647C">
        <w:rPr>
          <w:rStyle w:val="Nagwek3Znak"/>
          <w:rFonts w:ascii="Times New Roman" w:hAnsi="Times New Roman" w:cs="Times New Roman"/>
          <w:color w:val="auto"/>
          <w:sz w:val="24"/>
          <w:szCs w:val="24"/>
        </w:rPr>
        <w:t xml:space="preserve"> </w:t>
      </w:r>
      <w:r w:rsidR="00156E44" w:rsidRPr="0017647C">
        <w:rPr>
          <w:rStyle w:val="h2"/>
          <w:rFonts w:ascii="Times New Roman" w:hAnsi="Times New Roman" w:cs="Times New Roman"/>
          <w:color w:val="auto"/>
          <w:szCs w:val="24"/>
        </w:rPr>
        <w:t>sprawie zasad tworzenia rezerw na ryzyko związane z działalnością banków</w:t>
      </w:r>
      <w:r w:rsidRPr="0017647C">
        <w:rPr>
          <w:rFonts w:ascii="Times New Roman" w:hAnsi="Times New Roman" w:cs="Times New Roman"/>
          <w:color w:val="auto"/>
          <w:szCs w:val="24"/>
        </w:rPr>
        <w:t>, umożliwiających pomniejszenie podstawy tworzenia rezerw celowych o kwotę odpowiadająca uruchamianym środkom lub klasyfi</w:t>
      </w:r>
      <w:r w:rsidR="00F364C8" w:rsidRPr="0017647C">
        <w:rPr>
          <w:rFonts w:ascii="Times New Roman" w:hAnsi="Times New Roman" w:cs="Times New Roman"/>
          <w:color w:val="auto"/>
          <w:szCs w:val="24"/>
        </w:rPr>
        <w:t>kowanie ekspozycji kredytowej w kategorii „normalne”.</w:t>
      </w:r>
    </w:p>
    <w:p w14:paraId="4C8B4FC5" w14:textId="77777777" w:rsidR="002C50F6" w:rsidRPr="0017647C" w:rsidRDefault="00E81BF6" w:rsidP="00151E8A">
      <w:pPr>
        <w:spacing w:after="0" w:line="276" w:lineRule="auto"/>
        <w:ind w:left="-5" w:right="8"/>
        <w:rPr>
          <w:rFonts w:ascii="Times New Roman" w:hAnsi="Times New Roman" w:cs="Times New Roman"/>
          <w:color w:val="auto"/>
        </w:rPr>
      </w:pPr>
      <w:r w:rsidRPr="0017647C">
        <w:rPr>
          <w:rFonts w:ascii="Times New Roman" w:hAnsi="Times New Roman" w:cs="Times New Roman"/>
          <w:color w:val="auto"/>
        </w:rPr>
        <w:t>Podstawę tworzenia rezerw celowych na ryzyko związane z ekspozycjami kredytowymi, zakwalifikowanymi do kategorii „pod obserwacją” lub grupy „zagrożo</w:t>
      </w:r>
      <w:r w:rsidR="00F364C8" w:rsidRPr="0017647C">
        <w:rPr>
          <w:rFonts w:ascii="Times New Roman" w:hAnsi="Times New Roman" w:cs="Times New Roman"/>
          <w:color w:val="auto"/>
        </w:rPr>
        <w:t>ne”, można pomniejszyć o </w:t>
      </w:r>
      <w:r w:rsidRPr="0017647C">
        <w:rPr>
          <w:rFonts w:ascii="Times New Roman" w:hAnsi="Times New Roman" w:cs="Times New Roman"/>
          <w:color w:val="auto"/>
        </w:rPr>
        <w:t xml:space="preserve">wartość zabezpieczeń wymienionych w </w:t>
      </w:r>
      <w:r w:rsidRPr="0017647C">
        <w:rPr>
          <w:rFonts w:ascii="Times New Roman" w:hAnsi="Times New Roman" w:cs="Times New Roman"/>
          <w:i/>
          <w:color w:val="auto"/>
        </w:rPr>
        <w:t>Rozporządzeniu Ministra Finansów z dnia 16 grudnia 2008 r. w sprawie zasad tworzenia rezerw na ryzyko związane z działalnością banków</w:t>
      </w:r>
      <w:r w:rsidRPr="0017647C">
        <w:rPr>
          <w:rFonts w:ascii="Times New Roman" w:hAnsi="Times New Roman" w:cs="Times New Roman"/>
          <w:color w:val="auto"/>
        </w:rPr>
        <w:t xml:space="preserve">. </w:t>
      </w:r>
    </w:p>
    <w:p w14:paraId="17800512" w14:textId="77777777" w:rsidR="00156E44" w:rsidRPr="0017647C" w:rsidRDefault="00E81BF6" w:rsidP="00151E8A">
      <w:pPr>
        <w:spacing w:after="0" w:line="276" w:lineRule="auto"/>
        <w:rPr>
          <w:rFonts w:ascii="Times New Roman" w:hAnsi="Times New Roman" w:cs="Times New Roman"/>
          <w:color w:val="auto"/>
        </w:rPr>
      </w:pPr>
      <w:r w:rsidRPr="0017647C">
        <w:rPr>
          <w:rFonts w:ascii="Times New Roman" w:hAnsi="Times New Roman" w:cs="Times New Roman"/>
          <w:color w:val="auto"/>
        </w:rPr>
        <w:t>Rezerwy celowe na ryzyko związane z ekspozycjami kredytowym</w:t>
      </w:r>
      <w:r w:rsidR="00F364C8" w:rsidRPr="0017647C">
        <w:rPr>
          <w:rFonts w:ascii="Times New Roman" w:hAnsi="Times New Roman" w:cs="Times New Roman"/>
          <w:color w:val="auto"/>
        </w:rPr>
        <w:t>i wynikającymi z pożyczek i </w:t>
      </w:r>
      <w:r w:rsidRPr="0017647C">
        <w:rPr>
          <w:rFonts w:ascii="Times New Roman" w:hAnsi="Times New Roman" w:cs="Times New Roman"/>
          <w:color w:val="auto"/>
        </w:rPr>
        <w:t>kredytów detalicznych, zaklasyfikowanymi do kategorii „norma</w:t>
      </w:r>
      <w:r w:rsidR="00F364C8" w:rsidRPr="0017647C">
        <w:rPr>
          <w:rFonts w:ascii="Times New Roman" w:hAnsi="Times New Roman" w:cs="Times New Roman"/>
          <w:color w:val="auto"/>
        </w:rPr>
        <w:t>lne”, tworzy się w wysokości co </w:t>
      </w:r>
      <w:r w:rsidRPr="0017647C">
        <w:rPr>
          <w:rFonts w:ascii="Times New Roman" w:hAnsi="Times New Roman" w:cs="Times New Roman"/>
          <w:color w:val="auto"/>
        </w:rPr>
        <w:t xml:space="preserve">najmniej wymaganego poziomu rezerw, stanowiącego 1,5% podstawy tworzenia rezerw celowych. </w:t>
      </w:r>
      <w:r w:rsidR="00156E44" w:rsidRPr="0017647C">
        <w:rPr>
          <w:rFonts w:ascii="Times New Roman" w:hAnsi="Times New Roman" w:cs="Times New Roman"/>
          <w:color w:val="auto"/>
        </w:rPr>
        <w:t>Wymagany poziom rezerw celowych na ryzyko związane z ekspozycjami kredytowymi wynikającymi z pożyczek i kredytów detalicznych, zaklasyfiko</w:t>
      </w:r>
      <w:r w:rsidR="00386BFB" w:rsidRPr="0017647C">
        <w:rPr>
          <w:rFonts w:ascii="Times New Roman" w:hAnsi="Times New Roman" w:cs="Times New Roman"/>
          <w:color w:val="auto"/>
        </w:rPr>
        <w:t xml:space="preserve">wanymi do kategorii „normalne” oraz z ekspozycjami kredytowymi zaklasyfikowanymi do kategorii „pod obserwacją” </w:t>
      </w:r>
      <w:r w:rsidR="00156E44" w:rsidRPr="0017647C">
        <w:rPr>
          <w:rFonts w:ascii="Times New Roman" w:hAnsi="Times New Roman" w:cs="Times New Roman"/>
          <w:color w:val="auto"/>
        </w:rPr>
        <w:t xml:space="preserve">pomniejsza się o kwotę równą 25% rezerwy na ryzyko ogólne. </w:t>
      </w:r>
    </w:p>
    <w:p w14:paraId="254F487A" w14:textId="77777777" w:rsidR="002C50F6" w:rsidRPr="0017647C" w:rsidRDefault="00E81BF6" w:rsidP="00151E8A">
      <w:pPr>
        <w:spacing w:after="0" w:line="276" w:lineRule="auto"/>
        <w:ind w:left="-5" w:right="8"/>
        <w:rPr>
          <w:rFonts w:ascii="Times New Roman" w:hAnsi="Times New Roman" w:cs="Times New Roman"/>
          <w:color w:val="auto"/>
        </w:rPr>
      </w:pPr>
      <w:r w:rsidRPr="0017647C">
        <w:rPr>
          <w:rFonts w:ascii="Times New Roman" w:hAnsi="Times New Roman" w:cs="Times New Roman"/>
          <w:color w:val="auto"/>
        </w:rPr>
        <w:t>Rezerwy celowe na ryzyko związane z ekspozycjami kredytowymi zaklasyfiko</w:t>
      </w:r>
      <w:r w:rsidR="00F364C8" w:rsidRPr="0017647C">
        <w:rPr>
          <w:rFonts w:ascii="Times New Roman" w:hAnsi="Times New Roman" w:cs="Times New Roman"/>
          <w:color w:val="auto"/>
        </w:rPr>
        <w:t>wanymi do </w:t>
      </w:r>
      <w:r w:rsidRPr="0017647C">
        <w:rPr>
          <w:rFonts w:ascii="Times New Roman" w:hAnsi="Times New Roman" w:cs="Times New Roman"/>
          <w:color w:val="auto"/>
        </w:rPr>
        <w:t>kategorii „pod obserwacją”, „poniżej standardu”, „wątpl</w:t>
      </w:r>
      <w:r w:rsidR="00F364C8" w:rsidRPr="0017647C">
        <w:rPr>
          <w:rFonts w:ascii="Times New Roman" w:hAnsi="Times New Roman" w:cs="Times New Roman"/>
          <w:color w:val="auto"/>
        </w:rPr>
        <w:t>iwe” i „stracone” tworzy się na </w:t>
      </w:r>
      <w:r w:rsidRPr="0017647C">
        <w:rPr>
          <w:rFonts w:ascii="Times New Roman" w:hAnsi="Times New Roman" w:cs="Times New Roman"/>
          <w:color w:val="auto"/>
        </w:rPr>
        <w:t>podstawie indywidualnej oceny ryzyka obciążającego daną ek</w:t>
      </w:r>
      <w:r w:rsidR="00F364C8" w:rsidRPr="0017647C">
        <w:rPr>
          <w:rFonts w:ascii="Times New Roman" w:hAnsi="Times New Roman" w:cs="Times New Roman"/>
          <w:color w:val="auto"/>
        </w:rPr>
        <w:t>spozycję, jednak w wysokości co </w:t>
      </w:r>
      <w:r w:rsidRPr="0017647C">
        <w:rPr>
          <w:rFonts w:ascii="Times New Roman" w:hAnsi="Times New Roman" w:cs="Times New Roman"/>
          <w:color w:val="auto"/>
        </w:rPr>
        <w:t>najmniej wymaganego poziomu rezerw, stanowiącego w relacji do podstawy tworzenia rezerw celowych:</w:t>
      </w:r>
    </w:p>
    <w:p w14:paraId="6D9C27FD" w14:textId="77777777" w:rsidR="002C50F6" w:rsidRPr="0017647C" w:rsidRDefault="00E81BF6" w:rsidP="00151E8A">
      <w:pPr>
        <w:numPr>
          <w:ilvl w:val="0"/>
          <w:numId w:val="28"/>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1,5% - w przypadku kategorii „pod obserwacją”;</w:t>
      </w:r>
    </w:p>
    <w:p w14:paraId="1AB7138B" w14:textId="77777777" w:rsidR="002C50F6" w:rsidRPr="0017647C" w:rsidRDefault="00E81BF6" w:rsidP="00151E8A">
      <w:pPr>
        <w:numPr>
          <w:ilvl w:val="0"/>
          <w:numId w:val="28"/>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20% - w przypadku kategorii „poniżej standardu”;</w:t>
      </w:r>
    </w:p>
    <w:p w14:paraId="7C756E12" w14:textId="77777777" w:rsidR="002C50F6" w:rsidRPr="0017647C" w:rsidRDefault="00E81BF6" w:rsidP="00151E8A">
      <w:pPr>
        <w:numPr>
          <w:ilvl w:val="0"/>
          <w:numId w:val="28"/>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50% - w przypadku kategorii „wątpliwe”;</w:t>
      </w:r>
    </w:p>
    <w:p w14:paraId="400C99AE" w14:textId="77777777" w:rsidR="002C50F6" w:rsidRPr="0017647C" w:rsidRDefault="00E81BF6" w:rsidP="00151E8A">
      <w:pPr>
        <w:numPr>
          <w:ilvl w:val="0"/>
          <w:numId w:val="28"/>
        </w:numPr>
        <w:spacing w:after="0" w:line="276" w:lineRule="auto"/>
        <w:ind w:right="8" w:hanging="360"/>
        <w:rPr>
          <w:rFonts w:ascii="Times New Roman" w:hAnsi="Times New Roman" w:cs="Times New Roman"/>
          <w:color w:val="auto"/>
        </w:rPr>
      </w:pPr>
      <w:r w:rsidRPr="0017647C">
        <w:rPr>
          <w:rFonts w:ascii="Times New Roman" w:hAnsi="Times New Roman" w:cs="Times New Roman"/>
          <w:color w:val="auto"/>
        </w:rPr>
        <w:t>100% - w przypadku kategorii „stracone”.</w:t>
      </w:r>
    </w:p>
    <w:p w14:paraId="3E708CD7" w14:textId="77777777" w:rsidR="00DA3110" w:rsidRPr="0017647C" w:rsidRDefault="00E81BF6" w:rsidP="00151E8A">
      <w:pPr>
        <w:spacing w:after="0" w:line="276" w:lineRule="auto"/>
        <w:ind w:left="-5" w:right="8"/>
        <w:rPr>
          <w:rFonts w:ascii="Times New Roman" w:hAnsi="Times New Roman" w:cs="Times New Roman"/>
          <w:color w:val="auto"/>
        </w:rPr>
      </w:pPr>
      <w:r w:rsidRPr="0017647C">
        <w:rPr>
          <w:rFonts w:ascii="Times New Roman" w:hAnsi="Times New Roman" w:cs="Times New Roman"/>
          <w:color w:val="auto"/>
        </w:rPr>
        <w:t xml:space="preserve">Rezerwy celowe </w:t>
      </w:r>
      <w:r w:rsidR="000B75A0" w:rsidRPr="0017647C">
        <w:rPr>
          <w:rFonts w:ascii="Times New Roman" w:hAnsi="Times New Roman" w:cs="Times New Roman"/>
          <w:color w:val="auto"/>
        </w:rPr>
        <w:t xml:space="preserve">i odpisy aktualizujące </w:t>
      </w:r>
      <w:r w:rsidRPr="0017647C">
        <w:rPr>
          <w:rFonts w:ascii="Times New Roman" w:hAnsi="Times New Roman" w:cs="Times New Roman"/>
          <w:color w:val="auto"/>
        </w:rPr>
        <w:t>tworzy się, aktualizuje co do wysokości oraz rozwiązuje</w:t>
      </w:r>
    </w:p>
    <w:p w14:paraId="7ED7EBC5" w14:textId="77777777" w:rsidR="00DA3110" w:rsidRPr="0017647C" w:rsidRDefault="00DA3110" w:rsidP="00151E8A">
      <w:pPr>
        <w:numPr>
          <w:ilvl w:val="1"/>
          <w:numId w:val="37"/>
        </w:numPr>
        <w:spacing w:after="0" w:line="276" w:lineRule="auto"/>
        <w:ind w:right="0"/>
        <w:rPr>
          <w:rFonts w:ascii="Times New Roman" w:hAnsi="Times New Roman" w:cs="Times New Roman"/>
          <w:color w:val="auto"/>
        </w:rPr>
      </w:pPr>
      <w:r w:rsidRPr="0017647C">
        <w:rPr>
          <w:rFonts w:ascii="Times New Roman" w:hAnsi="Times New Roman" w:cs="Times New Roman"/>
          <w:color w:val="auto"/>
        </w:rPr>
        <w:t>z uwzględnie</w:t>
      </w:r>
      <w:r w:rsidR="00ED5D5F" w:rsidRPr="0017647C">
        <w:rPr>
          <w:rFonts w:ascii="Times New Roman" w:hAnsi="Times New Roman" w:cs="Times New Roman"/>
          <w:color w:val="auto"/>
        </w:rPr>
        <w:t>niem kryterium terminowości spła</w:t>
      </w:r>
      <w:r w:rsidRPr="0017647C">
        <w:rPr>
          <w:rFonts w:ascii="Times New Roman" w:hAnsi="Times New Roman" w:cs="Times New Roman"/>
          <w:color w:val="auto"/>
        </w:rPr>
        <w:t>t – najpóźniej w ostatnim dniu każdego miesiąca;</w:t>
      </w:r>
    </w:p>
    <w:p w14:paraId="3C7CD256" w14:textId="77777777" w:rsidR="00DA3110" w:rsidRPr="0017647C" w:rsidRDefault="00DA3110" w:rsidP="00151E8A">
      <w:pPr>
        <w:numPr>
          <w:ilvl w:val="1"/>
          <w:numId w:val="37"/>
        </w:numPr>
        <w:spacing w:after="0" w:line="276" w:lineRule="auto"/>
        <w:ind w:right="0"/>
        <w:rPr>
          <w:rFonts w:ascii="Times New Roman" w:hAnsi="Times New Roman" w:cs="Times New Roman"/>
          <w:color w:val="auto"/>
        </w:rPr>
      </w:pPr>
      <w:r w:rsidRPr="0017647C">
        <w:rPr>
          <w:rFonts w:ascii="Times New Roman" w:hAnsi="Times New Roman" w:cs="Times New Roman"/>
          <w:color w:val="auto"/>
        </w:rPr>
        <w:t xml:space="preserve">z uwzględnieniem kryterium sytuacji ekonomiczno-finansowej – najpóźniej </w:t>
      </w:r>
      <w:r w:rsidRPr="0017647C">
        <w:rPr>
          <w:rFonts w:ascii="Times New Roman" w:hAnsi="Times New Roman" w:cs="Times New Roman"/>
          <w:color w:val="auto"/>
        </w:rPr>
        <w:br/>
        <w:t>w ostatnim dniu miesiąca kończącego kwartał, w którym dokonano przeglądu ekspozy</w:t>
      </w:r>
      <w:r w:rsidR="00F364C8" w:rsidRPr="0017647C">
        <w:rPr>
          <w:rFonts w:ascii="Times New Roman" w:hAnsi="Times New Roman" w:cs="Times New Roman"/>
          <w:color w:val="auto"/>
        </w:rPr>
        <w:t>cji kredytowych i zabezpieczeń;</w:t>
      </w:r>
    </w:p>
    <w:p w14:paraId="1B9E0B21" w14:textId="77777777" w:rsidR="00DA3110" w:rsidRPr="0017647C" w:rsidRDefault="00DA3110" w:rsidP="00151E8A">
      <w:pPr>
        <w:numPr>
          <w:ilvl w:val="1"/>
          <w:numId w:val="37"/>
        </w:numPr>
        <w:spacing w:after="0" w:line="276" w:lineRule="auto"/>
        <w:ind w:right="0"/>
        <w:rPr>
          <w:rFonts w:ascii="Times New Roman" w:hAnsi="Times New Roman" w:cs="Times New Roman"/>
          <w:color w:val="auto"/>
        </w:rPr>
      </w:pPr>
      <w:r w:rsidRPr="0017647C">
        <w:rPr>
          <w:rFonts w:ascii="Times New Roman" w:hAnsi="Times New Roman" w:cs="Times New Roman"/>
          <w:color w:val="auto"/>
        </w:rPr>
        <w:t>z uwzględnieniem kryterium limitu pomniejszeń – najpóźniej w ostatnim dniu każdego miesiąca.</w:t>
      </w:r>
    </w:p>
    <w:p w14:paraId="191DBB52" w14:textId="77777777" w:rsidR="002C50F6" w:rsidRPr="0017647C" w:rsidRDefault="00E81BF6" w:rsidP="00151E8A">
      <w:pPr>
        <w:spacing w:after="0" w:line="276" w:lineRule="auto"/>
        <w:ind w:left="-5" w:right="8"/>
        <w:rPr>
          <w:rFonts w:ascii="Times New Roman" w:hAnsi="Times New Roman" w:cs="Times New Roman"/>
          <w:color w:val="auto"/>
        </w:rPr>
      </w:pPr>
      <w:r w:rsidRPr="0017647C">
        <w:rPr>
          <w:rFonts w:ascii="Times New Roman" w:hAnsi="Times New Roman" w:cs="Times New Roman"/>
          <w:color w:val="auto"/>
        </w:rPr>
        <w:t xml:space="preserve">Rezerwy celowe </w:t>
      </w:r>
      <w:r w:rsidR="000B75A0" w:rsidRPr="0017647C">
        <w:rPr>
          <w:rFonts w:ascii="Times New Roman" w:hAnsi="Times New Roman" w:cs="Times New Roman"/>
          <w:color w:val="auto"/>
        </w:rPr>
        <w:t xml:space="preserve">i odpisy aktualizujące </w:t>
      </w:r>
      <w:r w:rsidRPr="0017647C">
        <w:rPr>
          <w:rFonts w:ascii="Times New Roman" w:hAnsi="Times New Roman" w:cs="Times New Roman"/>
          <w:color w:val="auto"/>
        </w:rPr>
        <w:t xml:space="preserve">tworzy się w ciężar kosztów. </w:t>
      </w:r>
    </w:p>
    <w:p w14:paraId="24A7F376" w14:textId="77777777" w:rsidR="002C50F6" w:rsidRPr="0017647C" w:rsidRDefault="00E81BF6" w:rsidP="00151E8A">
      <w:pPr>
        <w:spacing w:after="0" w:line="276" w:lineRule="auto"/>
        <w:ind w:left="-5" w:right="8"/>
        <w:rPr>
          <w:rFonts w:ascii="Times New Roman" w:hAnsi="Times New Roman" w:cs="Times New Roman"/>
          <w:color w:val="auto"/>
        </w:rPr>
      </w:pPr>
      <w:r w:rsidRPr="0017647C">
        <w:rPr>
          <w:rFonts w:ascii="Times New Roman" w:hAnsi="Times New Roman" w:cs="Times New Roman"/>
          <w:color w:val="auto"/>
        </w:rPr>
        <w:t xml:space="preserve">Rezerwy celowe </w:t>
      </w:r>
      <w:r w:rsidR="000B75A0" w:rsidRPr="0017647C">
        <w:rPr>
          <w:rFonts w:ascii="Times New Roman" w:hAnsi="Times New Roman" w:cs="Times New Roman"/>
          <w:color w:val="auto"/>
        </w:rPr>
        <w:t xml:space="preserve">i odpisy aktualizujące </w:t>
      </w:r>
      <w:r w:rsidRPr="0017647C">
        <w:rPr>
          <w:rFonts w:ascii="Times New Roman" w:hAnsi="Times New Roman" w:cs="Times New Roman"/>
          <w:color w:val="auto"/>
        </w:rPr>
        <w:t xml:space="preserve">rozwiązuje się po wygaśnięciu przyczyn ich utworzenia. </w:t>
      </w:r>
    </w:p>
    <w:p w14:paraId="5A33B1F5" w14:textId="77777777" w:rsidR="00DA3110" w:rsidRPr="0017647C" w:rsidRDefault="00DA3110" w:rsidP="00151E8A">
      <w:pPr>
        <w:spacing w:after="0" w:line="276" w:lineRule="auto"/>
        <w:ind w:left="-5" w:right="8"/>
        <w:rPr>
          <w:rFonts w:ascii="Times New Roman" w:hAnsi="Times New Roman" w:cs="Times New Roman"/>
          <w:color w:val="auto"/>
        </w:rPr>
      </w:pPr>
      <w:r w:rsidRPr="0017647C">
        <w:rPr>
          <w:rFonts w:ascii="Times New Roman" w:hAnsi="Times New Roman" w:cs="Times New Roman"/>
          <w:color w:val="auto"/>
        </w:rPr>
        <w:lastRenderedPageBreak/>
        <w:t>Rozwiązanie części lub całości rezerw celowych</w:t>
      </w:r>
      <w:r w:rsidR="000B75A0" w:rsidRPr="0017647C">
        <w:rPr>
          <w:rFonts w:ascii="Times New Roman" w:hAnsi="Times New Roman" w:cs="Times New Roman"/>
          <w:color w:val="auto"/>
        </w:rPr>
        <w:t xml:space="preserve"> i odpisów aktualizujących</w:t>
      </w:r>
      <w:r w:rsidRPr="0017647C">
        <w:rPr>
          <w:rFonts w:ascii="Times New Roman" w:hAnsi="Times New Roman" w:cs="Times New Roman"/>
          <w:color w:val="auto"/>
        </w:rPr>
        <w:t xml:space="preserve"> następuje po wygaśnięciu przyczyn ich utworzenia, to znaczy w przypadku:</w:t>
      </w:r>
    </w:p>
    <w:p w14:paraId="0C3EF7C6" w14:textId="77777777" w:rsidR="00DA3110" w:rsidRPr="0017647C" w:rsidRDefault="00DA3110" w:rsidP="00774977">
      <w:pPr>
        <w:numPr>
          <w:ilvl w:val="0"/>
          <w:numId w:val="41"/>
        </w:numPr>
        <w:spacing w:before="120" w:after="0" w:line="276" w:lineRule="auto"/>
        <w:ind w:right="0"/>
        <w:rPr>
          <w:rFonts w:ascii="Times New Roman" w:hAnsi="Times New Roman" w:cs="Times New Roman"/>
          <w:color w:val="auto"/>
        </w:rPr>
      </w:pPr>
      <w:r w:rsidRPr="0017647C">
        <w:rPr>
          <w:rFonts w:ascii="Times New Roman" w:hAnsi="Times New Roman" w:cs="Times New Roman"/>
          <w:color w:val="auto"/>
        </w:rPr>
        <w:t>zmniejszenia kwoty ekspozycji kredytowej;</w:t>
      </w:r>
    </w:p>
    <w:p w14:paraId="66B40C64" w14:textId="77777777" w:rsidR="00DA3110" w:rsidRPr="0017647C" w:rsidRDefault="00DA3110" w:rsidP="00774977">
      <w:pPr>
        <w:numPr>
          <w:ilvl w:val="0"/>
          <w:numId w:val="41"/>
        </w:numPr>
        <w:spacing w:before="120" w:after="0" w:line="276" w:lineRule="auto"/>
        <w:ind w:right="0"/>
        <w:rPr>
          <w:rFonts w:ascii="Times New Roman" w:hAnsi="Times New Roman" w:cs="Times New Roman"/>
          <w:color w:val="auto"/>
        </w:rPr>
      </w:pPr>
      <w:r w:rsidRPr="0017647C">
        <w:rPr>
          <w:rFonts w:ascii="Times New Roman" w:hAnsi="Times New Roman" w:cs="Times New Roman"/>
          <w:color w:val="auto"/>
        </w:rPr>
        <w:t>zmiany klasyfikacji ekspozycji kredytowej do niższej kategorii ryzyka;</w:t>
      </w:r>
    </w:p>
    <w:p w14:paraId="244C51A4" w14:textId="77777777" w:rsidR="00DA3110" w:rsidRPr="0017647C" w:rsidRDefault="00DA3110" w:rsidP="00774977">
      <w:pPr>
        <w:numPr>
          <w:ilvl w:val="0"/>
          <w:numId w:val="41"/>
        </w:numPr>
        <w:spacing w:before="120" w:after="0" w:line="276" w:lineRule="auto"/>
        <w:ind w:right="0"/>
        <w:rPr>
          <w:rFonts w:ascii="Times New Roman" w:hAnsi="Times New Roman" w:cs="Times New Roman"/>
          <w:color w:val="auto"/>
        </w:rPr>
      </w:pPr>
      <w:r w:rsidRPr="0017647C">
        <w:rPr>
          <w:rFonts w:ascii="Times New Roman" w:hAnsi="Times New Roman" w:cs="Times New Roman"/>
          <w:color w:val="auto"/>
        </w:rPr>
        <w:t>wzrostu wartości zabezpieczenia lub ustanowienia dodatkowego zabezpieczenia wymienionego;</w:t>
      </w:r>
    </w:p>
    <w:p w14:paraId="1EE4B6FA" w14:textId="77777777" w:rsidR="00151E8A" w:rsidRPr="0017647C" w:rsidRDefault="00151E8A" w:rsidP="00774977">
      <w:pPr>
        <w:numPr>
          <w:ilvl w:val="0"/>
          <w:numId w:val="41"/>
        </w:numPr>
        <w:spacing w:before="120" w:after="0" w:line="276" w:lineRule="auto"/>
        <w:ind w:right="0"/>
        <w:rPr>
          <w:rFonts w:ascii="Times New Roman" w:hAnsi="Times New Roman" w:cs="Times New Roman"/>
          <w:color w:val="auto"/>
        </w:rPr>
      </w:pPr>
      <w:r w:rsidRPr="0017647C">
        <w:rPr>
          <w:rFonts w:ascii="Times New Roman" w:hAnsi="Times New Roman" w:cs="Times New Roman"/>
          <w:color w:val="auto"/>
        </w:rPr>
        <w:t>wzrostu wartości rezerwy na ryzyko ogólne.</w:t>
      </w:r>
    </w:p>
    <w:p w14:paraId="474C69B7" w14:textId="77777777" w:rsidR="00151E8A" w:rsidRPr="0017647C" w:rsidRDefault="00151E8A" w:rsidP="00151E8A">
      <w:pPr>
        <w:spacing w:after="0" w:line="276" w:lineRule="auto"/>
        <w:ind w:left="-5" w:right="7"/>
        <w:rPr>
          <w:rFonts w:ascii="Times New Roman" w:hAnsi="Times New Roman" w:cs="Times New Roman"/>
          <w:i/>
          <w:color w:val="auto"/>
        </w:rPr>
      </w:pPr>
    </w:p>
    <w:p w14:paraId="62691F51" w14:textId="77777777" w:rsidR="002C50F6" w:rsidRPr="0017647C" w:rsidRDefault="00E81BF6" w:rsidP="00F364C8">
      <w:pPr>
        <w:spacing w:after="120" w:line="276" w:lineRule="auto"/>
        <w:ind w:left="-6" w:right="6" w:hanging="11"/>
        <w:rPr>
          <w:rFonts w:ascii="Times New Roman" w:hAnsi="Times New Roman" w:cs="Times New Roman"/>
          <w:color w:val="auto"/>
        </w:rPr>
      </w:pPr>
      <w:r w:rsidRPr="0017647C">
        <w:rPr>
          <w:rFonts w:ascii="Times New Roman" w:hAnsi="Times New Roman" w:cs="Times New Roman"/>
          <w:i/>
          <w:color w:val="auto"/>
        </w:rPr>
        <w:t>Odpowiedzialność za monitorowanie i dokonywanie klasyfikacji ekspozycji kredytowych</w:t>
      </w:r>
    </w:p>
    <w:p w14:paraId="75E343A2" w14:textId="77777777" w:rsidR="00DA3110" w:rsidRPr="0017647C" w:rsidRDefault="00DA3110" w:rsidP="00151E8A">
      <w:pPr>
        <w:spacing w:after="0" w:line="276" w:lineRule="auto"/>
        <w:ind w:right="0"/>
        <w:rPr>
          <w:rFonts w:ascii="Times New Roman" w:hAnsi="Times New Roman" w:cs="Times New Roman"/>
          <w:color w:val="auto"/>
        </w:rPr>
      </w:pPr>
      <w:r w:rsidRPr="0017647C">
        <w:rPr>
          <w:rFonts w:ascii="Times New Roman" w:hAnsi="Times New Roman" w:cs="Times New Roman"/>
          <w:color w:val="auto"/>
        </w:rPr>
        <w:t xml:space="preserve">Czynności wykonywane w ramach klasyfikacji ekspozycji kredytowych i tworzenia rezerw celowych </w:t>
      </w:r>
      <w:r w:rsidR="000B75A0" w:rsidRPr="0017647C">
        <w:rPr>
          <w:rFonts w:ascii="Times New Roman" w:hAnsi="Times New Roman" w:cs="Times New Roman"/>
          <w:color w:val="auto"/>
        </w:rPr>
        <w:t xml:space="preserve">oraz odpisów aktualizujących </w:t>
      </w:r>
      <w:r w:rsidRPr="0017647C">
        <w:rPr>
          <w:rFonts w:ascii="Times New Roman" w:hAnsi="Times New Roman" w:cs="Times New Roman"/>
          <w:color w:val="auto"/>
        </w:rPr>
        <w:t xml:space="preserve">są ściśle związane z monitoringiem klientów oraz monitoringiem przyjętych przez Bank zabezpieczeń. </w:t>
      </w:r>
    </w:p>
    <w:p w14:paraId="2AA69C8F" w14:textId="79015E99" w:rsidR="00DA3110" w:rsidRPr="0017647C" w:rsidRDefault="00DA3110" w:rsidP="00151E8A">
      <w:pPr>
        <w:spacing w:after="0" w:line="276" w:lineRule="auto"/>
        <w:ind w:right="0"/>
        <w:rPr>
          <w:rFonts w:ascii="Times New Roman" w:hAnsi="Times New Roman" w:cs="Times New Roman"/>
          <w:color w:val="auto"/>
        </w:rPr>
      </w:pPr>
      <w:r w:rsidRPr="0017647C">
        <w:rPr>
          <w:rFonts w:ascii="Times New Roman" w:hAnsi="Times New Roman" w:cs="Times New Roman"/>
          <w:color w:val="auto"/>
        </w:rPr>
        <w:t>Klasyfikacja ekspozycji kredytowych ze względu na terminowość spłat dokonywana jest ostatniego dnia roboczego każdego miesiąca automatycznie w systemie ewid</w:t>
      </w:r>
      <w:r w:rsidR="006F0D80">
        <w:rPr>
          <w:rFonts w:ascii="Times New Roman" w:hAnsi="Times New Roman" w:cs="Times New Roman"/>
          <w:color w:val="auto"/>
        </w:rPr>
        <w:t xml:space="preserve">encyjno-księgowym </w:t>
      </w:r>
      <w:proofErr w:type="spellStart"/>
      <w:r w:rsidR="006F0D80">
        <w:rPr>
          <w:rFonts w:ascii="Times New Roman" w:hAnsi="Times New Roman" w:cs="Times New Roman"/>
          <w:color w:val="auto"/>
        </w:rPr>
        <w:t>def</w:t>
      </w:r>
      <w:r w:rsidRPr="0017647C">
        <w:rPr>
          <w:rFonts w:ascii="Times New Roman" w:hAnsi="Times New Roman" w:cs="Times New Roman"/>
          <w:color w:val="auto"/>
        </w:rPr>
        <w:t>Bank</w:t>
      </w:r>
      <w:proofErr w:type="spellEnd"/>
      <w:r w:rsidR="006F0D80">
        <w:rPr>
          <w:rFonts w:ascii="Times New Roman" w:hAnsi="Times New Roman" w:cs="Times New Roman"/>
          <w:color w:val="auto"/>
        </w:rPr>
        <w:t>-Pro</w:t>
      </w:r>
      <w:r w:rsidRPr="0017647C">
        <w:rPr>
          <w:rFonts w:ascii="Times New Roman" w:hAnsi="Times New Roman" w:cs="Times New Roman"/>
          <w:color w:val="auto"/>
        </w:rPr>
        <w:t xml:space="preserve">. Wyznaczony pracownik Zespołu </w:t>
      </w:r>
      <w:r w:rsidR="006F0D80">
        <w:rPr>
          <w:rFonts w:ascii="Times New Roman" w:hAnsi="Times New Roman" w:cs="Times New Roman"/>
          <w:color w:val="auto"/>
        </w:rPr>
        <w:t>Monitoringu i Windykacji</w:t>
      </w:r>
      <w:r w:rsidRPr="0017647C">
        <w:rPr>
          <w:rFonts w:ascii="Times New Roman" w:hAnsi="Times New Roman" w:cs="Times New Roman"/>
          <w:color w:val="auto"/>
        </w:rPr>
        <w:t xml:space="preserve"> sprawdza prawidłowość klasyfikacji ze względu na kryterium terminowości. </w:t>
      </w:r>
    </w:p>
    <w:p w14:paraId="3228960A" w14:textId="300CA6BC" w:rsidR="00343E14" w:rsidRPr="0017647C" w:rsidRDefault="00343E14" w:rsidP="00343E14">
      <w:pPr>
        <w:spacing w:after="0" w:line="276" w:lineRule="auto"/>
        <w:ind w:right="0"/>
        <w:rPr>
          <w:rFonts w:ascii="Times New Roman" w:hAnsi="Times New Roman" w:cs="Times New Roman"/>
          <w:color w:val="auto"/>
          <w:szCs w:val="24"/>
        </w:rPr>
      </w:pPr>
      <w:r w:rsidRPr="0017647C">
        <w:rPr>
          <w:rFonts w:ascii="Times New Roman" w:hAnsi="Times New Roman" w:cs="Times New Roman"/>
          <w:color w:val="auto"/>
          <w:szCs w:val="24"/>
        </w:rPr>
        <w:t xml:space="preserve">Zadania związane z monitorowaniem klientów ze względu na ich sytuację ekonomiczno-finansową, przygotowaniem propozycji klasyfikacji ekspozycji kredytowych i ustalaniem poziomu rezerw realizowane są przez wyznaczonych pracowników Zespołu </w:t>
      </w:r>
      <w:r w:rsidR="006F0D80">
        <w:rPr>
          <w:rFonts w:ascii="Times New Roman" w:hAnsi="Times New Roman" w:cs="Times New Roman"/>
          <w:color w:val="auto"/>
          <w:szCs w:val="24"/>
        </w:rPr>
        <w:t>Monitoringu i Windykacji</w:t>
      </w:r>
      <w:r w:rsidRPr="0017647C">
        <w:rPr>
          <w:rFonts w:ascii="Times New Roman" w:hAnsi="Times New Roman" w:cs="Times New Roman"/>
          <w:color w:val="auto"/>
          <w:szCs w:val="24"/>
        </w:rPr>
        <w:t xml:space="preserve">. Decyzje w sprawie klasyfikacji ze względu na sytuację ekonomiczno-finansową dłużnika oraz utworzenia rezerw celowych i odpisów aktualizujących należności związanych z ekspozycjami kredytowymi podejmuje Dyrektor Zespołu </w:t>
      </w:r>
      <w:r w:rsidR="006F0D80">
        <w:rPr>
          <w:rFonts w:ascii="Times New Roman" w:hAnsi="Times New Roman" w:cs="Times New Roman"/>
          <w:color w:val="auto"/>
          <w:szCs w:val="24"/>
        </w:rPr>
        <w:t>Monitoringu i Windykacji</w:t>
      </w:r>
      <w:r w:rsidRPr="0017647C">
        <w:rPr>
          <w:rFonts w:ascii="Times New Roman" w:hAnsi="Times New Roman" w:cs="Times New Roman"/>
          <w:color w:val="auto"/>
          <w:szCs w:val="24"/>
        </w:rPr>
        <w:t xml:space="preserve"> lub Członek Zarządu. Decyzje w sprawie zastosowania pomniejszenia podstawy tworzenia rezerw podejmuje Zarząd. </w:t>
      </w:r>
    </w:p>
    <w:p w14:paraId="5A10DEAA" w14:textId="77777777" w:rsidR="00343E14" w:rsidRPr="00065790" w:rsidRDefault="00343E14" w:rsidP="00343E14">
      <w:pPr>
        <w:spacing w:after="0" w:line="276" w:lineRule="auto"/>
        <w:ind w:right="0"/>
        <w:rPr>
          <w:rFonts w:ascii="Times New Roman" w:hAnsi="Times New Roman" w:cs="Times New Roman"/>
          <w:color w:val="FF0000"/>
          <w:szCs w:val="24"/>
        </w:rPr>
      </w:pPr>
    </w:p>
    <w:p w14:paraId="136E76F4" w14:textId="77777777" w:rsidR="002C50F6" w:rsidRPr="0017647C" w:rsidRDefault="00E81BF6">
      <w:pPr>
        <w:pStyle w:val="Nagwek2"/>
        <w:spacing w:after="224"/>
        <w:ind w:left="-5" w:right="7"/>
        <w:rPr>
          <w:rFonts w:ascii="Times New Roman" w:hAnsi="Times New Roman" w:cs="Times New Roman"/>
          <w:color w:val="auto"/>
        </w:rPr>
      </w:pPr>
      <w:bookmarkStart w:id="41" w:name="_Toc75336271"/>
      <w:r w:rsidRPr="0017647C">
        <w:rPr>
          <w:rFonts w:ascii="Times New Roman" w:hAnsi="Times New Roman" w:cs="Times New Roman"/>
          <w:color w:val="auto"/>
        </w:rPr>
        <w:t>9.3. Całkowita kwota ekspozycji po rozliczeniu równoważących się transakcji i bez uwzględnienia skutków ograniczenia ryzyka kredytowego, a także średnia kwota ekspozycji w danym okresie z podziałem na różne kategorie ekspozycji</w:t>
      </w:r>
      <w:bookmarkEnd w:id="41"/>
    </w:p>
    <w:p w14:paraId="4F9C09FB" w14:textId="77777777" w:rsidR="0017647C" w:rsidRPr="007F07EA" w:rsidRDefault="0017647C" w:rsidP="0017647C">
      <w:pPr>
        <w:spacing w:after="3" w:line="259" w:lineRule="auto"/>
        <w:ind w:left="-5" w:right="0"/>
        <w:jc w:val="left"/>
        <w:rPr>
          <w:rFonts w:ascii="Times New Roman" w:hAnsi="Times New Roman" w:cs="Times New Roman"/>
          <w:i/>
          <w:color w:val="auto"/>
          <w:sz w:val="20"/>
        </w:rPr>
      </w:pPr>
      <w:r w:rsidRPr="007F07EA">
        <w:rPr>
          <w:rFonts w:ascii="Times New Roman" w:hAnsi="Times New Roman" w:cs="Times New Roman"/>
          <w:i/>
          <w:color w:val="auto"/>
          <w:sz w:val="20"/>
        </w:rPr>
        <w:t>Tabela – kwoty ekspozycji w podziale na klasy ekspozycji – 31.12.20</w:t>
      </w:r>
      <w:r>
        <w:rPr>
          <w:rFonts w:ascii="Times New Roman" w:hAnsi="Times New Roman" w:cs="Times New Roman"/>
          <w:i/>
          <w:color w:val="auto"/>
          <w:sz w:val="20"/>
        </w:rPr>
        <w:t>20</w:t>
      </w:r>
      <w:r w:rsidRPr="007F07EA">
        <w:rPr>
          <w:rFonts w:ascii="Times New Roman" w:hAnsi="Times New Roman" w:cs="Times New Roman"/>
          <w:i/>
          <w:color w:val="auto"/>
          <w:sz w:val="20"/>
        </w:rPr>
        <w:t xml:space="preserve"> r. (w tys. zł)</w:t>
      </w:r>
    </w:p>
    <w:p w14:paraId="3037CD68" w14:textId="77777777" w:rsidR="0017647C" w:rsidRPr="007F07EA" w:rsidRDefault="0017647C" w:rsidP="0017647C">
      <w:pPr>
        <w:spacing w:after="3" w:line="259" w:lineRule="auto"/>
        <w:ind w:left="-5" w:right="0"/>
        <w:jc w:val="left"/>
        <w:rPr>
          <w:rFonts w:ascii="Times New Roman" w:hAnsi="Times New Roman" w:cs="Times New Roman"/>
          <w:i/>
          <w:color w:val="auto"/>
          <w:sz w:val="20"/>
        </w:rPr>
      </w:pPr>
    </w:p>
    <w:tbl>
      <w:tblPr>
        <w:tblW w:w="8400" w:type="dxa"/>
        <w:tblCellMar>
          <w:left w:w="70" w:type="dxa"/>
          <w:right w:w="70" w:type="dxa"/>
        </w:tblCellMar>
        <w:tblLook w:val="04A0" w:firstRow="1" w:lastRow="0" w:firstColumn="1" w:lastColumn="0" w:noHBand="0" w:noVBand="1"/>
      </w:tblPr>
      <w:tblGrid>
        <w:gridCol w:w="4420"/>
        <w:gridCol w:w="1200"/>
        <w:gridCol w:w="1200"/>
        <w:gridCol w:w="1580"/>
      </w:tblGrid>
      <w:tr w:rsidR="0017647C" w:rsidRPr="00257E9B" w14:paraId="104346C3" w14:textId="77777777" w:rsidTr="0001194F">
        <w:trPr>
          <w:trHeight w:val="648"/>
        </w:trPr>
        <w:tc>
          <w:tcPr>
            <w:tcW w:w="4420" w:type="dxa"/>
            <w:vMerge w:val="restart"/>
            <w:tcBorders>
              <w:top w:val="single" w:sz="8" w:space="0" w:color="000000"/>
              <w:left w:val="single" w:sz="8" w:space="0" w:color="000000"/>
              <w:bottom w:val="single" w:sz="8" w:space="0" w:color="000000"/>
              <w:right w:val="single" w:sz="8" w:space="0" w:color="000000"/>
            </w:tcBorders>
            <w:shd w:val="clear" w:color="000000" w:fill="BDD7EE"/>
            <w:vAlign w:val="center"/>
            <w:hideMark/>
          </w:tcPr>
          <w:p w14:paraId="67CFE5D9" w14:textId="77777777" w:rsidR="0017647C" w:rsidRPr="00257E9B" w:rsidRDefault="0017647C" w:rsidP="0001194F">
            <w:pPr>
              <w:spacing w:after="0" w:line="240" w:lineRule="auto"/>
              <w:ind w:left="0" w:right="0" w:firstLine="0"/>
              <w:jc w:val="center"/>
              <w:rPr>
                <w:rFonts w:ascii="Times New Roman" w:eastAsia="Times New Roman" w:hAnsi="Times New Roman" w:cs="Times New Roman"/>
                <w:b/>
                <w:bCs/>
                <w:color w:val="auto"/>
                <w:sz w:val="22"/>
              </w:rPr>
            </w:pPr>
            <w:r w:rsidRPr="00257E9B">
              <w:rPr>
                <w:rFonts w:ascii="Times New Roman" w:eastAsia="Times New Roman" w:hAnsi="Times New Roman" w:cs="Times New Roman"/>
                <w:b/>
                <w:bCs/>
                <w:color w:val="auto"/>
                <w:sz w:val="22"/>
              </w:rPr>
              <w:t>Klasa ekspozycji</w:t>
            </w:r>
          </w:p>
        </w:tc>
        <w:tc>
          <w:tcPr>
            <w:tcW w:w="3980" w:type="dxa"/>
            <w:gridSpan w:val="3"/>
            <w:tcBorders>
              <w:top w:val="single" w:sz="8" w:space="0" w:color="000000"/>
              <w:left w:val="nil"/>
              <w:bottom w:val="single" w:sz="8" w:space="0" w:color="000000"/>
              <w:right w:val="single" w:sz="8" w:space="0" w:color="000000"/>
            </w:tcBorders>
            <w:shd w:val="clear" w:color="000000" w:fill="BDD7EE"/>
            <w:vAlign w:val="center"/>
            <w:hideMark/>
          </w:tcPr>
          <w:p w14:paraId="2DB19238" w14:textId="77777777" w:rsidR="0017647C" w:rsidRPr="00257E9B" w:rsidRDefault="0017647C" w:rsidP="0001194F">
            <w:pPr>
              <w:spacing w:after="0" w:line="240" w:lineRule="auto"/>
              <w:ind w:left="0" w:right="0" w:firstLine="0"/>
              <w:jc w:val="center"/>
              <w:rPr>
                <w:rFonts w:ascii="Times New Roman" w:eastAsia="Times New Roman" w:hAnsi="Times New Roman" w:cs="Times New Roman"/>
                <w:b/>
                <w:bCs/>
                <w:color w:val="auto"/>
                <w:sz w:val="22"/>
              </w:rPr>
            </w:pPr>
            <w:r w:rsidRPr="00257E9B">
              <w:rPr>
                <w:rFonts w:ascii="Times New Roman" w:eastAsia="Times New Roman" w:hAnsi="Times New Roman" w:cs="Times New Roman"/>
                <w:b/>
                <w:bCs/>
                <w:color w:val="auto"/>
                <w:sz w:val="22"/>
              </w:rPr>
              <w:t>Ekspozycja po odliczeniu korekt wartości i rezerw</w:t>
            </w:r>
          </w:p>
        </w:tc>
      </w:tr>
      <w:tr w:rsidR="0017647C" w:rsidRPr="00257E9B" w14:paraId="50902913" w14:textId="77777777" w:rsidTr="0001194F">
        <w:trPr>
          <w:trHeight w:val="564"/>
        </w:trPr>
        <w:tc>
          <w:tcPr>
            <w:tcW w:w="4420" w:type="dxa"/>
            <w:vMerge/>
            <w:tcBorders>
              <w:top w:val="single" w:sz="8" w:space="0" w:color="000000"/>
              <w:left w:val="single" w:sz="8" w:space="0" w:color="000000"/>
              <w:bottom w:val="single" w:sz="8" w:space="0" w:color="000000"/>
              <w:right w:val="single" w:sz="8" w:space="0" w:color="000000"/>
            </w:tcBorders>
            <w:vAlign w:val="center"/>
            <w:hideMark/>
          </w:tcPr>
          <w:p w14:paraId="7FFE6733" w14:textId="77777777" w:rsidR="0017647C" w:rsidRPr="00257E9B" w:rsidRDefault="0017647C" w:rsidP="0001194F">
            <w:pPr>
              <w:spacing w:after="0" w:line="240" w:lineRule="auto"/>
              <w:ind w:left="0" w:right="0" w:firstLine="0"/>
              <w:jc w:val="left"/>
              <w:rPr>
                <w:rFonts w:ascii="Times New Roman" w:eastAsia="Times New Roman" w:hAnsi="Times New Roman" w:cs="Times New Roman"/>
                <w:b/>
                <w:bCs/>
                <w:color w:val="auto"/>
                <w:sz w:val="22"/>
              </w:rPr>
            </w:pPr>
          </w:p>
        </w:tc>
        <w:tc>
          <w:tcPr>
            <w:tcW w:w="1200" w:type="dxa"/>
            <w:tcBorders>
              <w:top w:val="nil"/>
              <w:left w:val="nil"/>
              <w:bottom w:val="single" w:sz="8" w:space="0" w:color="000000"/>
              <w:right w:val="single" w:sz="8" w:space="0" w:color="000000"/>
            </w:tcBorders>
            <w:shd w:val="clear" w:color="000000" w:fill="BDD7EE"/>
            <w:vAlign w:val="center"/>
            <w:hideMark/>
          </w:tcPr>
          <w:p w14:paraId="5DCA10DA" w14:textId="77777777" w:rsidR="0017647C" w:rsidRPr="00257E9B" w:rsidRDefault="0017647C" w:rsidP="0001194F">
            <w:pPr>
              <w:spacing w:after="0" w:line="240" w:lineRule="auto"/>
              <w:ind w:left="0" w:right="0" w:firstLine="0"/>
              <w:jc w:val="center"/>
              <w:rPr>
                <w:rFonts w:ascii="Times New Roman" w:eastAsia="Times New Roman" w:hAnsi="Times New Roman" w:cs="Times New Roman"/>
                <w:b/>
                <w:bCs/>
                <w:color w:val="auto"/>
                <w:sz w:val="22"/>
              </w:rPr>
            </w:pPr>
            <w:r w:rsidRPr="00257E9B">
              <w:rPr>
                <w:rFonts w:ascii="Times New Roman" w:eastAsia="Times New Roman" w:hAnsi="Times New Roman" w:cs="Times New Roman"/>
                <w:b/>
                <w:bCs/>
                <w:color w:val="auto"/>
                <w:sz w:val="22"/>
              </w:rPr>
              <w:t>2020</w:t>
            </w:r>
          </w:p>
        </w:tc>
        <w:tc>
          <w:tcPr>
            <w:tcW w:w="1200" w:type="dxa"/>
            <w:tcBorders>
              <w:top w:val="nil"/>
              <w:left w:val="nil"/>
              <w:bottom w:val="single" w:sz="8" w:space="0" w:color="000000"/>
              <w:right w:val="single" w:sz="8" w:space="0" w:color="000000"/>
            </w:tcBorders>
            <w:shd w:val="clear" w:color="000000" w:fill="BDD7EE"/>
            <w:vAlign w:val="center"/>
            <w:hideMark/>
          </w:tcPr>
          <w:p w14:paraId="2BF568D1" w14:textId="77777777" w:rsidR="0017647C" w:rsidRPr="00257E9B" w:rsidRDefault="0017647C" w:rsidP="0001194F">
            <w:pPr>
              <w:spacing w:after="0" w:line="240" w:lineRule="auto"/>
              <w:ind w:left="0" w:right="0" w:firstLine="0"/>
              <w:jc w:val="center"/>
              <w:rPr>
                <w:rFonts w:ascii="Times New Roman" w:eastAsia="Times New Roman" w:hAnsi="Times New Roman" w:cs="Times New Roman"/>
                <w:b/>
                <w:bCs/>
                <w:color w:val="auto"/>
                <w:sz w:val="22"/>
              </w:rPr>
            </w:pPr>
            <w:r w:rsidRPr="00257E9B">
              <w:rPr>
                <w:rFonts w:ascii="Times New Roman" w:eastAsia="Times New Roman" w:hAnsi="Times New Roman" w:cs="Times New Roman"/>
                <w:b/>
                <w:bCs/>
                <w:color w:val="auto"/>
                <w:sz w:val="22"/>
              </w:rPr>
              <w:t>2019</w:t>
            </w:r>
          </w:p>
        </w:tc>
        <w:tc>
          <w:tcPr>
            <w:tcW w:w="1580" w:type="dxa"/>
            <w:tcBorders>
              <w:top w:val="nil"/>
              <w:left w:val="nil"/>
              <w:bottom w:val="single" w:sz="8" w:space="0" w:color="000000"/>
              <w:right w:val="single" w:sz="8" w:space="0" w:color="000000"/>
            </w:tcBorders>
            <w:shd w:val="clear" w:color="000000" w:fill="BDD7EE"/>
            <w:vAlign w:val="center"/>
            <w:hideMark/>
          </w:tcPr>
          <w:p w14:paraId="00C2E9CE" w14:textId="77777777" w:rsidR="0017647C" w:rsidRPr="00257E9B" w:rsidRDefault="0017647C" w:rsidP="0001194F">
            <w:pPr>
              <w:spacing w:after="0" w:line="240" w:lineRule="auto"/>
              <w:ind w:left="0" w:right="0" w:firstLine="0"/>
              <w:jc w:val="center"/>
              <w:rPr>
                <w:rFonts w:ascii="Times New Roman" w:eastAsia="Times New Roman" w:hAnsi="Times New Roman" w:cs="Times New Roman"/>
                <w:b/>
                <w:bCs/>
                <w:color w:val="auto"/>
                <w:sz w:val="22"/>
              </w:rPr>
            </w:pPr>
            <w:r w:rsidRPr="00257E9B">
              <w:rPr>
                <w:rFonts w:ascii="Times New Roman" w:eastAsia="Times New Roman" w:hAnsi="Times New Roman" w:cs="Times New Roman"/>
                <w:b/>
                <w:bCs/>
                <w:color w:val="auto"/>
                <w:sz w:val="22"/>
              </w:rPr>
              <w:t>Średnia kwota ekspozycji</w:t>
            </w:r>
          </w:p>
        </w:tc>
      </w:tr>
      <w:tr w:rsidR="0017647C" w:rsidRPr="00257E9B" w14:paraId="00943105" w14:textId="77777777" w:rsidTr="0001194F">
        <w:trPr>
          <w:trHeight w:val="564"/>
        </w:trPr>
        <w:tc>
          <w:tcPr>
            <w:tcW w:w="4420" w:type="dxa"/>
            <w:tcBorders>
              <w:top w:val="nil"/>
              <w:left w:val="single" w:sz="8" w:space="0" w:color="000000"/>
              <w:bottom w:val="single" w:sz="8" w:space="0" w:color="000000"/>
              <w:right w:val="single" w:sz="8" w:space="0" w:color="000000"/>
            </w:tcBorders>
            <w:shd w:val="clear" w:color="auto" w:fill="auto"/>
            <w:vAlign w:val="center"/>
            <w:hideMark/>
          </w:tcPr>
          <w:p w14:paraId="4584A24F" w14:textId="77777777" w:rsidR="0017647C" w:rsidRPr="00257E9B" w:rsidRDefault="0017647C" w:rsidP="0001194F">
            <w:pPr>
              <w:spacing w:after="0" w:line="240" w:lineRule="auto"/>
              <w:ind w:left="0" w:right="0" w:firstLine="0"/>
              <w:jc w:val="lef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Ekspozycje wobec rządów centralnych lub banków centralnych</w:t>
            </w:r>
          </w:p>
        </w:tc>
        <w:tc>
          <w:tcPr>
            <w:tcW w:w="1200" w:type="dxa"/>
            <w:tcBorders>
              <w:top w:val="nil"/>
              <w:left w:val="nil"/>
              <w:bottom w:val="single" w:sz="8" w:space="0" w:color="000000"/>
              <w:right w:val="single" w:sz="8" w:space="0" w:color="000000"/>
            </w:tcBorders>
            <w:shd w:val="clear" w:color="auto" w:fill="auto"/>
            <w:vAlign w:val="center"/>
            <w:hideMark/>
          </w:tcPr>
          <w:p w14:paraId="0C537EEE"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213 761</w:t>
            </w:r>
          </w:p>
        </w:tc>
        <w:tc>
          <w:tcPr>
            <w:tcW w:w="1200" w:type="dxa"/>
            <w:tcBorders>
              <w:top w:val="nil"/>
              <w:left w:val="nil"/>
              <w:bottom w:val="single" w:sz="8" w:space="0" w:color="000000"/>
              <w:right w:val="single" w:sz="8" w:space="0" w:color="000000"/>
            </w:tcBorders>
            <w:shd w:val="clear" w:color="auto" w:fill="auto"/>
            <w:vAlign w:val="center"/>
            <w:hideMark/>
          </w:tcPr>
          <w:p w14:paraId="7A3915D9"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145 825</w:t>
            </w:r>
          </w:p>
        </w:tc>
        <w:tc>
          <w:tcPr>
            <w:tcW w:w="1580" w:type="dxa"/>
            <w:tcBorders>
              <w:top w:val="nil"/>
              <w:left w:val="nil"/>
              <w:bottom w:val="single" w:sz="8" w:space="0" w:color="000000"/>
              <w:right w:val="single" w:sz="8" w:space="0" w:color="000000"/>
            </w:tcBorders>
            <w:shd w:val="clear" w:color="auto" w:fill="auto"/>
            <w:vAlign w:val="center"/>
            <w:hideMark/>
          </w:tcPr>
          <w:p w14:paraId="7B08182B"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179 793</w:t>
            </w:r>
          </w:p>
        </w:tc>
      </w:tr>
      <w:tr w:rsidR="0017647C" w:rsidRPr="00257E9B" w14:paraId="4AB6D901" w14:textId="77777777" w:rsidTr="0017647C">
        <w:trPr>
          <w:trHeight w:val="564"/>
        </w:trPr>
        <w:tc>
          <w:tcPr>
            <w:tcW w:w="4420" w:type="dxa"/>
            <w:tcBorders>
              <w:top w:val="nil"/>
              <w:left w:val="single" w:sz="8" w:space="0" w:color="000000"/>
              <w:bottom w:val="single" w:sz="8" w:space="0" w:color="000000"/>
              <w:right w:val="single" w:sz="8" w:space="0" w:color="000000"/>
            </w:tcBorders>
            <w:shd w:val="clear" w:color="auto" w:fill="auto"/>
            <w:vAlign w:val="center"/>
            <w:hideMark/>
          </w:tcPr>
          <w:p w14:paraId="502948FC" w14:textId="77777777" w:rsidR="0017647C" w:rsidRPr="00257E9B" w:rsidRDefault="0017647C" w:rsidP="0001194F">
            <w:pPr>
              <w:spacing w:after="0" w:line="240" w:lineRule="auto"/>
              <w:ind w:left="0" w:right="0" w:firstLine="0"/>
              <w:jc w:val="lef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Ekspozycje wobec samorządów regionalnych lub władz lokalnych</w:t>
            </w:r>
          </w:p>
        </w:tc>
        <w:tc>
          <w:tcPr>
            <w:tcW w:w="1200" w:type="dxa"/>
            <w:tcBorders>
              <w:top w:val="nil"/>
              <w:left w:val="nil"/>
              <w:bottom w:val="single" w:sz="8" w:space="0" w:color="000000"/>
              <w:right w:val="single" w:sz="8" w:space="0" w:color="000000"/>
            </w:tcBorders>
            <w:shd w:val="clear" w:color="auto" w:fill="auto"/>
            <w:vAlign w:val="center"/>
            <w:hideMark/>
          </w:tcPr>
          <w:p w14:paraId="5AE1BFEA"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70 168</w:t>
            </w:r>
          </w:p>
        </w:tc>
        <w:tc>
          <w:tcPr>
            <w:tcW w:w="1200" w:type="dxa"/>
            <w:tcBorders>
              <w:top w:val="nil"/>
              <w:left w:val="nil"/>
              <w:bottom w:val="single" w:sz="8" w:space="0" w:color="000000"/>
              <w:right w:val="single" w:sz="8" w:space="0" w:color="000000"/>
            </w:tcBorders>
            <w:shd w:val="clear" w:color="auto" w:fill="auto"/>
            <w:vAlign w:val="center"/>
            <w:hideMark/>
          </w:tcPr>
          <w:p w14:paraId="218C6D8B"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73 974</w:t>
            </w:r>
          </w:p>
        </w:tc>
        <w:tc>
          <w:tcPr>
            <w:tcW w:w="1580" w:type="dxa"/>
            <w:tcBorders>
              <w:top w:val="nil"/>
              <w:left w:val="nil"/>
              <w:bottom w:val="single" w:sz="8" w:space="0" w:color="000000"/>
              <w:right w:val="single" w:sz="8" w:space="0" w:color="000000"/>
            </w:tcBorders>
            <w:shd w:val="clear" w:color="auto" w:fill="auto"/>
            <w:vAlign w:val="center"/>
            <w:hideMark/>
          </w:tcPr>
          <w:p w14:paraId="235338CD"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72 071</w:t>
            </w:r>
          </w:p>
        </w:tc>
      </w:tr>
      <w:tr w:rsidR="0017647C" w:rsidRPr="00257E9B" w14:paraId="1ADF41AF" w14:textId="77777777" w:rsidTr="0017647C">
        <w:trPr>
          <w:trHeight w:val="564"/>
        </w:trPr>
        <w:tc>
          <w:tcPr>
            <w:tcW w:w="44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AFCE9B" w14:textId="77777777" w:rsidR="0017647C" w:rsidRPr="00257E9B" w:rsidRDefault="0017647C" w:rsidP="0001194F">
            <w:pPr>
              <w:spacing w:after="0" w:line="240" w:lineRule="auto"/>
              <w:ind w:left="0" w:right="0" w:firstLine="0"/>
              <w:jc w:val="lef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lastRenderedPageBreak/>
              <w:t>Ekspozycje wobec podmiotów sektora publicznego</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6A9608F1"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5</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18E1F054"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30</w:t>
            </w:r>
          </w:p>
        </w:tc>
        <w:tc>
          <w:tcPr>
            <w:tcW w:w="1580" w:type="dxa"/>
            <w:tcBorders>
              <w:top w:val="single" w:sz="8" w:space="0" w:color="000000"/>
              <w:left w:val="nil"/>
              <w:bottom w:val="single" w:sz="8" w:space="0" w:color="000000"/>
              <w:right w:val="single" w:sz="8" w:space="0" w:color="000000"/>
            </w:tcBorders>
            <w:shd w:val="clear" w:color="auto" w:fill="auto"/>
            <w:vAlign w:val="center"/>
            <w:hideMark/>
          </w:tcPr>
          <w:p w14:paraId="2ECD73C6"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17</w:t>
            </w:r>
          </w:p>
        </w:tc>
      </w:tr>
      <w:tr w:rsidR="0017647C" w:rsidRPr="00257E9B" w14:paraId="15B07D88" w14:textId="77777777" w:rsidTr="0001194F">
        <w:trPr>
          <w:trHeight w:val="300"/>
        </w:trPr>
        <w:tc>
          <w:tcPr>
            <w:tcW w:w="4420" w:type="dxa"/>
            <w:tcBorders>
              <w:top w:val="nil"/>
              <w:left w:val="single" w:sz="8" w:space="0" w:color="000000"/>
              <w:bottom w:val="single" w:sz="8" w:space="0" w:color="000000"/>
              <w:right w:val="single" w:sz="8" w:space="0" w:color="000000"/>
            </w:tcBorders>
            <w:shd w:val="clear" w:color="auto" w:fill="auto"/>
            <w:vAlign w:val="center"/>
            <w:hideMark/>
          </w:tcPr>
          <w:p w14:paraId="01E78662" w14:textId="77777777" w:rsidR="0017647C" w:rsidRPr="00257E9B" w:rsidRDefault="0017647C" w:rsidP="0001194F">
            <w:pPr>
              <w:spacing w:after="0" w:line="240" w:lineRule="auto"/>
              <w:ind w:left="0" w:right="0" w:firstLine="0"/>
              <w:jc w:val="lef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Ekspozycje wobec instytucji</w:t>
            </w:r>
          </w:p>
        </w:tc>
        <w:tc>
          <w:tcPr>
            <w:tcW w:w="1200" w:type="dxa"/>
            <w:tcBorders>
              <w:top w:val="nil"/>
              <w:left w:val="nil"/>
              <w:bottom w:val="single" w:sz="8" w:space="0" w:color="000000"/>
              <w:right w:val="single" w:sz="8" w:space="0" w:color="000000"/>
            </w:tcBorders>
            <w:shd w:val="clear" w:color="auto" w:fill="auto"/>
            <w:vAlign w:val="center"/>
            <w:hideMark/>
          </w:tcPr>
          <w:p w14:paraId="2A1B0CBC"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50 200</w:t>
            </w:r>
          </w:p>
        </w:tc>
        <w:tc>
          <w:tcPr>
            <w:tcW w:w="1200" w:type="dxa"/>
            <w:tcBorders>
              <w:top w:val="nil"/>
              <w:left w:val="nil"/>
              <w:bottom w:val="single" w:sz="8" w:space="0" w:color="000000"/>
              <w:right w:val="single" w:sz="8" w:space="0" w:color="000000"/>
            </w:tcBorders>
            <w:shd w:val="clear" w:color="auto" w:fill="auto"/>
            <w:vAlign w:val="center"/>
            <w:hideMark/>
          </w:tcPr>
          <w:p w14:paraId="6AC44570"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79 704</w:t>
            </w:r>
          </w:p>
        </w:tc>
        <w:tc>
          <w:tcPr>
            <w:tcW w:w="1580" w:type="dxa"/>
            <w:tcBorders>
              <w:top w:val="nil"/>
              <w:left w:val="nil"/>
              <w:bottom w:val="single" w:sz="8" w:space="0" w:color="000000"/>
              <w:right w:val="single" w:sz="8" w:space="0" w:color="000000"/>
            </w:tcBorders>
            <w:shd w:val="clear" w:color="auto" w:fill="auto"/>
            <w:vAlign w:val="center"/>
            <w:hideMark/>
          </w:tcPr>
          <w:p w14:paraId="06A8D2ED"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64 952</w:t>
            </w:r>
          </w:p>
        </w:tc>
      </w:tr>
      <w:tr w:rsidR="0017647C" w:rsidRPr="00257E9B" w14:paraId="304980E4" w14:textId="77777777" w:rsidTr="0001194F">
        <w:trPr>
          <w:trHeight w:val="300"/>
        </w:trPr>
        <w:tc>
          <w:tcPr>
            <w:tcW w:w="4420" w:type="dxa"/>
            <w:tcBorders>
              <w:top w:val="nil"/>
              <w:left w:val="single" w:sz="8" w:space="0" w:color="000000"/>
              <w:bottom w:val="single" w:sz="8" w:space="0" w:color="000000"/>
              <w:right w:val="single" w:sz="8" w:space="0" w:color="000000"/>
            </w:tcBorders>
            <w:shd w:val="clear" w:color="auto" w:fill="auto"/>
            <w:vAlign w:val="center"/>
            <w:hideMark/>
          </w:tcPr>
          <w:p w14:paraId="2ECC7D0F" w14:textId="77777777" w:rsidR="0017647C" w:rsidRPr="00257E9B" w:rsidRDefault="0017647C" w:rsidP="0001194F">
            <w:pPr>
              <w:spacing w:after="0" w:line="240" w:lineRule="auto"/>
              <w:ind w:left="0" w:right="0" w:firstLine="0"/>
              <w:jc w:val="lef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Ekspozycje wobec przedsiębiorstw</w:t>
            </w:r>
          </w:p>
        </w:tc>
        <w:tc>
          <w:tcPr>
            <w:tcW w:w="1200" w:type="dxa"/>
            <w:tcBorders>
              <w:top w:val="nil"/>
              <w:left w:val="nil"/>
              <w:bottom w:val="single" w:sz="8" w:space="0" w:color="000000"/>
              <w:right w:val="single" w:sz="8" w:space="0" w:color="000000"/>
            </w:tcBorders>
            <w:shd w:val="clear" w:color="auto" w:fill="auto"/>
            <w:vAlign w:val="center"/>
            <w:hideMark/>
          </w:tcPr>
          <w:p w14:paraId="75E67A31"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36 854</w:t>
            </w:r>
          </w:p>
        </w:tc>
        <w:tc>
          <w:tcPr>
            <w:tcW w:w="1200" w:type="dxa"/>
            <w:tcBorders>
              <w:top w:val="nil"/>
              <w:left w:val="nil"/>
              <w:bottom w:val="single" w:sz="8" w:space="0" w:color="000000"/>
              <w:right w:val="single" w:sz="8" w:space="0" w:color="000000"/>
            </w:tcBorders>
            <w:shd w:val="clear" w:color="auto" w:fill="auto"/>
            <w:vAlign w:val="center"/>
            <w:hideMark/>
          </w:tcPr>
          <w:p w14:paraId="25EAB086"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26 455</w:t>
            </w:r>
          </w:p>
        </w:tc>
        <w:tc>
          <w:tcPr>
            <w:tcW w:w="1580" w:type="dxa"/>
            <w:tcBorders>
              <w:top w:val="nil"/>
              <w:left w:val="nil"/>
              <w:bottom w:val="single" w:sz="8" w:space="0" w:color="000000"/>
              <w:right w:val="single" w:sz="8" w:space="0" w:color="000000"/>
            </w:tcBorders>
            <w:shd w:val="clear" w:color="auto" w:fill="auto"/>
            <w:vAlign w:val="center"/>
            <w:hideMark/>
          </w:tcPr>
          <w:p w14:paraId="3782CEEF"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31 654</w:t>
            </w:r>
          </w:p>
        </w:tc>
      </w:tr>
      <w:tr w:rsidR="0017647C" w:rsidRPr="00257E9B" w14:paraId="02A3B31C" w14:textId="77777777" w:rsidTr="0001194F">
        <w:trPr>
          <w:trHeight w:val="300"/>
        </w:trPr>
        <w:tc>
          <w:tcPr>
            <w:tcW w:w="4420" w:type="dxa"/>
            <w:tcBorders>
              <w:top w:val="nil"/>
              <w:left w:val="single" w:sz="8" w:space="0" w:color="000000"/>
              <w:bottom w:val="single" w:sz="8" w:space="0" w:color="000000"/>
              <w:right w:val="single" w:sz="8" w:space="0" w:color="000000"/>
            </w:tcBorders>
            <w:shd w:val="clear" w:color="auto" w:fill="auto"/>
            <w:vAlign w:val="center"/>
            <w:hideMark/>
          </w:tcPr>
          <w:p w14:paraId="0EE26B0C" w14:textId="77777777" w:rsidR="0017647C" w:rsidRPr="00257E9B" w:rsidRDefault="0017647C" w:rsidP="0001194F">
            <w:pPr>
              <w:spacing w:after="0" w:line="240" w:lineRule="auto"/>
              <w:ind w:left="0" w:right="0" w:firstLine="0"/>
              <w:jc w:val="lef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Ekspozycje detaliczne</w:t>
            </w:r>
          </w:p>
        </w:tc>
        <w:tc>
          <w:tcPr>
            <w:tcW w:w="1200" w:type="dxa"/>
            <w:tcBorders>
              <w:top w:val="nil"/>
              <w:left w:val="nil"/>
              <w:bottom w:val="single" w:sz="8" w:space="0" w:color="000000"/>
              <w:right w:val="single" w:sz="8" w:space="0" w:color="000000"/>
            </w:tcBorders>
            <w:shd w:val="clear" w:color="auto" w:fill="auto"/>
            <w:vAlign w:val="center"/>
            <w:hideMark/>
          </w:tcPr>
          <w:p w14:paraId="1F315206"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245 766</w:t>
            </w:r>
          </w:p>
        </w:tc>
        <w:tc>
          <w:tcPr>
            <w:tcW w:w="1200" w:type="dxa"/>
            <w:tcBorders>
              <w:top w:val="nil"/>
              <w:left w:val="nil"/>
              <w:bottom w:val="single" w:sz="8" w:space="0" w:color="000000"/>
              <w:right w:val="single" w:sz="8" w:space="0" w:color="000000"/>
            </w:tcBorders>
            <w:shd w:val="clear" w:color="auto" w:fill="auto"/>
            <w:vAlign w:val="center"/>
            <w:hideMark/>
          </w:tcPr>
          <w:p w14:paraId="42247F87"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227 340</w:t>
            </w:r>
          </w:p>
        </w:tc>
        <w:tc>
          <w:tcPr>
            <w:tcW w:w="1580" w:type="dxa"/>
            <w:tcBorders>
              <w:top w:val="nil"/>
              <w:left w:val="nil"/>
              <w:bottom w:val="single" w:sz="8" w:space="0" w:color="000000"/>
              <w:right w:val="single" w:sz="8" w:space="0" w:color="000000"/>
            </w:tcBorders>
            <w:shd w:val="clear" w:color="auto" w:fill="auto"/>
            <w:vAlign w:val="center"/>
            <w:hideMark/>
          </w:tcPr>
          <w:p w14:paraId="0D3D4599"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236 553</w:t>
            </w:r>
          </w:p>
        </w:tc>
      </w:tr>
      <w:tr w:rsidR="0017647C" w:rsidRPr="00257E9B" w14:paraId="0EE855F7" w14:textId="77777777" w:rsidTr="0001194F">
        <w:trPr>
          <w:trHeight w:val="564"/>
        </w:trPr>
        <w:tc>
          <w:tcPr>
            <w:tcW w:w="4420" w:type="dxa"/>
            <w:tcBorders>
              <w:top w:val="nil"/>
              <w:left w:val="single" w:sz="8" w:space="0" w:color="000000"/>
              <w:bottom w:val="single" w:sz="8" w:space="0" w:color="000000"/>
              <w:right w:val="single" w:sz="8" w:space="0" w:color="000000"/>
            </w:tcBorders>
            <w:shd w:val="clear" w:color="auto" w:fill="auto"/>
            <w:vAlign w:val="center"/>
            <w:hideMark/>
          </w:tcPr>
          <w:p w14:paraId="5D1AF94F" w14:textId="77777777" w:rsidR="0017647C" w:rsidRPr="00257E9B" w:rsidRDefault="0017647C" w:rsidP="0001194F">
            <w:pPr>
              <w:spacing w:after="0" w:line="240" w:lineRule="auto"/>
              <w:ind w:left="0" w:right="0" w:firstLine="0"/>
              <w:jc w:val="lef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Ekspozycje zabezpieczone hipotekami na nieruchomościach</w:t>
            </w:r>
          </w:p>
        </w:tc>
        <w:tc>
          <w:tcPr>
            <w:tcW w:w="1200" w:type="dxa"/>
            <w:tcBorders>
              <w:top w:val="nil"/>
              <w:left w:val="nil"/>
              <w:bottom w:val="single" w:sz="8" w:space="0" w:color="000000"/>
              <w:right w:val="single" w:sz="8" w:space="0" w:color="000000"/>
            </w:tcBorders>
            <w:shd w:val="clear" w:color="auto" w:fill="auto"/>
            <w:vAlign w:val="center"/>
            <w:hideMark/>
          </w:tcPr>
          <w:p w14:paraId="6EDB381F"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158 639</w:t>
            </w:r>
          </w:p>
        </w:tc>
        <w:tc>
          <w:tcPr>
            <w:tcW w:w="1200" w:type="dxa"/>
            <w:tcBorders>
              <w:top w:val="nil"/>
              <w:left w:val="nil"/>
              <w:bottom w:val="single" w:sz="8" w:space="0" w:color="000000"/>
              <w:right w:val="single" w:sz="8" w:space="0" w:color="000000"/>
            </w:tcBorders>
            <w:shd w:val="clear" w:color="auto" w:fill="auto"/>
            <w:vAlign w:val="center"/>
            <w:hideMark/>
          </w:tcPr>
          <w:p w14:paraId="6B04E7BC"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165 476</w:t>
            </w:r>
          </w:p>
        </w:tc>
        <w:tc>
          <w:tcPr>
            <w:tcW w:w="1580" w:type="dxa"/>
            <w:tcBorders>
              <w:top w:val="nil"/>
              <w:left w:val="nil"/>
              <w:bottom w:val="single" w:sz="8" w:space="0" w:color="000000"/>
              <w:right w:val="single" w:sz="8" w:space="0" w:color="000000"/>
            </w:tcBorders>
            <w:shd w:val="clear" w:color="auto" w:fill="auto"/>
            <w:vAlign w:val="center"/>
            <w:hideMark/>
          </w:tcPr>
          <w:p w14:paraId="363AF57C"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162 057</w:t>
            </w:r>
          </w:p>
        </w:tc>
      </w:tr>
      <w:tr w:rsidR="0017647C" w:rsidRPr="00257E9B" w14:paraId="353C1AD2" w14:textId="77777777" w:rsidTr="0001194F">
        <w:trPr>
          <w:trHeight w:val="564"/>
        </w:trPr>
        <w:tc>
          <w:tcPr>
            <w:tcW w:w="4420" w:type="dxa"/>
            <w:tcBorders>
              <w:top w:val="nil"/>
              <w:left w:val="single" w:sz="8" w:space="0" w:color="000000"/>
              <w:bottom w:val="single" w:sz="8" w:space="0" w:color="000000"/>
              <w:right w:val="single" w:sz="8" w:space="0" w:color="000000"/>
            </w:tcBorders>
            <w:shd w:val="clear" w:color="auto" w:fill="auto"/>
            <w:vAlign w:val="center"/>
            <w:hideMark/>
          </w:tcPr>
          <w:p w14:paraId="023695E3" w14:textId="77777777" w:rsidR="0017647C" w:rsidRPr="00257E9B" w:rsidRDefault="0017647C" w:rsidP="0001194F">
            <w:pPr>
              <w:spacing w:after="0" w:line="240" w:lineRule="auto"/>
              <w:ind w:left="0" w:right="0" w:firstLine="0"/>
              <w:jc w:val="lef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Ekspozycje, których dotyczy niewykonanie zobowiązania</w:t>
            </w:r>
          </w:p>
        </w:tc>
        <w:tc>
          <w:tcPr>
            <w:tcW w:w="1200" w:type="dxa"/>
            <w:tcBorders>
              <w:top w:val="nil"/>
              <w:left w:val="nil"/>
              <w:bottom w:val="single" w:sz="8" w:space="0" w:color="000000"/>
              <w:right w:val="single" w:sz="8" w:space="0" w:color="000000"/>
            </w:tcBorders>
            <w:shd w:val="clear" w:color="auto" w:fill="auto"/>
            <w:vAlign w:val="center"/>
            <w:hideMark/>
          </w:tcPr>
          <w:p w14:paraId="0320DEF0"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1 486</w:t>
            </w:r>
          </w:p>
        </w:tc>
        <w:tc>
          <w:tcPr>
            <w:tcW w:w="1200" w:type="dxa"/>
            <w:tcBorders>
              <w:top w:val="nil"/>
              <w:left w:val="nil"/>
              <w:bottom w:val="single" w:sz="8" w:space="0" w:color="000000"/>
              <w:right w:val="single" w:sz="8" w:space="0" w:color="000000"/>
            </w:tcBorders>
            <w:shd w:val="clear" w:color="auto" w:fill="auto"/>
            <w:vAlign w:val="center"/>
            <w:hideMark/>
          </w:tcPr>
          <w:p w14:paraId="1F155CE2"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2 026</w:t>
            </w:r>
          </w:p>
        </w:tc>
        <w:tc>
          <w:tcPr>
            <w:tcW w:w="1580" w:type="dxa"/>
            <w:tcBorders>
              <w:top w:val="nil"/>
              <w:left w:val="nil"/>
              <w:bottom w:val="single" w:sz="8" w:space="0" w:color="000000"/>
              <w:right w:val="single" w:sz="8" w:space="0" w:color="000000"/>
            </w:tcBorders>
            <w:shd w:val="clear" w:color="auto" w:fill="auto"/>
            <w:vAlign w:val="center"/>
            <w:hideMark/>
          </w:tcPr>
          <w:p w14:paraId="1198FD5A"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1 756</w:t>
            </w:r>
          </w:p>
        </w:tc>
      </w:tr>
      <w:tr w:rsidR="0017647C" w:rsidRPr="00257E9B" w14:paraId="492D52C1" w14:textId="77777777" w:rsidTr="0001194F">
        <w:trPr>
          <w:trHeight w:val="564"/>
        </w:trPr>
        <w:tc>
          <w:tcPr>
            <w:tcW w:w="4420" w:type="dxa"/>
            <w:tcBorders>
              <w:top w:val="nil"/>
              <w:left w:val="single" w:sz="8" w:space="0" w:color="000000"/>
              <w:bottom w:val="single" w:sz="8" w:space="0" w:color="000000"/>
              <w:right w:val="single" w:sz="8" w:space="0" w:color="000000"/>
            </w:tcBorders>
            <w:shd w:val="clear" w:color="auto" w:fill="auto"/>
            <w:vAlign w:val="center"/>
            <w:hideMark/>
          </w:tcPr>
          <w:p w14:paraId="5DDDBBCF" w14:textId="77777777" w:rsidR="0017647C" w:rsidRPr="00257E9B" w:rsidRDefault="0017647C" w:rsidP="0001194F">
            <w:pPr>
              <w:spacing w:after="0" w:line="240" w:lineRule="auto"/>
              <w:ind w:left="0" w:right="0" w:firstLine="0"/>
              <w:jc w:val="lef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Ekspozycje związane ze szczególnie wysokim ryzykiem</w:t>
            </w:r>
          </w:p>
        </w:tc>
        <w:tc>
          <w:tcPr>
            <w:tcW w:w="1200" w:type="dxa"/>
            <w:tcBorders>
              <w:top w:val="nil"/>
              <w:left w:val="nil"/>
              <w:bottom w:val="single" w:sz="8" w:space="0" w:color="000000"/>
              <w:right w:val="single" w:sz="8" w:space="0" w:color="000000"/>
            </w:tcBorders>
            <w:shd w:val="clear" w:color="auto" w:fill="auto"/>
            <w:vAlign w:val="center"/>
            <w:hideMark/>
          </w:tcPr>
          <w:p w14:paraId="1E7AE605"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0</w:t>
            </w:r>
          </w:p>
        </w:tc>
        <w:tc>
          <w:tcPr>
            <w:tcW w:w="1200" w:type="dxa"/>
            <w:tcBorders>
              <w:top w:val="nil"/>
              <w:left w:val="nil"/>
              <w:bottom w:val="single" w:sz="8" w:space="0" w:color="000000"/>
              <w:right w:val="single" w:sz="8" w:space="0" w:color="000000"/>
            </w:tcBorders>
            <w:shd w:val="clear" w:color="auto" w:fill="auto"/>
            <w:vAlign w:val="center"/>
            <w:hideMark/>
          </w:tcPr>
          <w:p w14:paraId="6BD6FDEB"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0</w:t>
            </w:r>
          </w:p>
        </w:tc>
        <w:tc>
          <w:tcPr>
            <w:tcW w:w="1580" w:type="dxa"/>
            <w:tcBorders>
              <w:top w:val="nil"/>
              <w:left w:val="nil"/>
              <w:bottom w:val="single" w:sz="8" w:space="0" w:color="000000"/>
              <w:right w:val="single" w:sz="8" w:space="0" w:color="000000"/>
            </w:tcBorders>
            <w:shd w:val="clear" w:color="auto" w:fill="auto"/>
            <w:vAlign w:val="center"/>
            <w:hideMark/>
          </w:tcPr>
          <w:p w14:paraId="31D811BD"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0</w:t>
            </w:r>
          </w:p>
        </w:tc>
      </w:tr>
      <w:tr w:rsidR="0017647C" w:rsidRPr="00257E9B" w14:paraId="3964B4D1" w14:textId="77777777" w:rsidTr="0001194F">
        <w:trPr>
          <w:trHeight w:val="564"/>
        </w:trPr>
        <w:tc>
          <w:tcPr>
            <w:tcW w:w="4420" w:type="dxa"/>
            <w:tcBorders>
              <w:top w:val="nil"/>
              <w:left w:val="single" w:sz="8" w:space="0" w:color="000000"/>
              <w:bottom w:val="single" w:sz="8" w:space="0" w:color="000000"/>
              <w:right w:val="single" w:sz="8" w:space="0" w:color="000000"/>
            </w:tcBorders>
            <w:shd w:val="clear" w:color="auto" w:fill="auto"/>
            <w:vAlign w:val="center"/>
            <w:hideMark/>
          </w:tcPr>
          <w:p w14:paraId="6ACCA0CF" w14:textId="77777777" w:rsidR="0017647C" w:rsidRPr="00257E9B" w:rsidRDefault="0017647C" w:rsidP="0001194F">
            <w:pPr>
              <w:spacing w:after="0" w:line="240" w:lineRule="auto"/>
              <w:ind w:left="0" w:right="0" w:firstLine="0"/>
              <w:jc w:val="lef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Ekspozycje związane z przedsiębiorstwami zbiorowego inwestowania</w:t>
            </w:r>
          </w:p>
        </w:tc>
        <w:tc>
          <w:tcPr>
            <w:tcW w:w="1200" w:type="dxa"/>
            <w:tcBorders>
              <w:top w:val="nil"/>
              <w:left w:val="nil"/>
              <w:bottom w:val="single" w:sz="8" w:space="0" w:color="000000"/>
              <w:right w:val="single" w:sz="8" w:space="0" w:color="000000"/>
            </w:tcBorders>
            <w:shd w:val="clear" w:color="auto" w:fill="auto"/>
            <w:vAlign w:val="center"/>
            <w:hideMark/>
          </w:tcPr>
          <w:p w14:paraId="47421837"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0</w:t>
            </w:r>
          </w:p>
        </w:tc>
        <w:tc>
          <w:tcPr>
            <w:tcW w:w="1200" w:type="dxa"/>
            <w:tcBorders>
              <w:top w:val="nil"/>
              <w:left w:val="nil"/>
              <w:bottom w:val="single" w:sz="8" w:space="0" w:color="000000"/>
              <w:right w:val="single" w:sz="8" w:space="0" w:color="000000"/>
            </w:tcBorders>
            <w:shd w:val="clear" w:color="auto" w:fill="auto"/>
            <w:vAlign w:val="center"/>
            <w:hideMark/>
          </w:tcPr>
          <w:p w14:paraId="4DA7C8ED"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2 301</w:t>
            </w:r>
          </w:p>
        </w:tc>
        <w:tc>
          <w:tcPr>
            <w:tcW w:w="1580" w:type="dxa"/>
            <w:tcBorders>
              <w:top w:val="nil"/>
              <w:left w:val="nil"/>
              <w:bottom w:val="single" w:sz="8" w:space="0" w:color="000000"/>
              <w:right w:val="single" w:sz="8" w:space="0" w:color="000000"/>
            </w:tcBorders>
            <w:shd w:val="clear" w:color="auto" w:fill="auto"/>
            <w:vAlign w:val="center"/>
            <w:hideMark/>
          </w:tcPr>
          <w:p w14:paraId="38D408DC"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1 150</w:t>
            </w:r>
          </w:p>
        </w:tc>
      </w:tr>
      <w:tr w:rsidR="0017647C" w:rsidRPr="00257E9B" w14:paraId="1333E2B6" w14:textId="77777777" w:rsidTr="0001194F">
        <w:trPr>
          <w:trHeight w:val="300"/>
        </w:trPr>
        <w:tc>
          <w:tcPr>
            <w:tcW w:w="4420" w:type="dxa"/>
            <w:tcBorders>
              <w:top w:val="nil"/>
              <w:left w:val="single" w:sz="8" w:space="0" w:color="000000"/>
              <w:bottom w:val="single" w:sz="8" w:space="0" w:color="000000"/>
              <w:right w:val="single" w:sz="8" w:space="0" w:color="000000"/>
            </w:tcBorders>
            <w:shd w:val="clear" w:color="auto" w:fill="auto"/>
            <w:vAlign w:val="center"/>
            <w:hideMark/>
          </w:tcPr>
          <w:p w14:paraId="6779880C" w14:textId="77777777" w:rsidR="0017647C" w:rsidRPr="00257E9B" w:rsidRDefault="0017647C" w:rsidP="0001194F">
            <w:pPr>
              <w:spacing w:after="0" w:line="240" w:lineRule="auto"/>
              <w:ind w:left="0" w:right="0" w:firstLine="0"/>
              <w:jc w:val="lef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Ekspozycje kapitałowe</w:t>
            </w:r>
          </w:p>
        </w:tc>
        <w:tc>
          <w:tcPr>
            <w:tcW w:w="1200" w:type="dxa"/>
            <w:tcBorders>
              <w:top w:val="nil"/>
              <w:left w:val="nil"/>
              <w:bottom w:val="single" w:sz="8" w:space="0" w:color="000000"/>
              <w:right w:val="single" w:sz="8" w:space="0" w:color="000000"/>
            </w:tcBorders>
            <w:shd w:val="clear" w:color="auto" w:fill="auto"/>
            <w:vAlign w:val="center"/>
            <w:hideMark/>
          </w:tcPr>
          <w:p w14:paraId="3C651132"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6 300</w:t>
            </w:r>
          </w:p>
        </w:tc>
        <w:tc>
          <w:tcPr>
            <w:tcW w:w="1200" w:type="dxa"/>
            <w:tcBorders>
              <w:top w:val="nil"/>
              <w:left w:val="nil"/>
              <w:bottom w:val="single" w:sz="8" w:space="0" w:color="000000"/>
              <w:right w:val="single" w:sz="8" w:space="0" w:color="000000"/>
            </w:tcBorders>
            <w:shd w:val="clear" w:color="auto" w:fill="auto"/>
            <w:vAlign w:val="center"/>
            <w:hideMark/>
          </w:tcPr>
          <w:p w14:paraId="0C518708"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6 301</w:t>
            </w:r>
          </w:p>
        </w:tc>
        <w:tc>
          <w:tcPr>
            <w:tcW w:w="1580" w:type="dxa"/>
            <w:tcBorders>
              <w:top w:val="nil"/>
              <w:left w:val="nil"/>
              <w:bottom w:val="single" w:sz="8" w:space="0" w:color="000000"/>
              <w:right w:val="single" w:sz="8" w:space="0" w:color="000000"/>
            </w:tcBorders>
            <w:shd w:val="clear" w:color="auto" w:fill="auto"/>
            <w:vAlign w:val="center"/>
            <w:hideMark/>
          </w:tcPr>
          <w:p w14:paraId="2EB5E58B"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6 300</w:t>
            </w:r>
          </w:p>
        </w:tc>
      </w:tr>
      <w:tr w:rsidR="0017647C" w:rsidRPr="00257E9B" w14:paraId="18D2A26A" w14:textId="77777777" w:rsidTr="0001194F">
        <w:trPr>
          <w:trHeight w:val="300"/>
        </w:trPr>
        <w:tc>
          <w:tcPr>
            <w:tcW w:w="4420" w:type="dxa"/>
            <w:tcBorders>
              <w:top w:val="nil"/>
              <w:left w:val="single" w:sz="8" w:space="0" w:color="000000"/>
              <w:bottom w:val="single" w:sz="8" w:space="0" w:color="000000"/>
              <w:right w:val="single" w:sz="8" w:space="0" w:color="000000"/>
            </w:tcBorders>
            <w:shd w:val="clear" w:color="auto" w:fill="auto"/>
            <w:vAlign w:val="center"/>
            <w:hideMark/>
          </w:tcPr>
          <w:p w14:paraId="488D1218" w14:textId="77777777" w:rsidR="0017647C" w:rsidRPr="00257E9B" w:rsidRDefault="0017647C" w:rsidP="0001194F">
            <w:pPr>
              <w:spacing w:after="0" w:line="240" w:lineRule="auto"/>
              <w:ind w:left="0" w:right="0" w:firstLine="0"/>
              <w:jc w:val="lef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Inne pozycje</w:t>
            </w:r>
          </w:p>
        </w:tc>
        <w:tc>
          <w:tcPr>
            <w:tcW w:w="1200" w:type="dxa"/>
            <w:tcBorders>
              <w:top w:val="nil"/>
              <w:left w:val="nil"/>
              <w:bottom w:val="single" w:sz="8" w:space="0" w:color="000000"/>
              <w:right w:val="single" w:sz="8" w:space="0" w:color="000000"/>
            </w:tcBorders>
            <w:shd w:val="clear" w:color="auto" w:fill="auto"/>
            <w:vAlign w:val="center"/>
            <w:hideMark/>
          </w:tcPr>
          <w:p w14:paraId="66FC027A"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11 347</w:t>
            </w:r>
          </w:p>
        </w:tc>
        <w:tc>
          <w:tcPr>
            <w:tcW w:w="1200" w:type="dxa"/>
            <w:tcBorders>
              <w:top w:val="nil"/>
              <w:left w:val="nil"/>
              <w:bottom w:val="single" w:sz="8" w:space="0" w:color="000000"/>
              <w:right w:val="single" w:sz="8" w:space="0" w:color="000000"/>
            </w:tcBorders>
            <w:shd w:val="clear" w:color="auto" w:fill="auto"/>
            <w:vAlign w:val="center"/>
            <w:hideMark/>
          </w:tcPr>
          <w:p w14:paraId="6CF7E167"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10 633</w:t>
            </w:r>
          </w:p>
        </w:tc>
        <w:tc>
          <w:tcPr>
            <w:tcW w:w="1580" w:type="dxa"/>
            <w:tcBorders>
              <w:top w:val="nil"/>
              <w:left w:val="nil"/>
              <w:bottom w:val="single" w:sz="8" w:space="0" w:color="000000"/>
              <w:right w:val="single" w:sz="8" w:space="0" w:color="000000"/>
            </w:tcBorders>
            <w:shd w:val="clear" w:color="auto" w:fill="auto"/>
            <w:vAlign w:val="center"/>
            <w:hideMark/>
          </w:tcPr>
          <w:p w14:paraId="7C8F1983" w14:textId="77777777" w:rsidR="0017647C" w:rsidRPr="00257E9B" w:rsidRDefault="0017647C" w:rsidP="0001194F">
            <w:pPr>
              <w:spacing w:after="0" w:line="240" w:lineRule="auto"/>
              <w:ind w:left="0" w:right="0" w:firstLine="0"/>
              <w:jc w:val="right"/>
              <w:rPr>
                <w:rFonts w:ascii="Times New Roman" w:eastAsia="Times New Roman" w:hAnsi="Times New Roman" w:cs="Times New Roman"/>
                <w:color w:val="auto"/>
                <w:sz w:val="22"/>
              </w:rPr>
            </w:pPr>
            <w:r w:rsidRPr="00257E9B">
              <w:rPr>
                <w:rFonts w:ascii="Times New Roman" w:eastAsia="Times New Roman" w:hAnsi="Times New Roman" w:cs="Times New Roman"/>
                <w:color w:val="auto"/>
                <w:sz w:val="22"/>
              </w:rPr>
              <w:t>10 990</w:t>
            </w:r>
          </w:p>
        </w:tc>
      </w:tr>
    </w:tbl>
    <w:p w14:paraId="472D5033" w14:textId="77777777" w:rsidR="001B658B" w:rsidRPr="00065790" w:rsidRDefault="001B658B">
      <w:pPr>
        <w:spacing w:after="3" w:line="259" w:lineRule="auto"/>
        <w:ind w:left="-5" w:right="0"/>
        <w:jc w:val="left"/>
        <w:rPr>
          <w:rFonts w:ascii="Times New Roman" w:hAnsi="Times New Roman" w:cs="Times New Roman"/>
          <w:i/>
          <w:color w:val="FF0000"/>
          <w:sz w:val="20"/>
        </w:rPr>
      </w:pPr>
    </w:p>
    <w:p w14:paraId="7C056795" w14:textId="77777777" w:rsidR="00343E14" w:rsidRPr="00065790" w:rsidRDefault="00343E14">
      <w:pPr>
        <w:spacing w:after="3" w:line="259" w:lineRule="auto"/>
        <w:ind w:left="-5" w:right="0"/>
        <w:jc w:val="left"/>
        <w:rPr>
          <w:rFonts w:ascii="Times New Roman" w:hAnsi="Times New Roman" w:cs="Times New Roman"/>
          <w:i/>
          <w:color w:val="FF0000"/>
          <w:sz w:val="20"/>
        </w:rPr>
      </w:pPr>
    </w:p>
    <w:p w14:paraId="657EDB90" w14:textId="77777777" w:rsidR="002C50F6" w:rsidRPr="00DE424A" w:rsidRDefault="00E81BF6">
      <w:pPr>
        <w:pStyle w:val="Nagwek2"/>
        <w:ind w:left="-5" w:right="7"/>
        <w:rPr>
          <w:rFonts w:ascii="Times New Roman" w:hAnsi="Times New Roman" w:cs="Times New Roman"/>
          <w:color w:val="auto"/>
        </w:rPr>
      </w:pPr>
      <w:bookmarkStart w:id="42" w:name="_Toc75336272"/>
      <w:r w:rsidRPr="00DE424A">
        <w:rPr>
          <w:rFonts w:ascii="Times New Roman" w:hAnsi="Times New Roman" w:cs="Times New Roman"/>
          <w:color w:val="auto"/>
        </w:rPr>
        <w:t>9.4. Rozkład geograficzny ekspozycji w podziale na obszary ważne pod względem istotnych kategorii ekspozycji wraz z dodatko</w:t>
      </w:r>
      <w:r w:rsidR="00F364C8" w:rsidRPr="00DE424A">
        <w:rPr>
          <w:rFonts w:ascii="Times New Roman" w:hAnsi="Times New Roman" w:cs="Times New Roman"/>
          <w:color w:val="auto"/>
        </w:rPr>
        <w:t>wymi szczegółowymi podziałami w </w:t>
      </w:r>
      <w:r w:rsidRPr="00DE424A">
        <w:rPr>
          <w:rFonts w:ascii="Times New Roman" w:hAnsi="Times New Roman" w:cs="Times New Roman"/>
          <w:color w:val="auto"/>
        </w:rPr>
        <w:t>stosownych przypadkach</w:t>
      </w:r>
      <w:bookmarkEnd w:id="42"/>
    </w:p>
    <w:p w14:paraId="4EBA1D72" w14:textId="77777777" w:rsidR="002C50F6" w:rsidRPr="00DE424A" w:rsidRDefault="00E81BF6" w:rsidP="00C03332">
      <w:pPr>
        <w:spacing w:after="0" w:line="276" w:lineRule="auto"/>
        <w:ind w:left="-6" w:right="6" w:hanging="11"/>
        <w:rPr>
          <w:rFonts w:ascii="Times New Roman" w:hAnsi="Times New Roman" w:cs="Times New Roman"/>
          <w:color w:val="auto"/>
        </w:rPr>
      </w:pPr>
      <w:r w:rsidRPr="00DE424A">
        <w:rPr>
          <w:rFonts w:ascii="Times New Roman" w:hAnsi="Times New Roman" w:cs="Times New Roman"/>
          <w:color w:val="auto"/>
        </w:rPr>
        <w:t>Struktura geograficzna ekspozycji nie jest prezentowana, ponieważ Bank prowadzi działalność wyłącznie na terenie Rzeczypospolitej Polskiej.</w:t>
      </w:r>
    </w:p>
    <w:p w14:paraId="3BA24CA4" w14:textId="77777777" w:rsidR="00343E14" w:rsidRPr="00065790" w:rsidRDefault="00343E14" w:rsidP="00C03332">
      <w:pPr>
        <w:spacing w:after="0" w:line="276" w:lineRule="auto"/>
        <w:ind w:left="-6" w:right="6" w:hanging="11"/>
        <w:rPr>
          <w:rFonts w:ascii="Times New Roman" w:hAnsi="Times New Roman" w:cs="Times New Roman"/>
          <w:color w:val="FF0000"/>
        </w:rPr>
      </w:pPr>
    </w:p>
    <w:p w14:paraId="4167625F" w14:textId="77777777" w:rsidR="002C50F6" w:rsidRPr="00DE424A" w:rsidRDefault="00E81BF6">
      <w:pPr>
        <w:pStyle w:val="Nagwek2"/>
        <w:spacing w:after="224"/>
        <w:ind w:left="-5" w:right="7"/>
        <w:rPr>
          <w:rFonts w:ascii="Times New Roman" w:hAnsi="Times New Roman" w:cs="Times New Roman"/>
          <w:color w:val="auto"/>
        </w:rPr>
      </w:pPr>
      <w:bookmarkStart w:id="43" w:name="_Toc75336273"/>
      <w:r w:rsidRPr="00DE424A">
        <w:rPr>
          <w:rFonts w:ascii="Times New Roman" w:hAnsi="Times New Roman" w:cs="Times New Roman"/>
          <w:color w:val="auto"/>
        </w:rPr>
        <w:t xml:space="preserve">9.5. Rozkład ekspozycji w zależności od branży lub </w:t>
      </w:r>
      <w:r w:rsidR="00F364C8" w:rsidRPr="00DE424A">
        <w:rPr>
          <w:rFonts w:ascii="Times New Roman" w:hAnsi="Times New Roman" w:cs="Times New Roman"/>
          <w:color w:val="auto"/>
        </w:rPr>
        <w:t>typu kontrahenta z podziałem na </w:t>
      </w:r>
      <w:r w:rsidRPr="00DE424A">
        <w:rPr>
          <w:rFonts w:ascii="Times New Roman" w:hAnsi="Times New Roman" w:cs="Times New Roman"/>
          <w:color w:val="auto"/>
        </w:rPr>
        <w:t>kategorie ekspozycji, w tym określen</w:t>
      </w:r>
      <w:r w:rsidR="00F364C8" w:rsidRPr="00DE424A">
        <w:rPr>
          <w:rFonts w:ascii="Times New Roman" w:hAnsi="Times New Roman" w:cs="Times New Roman"/>
          <w:color w:val="auto"/>
        </w:rPr>
        <w:t>ie ekspozycji wobec MŚP, wraz z </w:t>
      </w:r>
      <w:r w:rsidRPr="00DE424A">
        <w:rPr>
          <w:rFonts w:ascii="Times New Roman" w:hAnsi="Times New Roman" w:cs="Times New Roman"/>
          <w:color w:val="auto"/>
        </w:rPr>
        <w:t>dodatkowymi szczegółowymi podziałami w stosownych przypadkach</w:t>
      </w:r>
      <w:bookmarkEnd w:id="43"/>
    </w:p>
    <w:p w14:paraId="3635ACC1" w14:textId="77777777" w:rsidR="00016279" w:rsidRPr="00DE424A" w:rsidRDefault="00016279" w:rsidP="00016279">
      <w:pPr>
        <w:spacing w:after="3" w:line="259" w:lineRule="auto"/>
        <w:ind w:left="-5" w:right="0"/>
        <w:jc w:val="left"/>
        <w:rPr>
          <w:rFonts w:ascii="Times New Roman" w:hAnsi="Times New Roman" w:cs="Times New Roman"/>
          <w:i/>
          <w:color w:val="auto"/>
          <w:sz w:val="20"/>
        </w:rPr>
      </w:pPr>
    </w:p>
    <w:p w14:paraId="694D6CFD" w14:textId="77777777" w:rsidR="004828F9" w:rsidRPr="00DE424A" w:rsidRDefault="004828F9" w:rsidP="004828F9">
      <w:pPr>
        <w:spacing w:after="0" w:line="276" w:lineRule="auto"/>
        <w:ind w:left="68" w:right="-170" w:hanging="11"/>
        <w:rPr>
          <w:rFonts w:ascii="Times New Roman" w:hAnsi="Times New Roman" w:cs="Times New Roman"/>
          <w:color w:val="auto"/>
          <w:szCs w:val="24"/>
        </w:rPr>
      </w:pPr>
      <w:bookmarkStart w:id="44" w:name="_Hlk13433828"/>
      <w:r w:rsidRPr="00DE424A">
        <w:rPr>
          <w:rFonts w:ascii="Times New Roman" w:hAnsi="Times New Roman" w:cs="Times New Roman"/>
          <w:color w:val="auto"/>
          <w:szCs w:val="24"/>
        </w:rPr>
        <w:t>Bank w ramach prowadzonej działalności kredytowej finansuje różne branże m.in. rolnictwo, handel, przetwórstwo przemysłowe, budownictwo, działalność związaną z obsługą rynku nieruchomości, działalność związaną z zakwaterowaniem, handel hurtowy i detaliczny, leśnictwo, rybactwo i wiele innych. W tabeli poniżej przedstawione zostały szczegółowe dane dotyczące ekspozycji kredytowych w podziale na branże.</w:t>
      </w:r>
    </w:p>
    <w:bookmarkEnd w:id="44"/>
    <w:p w14:paraId="5A5B0D3C" w14:textId="77777777" w:rsidR="004828F9" w:rsidRPr="00065790" w:rsidRDefault="004828F9" w:rsidP="004828F9">
      <w:pPr>
        <w:spacing w:after="3" w:line="259" w:lineRule="auto"/>
        <w:ind w:left="-5" w:right="0"/>
        <w:jc w:val="left"/>
        <w:rPr>
          <w:rFonts w:ascii="Times New Roman" w:hAnsi="Times New Roman" w:cs="Times New Roman"/>
          <w:i/>
          <w:color w:val="FF0000"/>
          <w:sz w:val="20"/>
        </w:rPr>
      </w:pPr>
    </w:p>
    <w:p w14:paraId="6936A330" w14:textId="77777777" w:rsidR="00DE424A" w:rsidRPr="007F07EA" w:rsidRDefault="00DE424A" w:rsidP="00DE424A">
      <w:pPr>
        <w:spacing w:after="3" w:line="259" w:lineRule="auto"/>
        <w:ind w:left="-5" w:right="0"/>
        <w:jc w:val="left"/>
        <w:rPr>
          <w:rFonts w:ascii="Times New Roman" w:hAnsi="Times New Roman" w:cs="Times New Roman"/>
          <w:i/>
          <w:color w:val="auto"/>
          <w:sz w:val="20"/>
        </w:rPr>
      </w:pPr>
      <w:r w:rsidRPr="007F07EA">
        <w:rPr>
          <w:rFonts w:ascii="Times New Roman" w:hAnsi="Times New Roman" w:cs="Times New Roman"/>
          <w:i/>
          <w:color w:val="auto"/>
          <w:sz w:val="20"/>
        </w:rPr>
        <w:t>Tabela – ekspozycje wg branż – 31.12.20</w:t>
      </w:r>
      <w:r>
        <w:rPr>
          <w:rFonts w:ascii="Times New Roman" w:hAnsi="Times New Roman" w:cs="Times New Roman"/>
          <w:i/>
          <w:color w:val="auto"/>
          <w:sz w:val="20"/>
        </w:rPr>
        <w:t>20</w:t>
      </w:r>
      <w:r w:rsidRPr="007F07EA">
        <w:rPr>
          <w:rFonts w:ascii="Times New Roman" w:hAnsi="Times New Roman" w:cs="Times New Roman"/>
          <w:i/>
          <w:color w:val="auto"/>
          <w:sz w:val="20"/>
        </w:rPr>
        <w:t xml:space="preserve"> r. (w tys. zł)</w:t>
      </w:r>
    </w:p>
    <w:tbl>
      <w:tblPr>
        <w:tblW w:w="7540" w:type="dxa"/>
        <w:tblCellMar>
          <w:left w:w="70" w:type="dxa"/>
          <w:right w:w="70" w:type="dxa"/>
        </w:tblCellMar>
        <w:tblLook w:val="04A0" w:firstRow="1" w:lastRow="0" w:firstColumn="1" w:lastColumn="0" w:noHBand="0" w:noVBand="1"/>
      </w:tblPr>
      <w:tblGrid>
        <w:gridCol w:w="4100"/>
        <w:gridCol w:w="1780"/>
        <w:gridCol w:w="1660"/>
      </w:tblGrid>
      <w:tr w:rsidR="00DE424A" w:rsidRPr="003B3407" w14:paraId="3FFA1BBF" w14:textId="77777777" w:rsidTr="0001194F">
        <w:trPr>
          <w:trHeight w:val="1332"/>
        </w:trPr>
        <w:tc>
          <w:tcPr>
            <w:tcW w:w="4100"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701F52D5"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b/>
                <w:bCs/>
                <w:color w:val="auto"/>
                <w:sz w:val="20"/>
                <w:szCs w:val="20"/>
              </w:rPr>
            </w:pPr>
            <w:r w:rsidRPr="003B3407">
              <w:rPr>
                <w:rFonts w:ascii="Times New Roman" w:eastAsia="Times New Roman" w:hAnsi="Times New Roman" w:cs="Times New Roman"/>
                <w:b/>
                <w:bCs/>
                <w:color w:val="auto"/>
                <w:sz w:val="20"/>
                <w:szCs w:val="20"/>
              </w:rPr>
              <w:t xml:space="preserve"> Branża gospodarki: </w:t>
            </w:r>
          </w:p>
        </w:tc>
        <w:tc>
          <w:tcPr>
            <w:tcW w:w="1780" w:type="dxa"/>
            <w:tcBorders>
              <w:top w:val="single" w:sz="8" w:space="0" w:color="auto"/>
              <w:left w:val="nil"/>
              <w:bottom w:val="single" w:sz="8" w:space="0" w:color="auto"/>
              <w:right w:val="single" w:sz="8" w:space="0" w:color="auto"/>
            </w:tcBorders>
            <w:shd w:val="clear" w:color="000000" w:fill="B4C6E7"/>
            <w:vAlign w:val="center"/>
            <w:hideMark/>
          </w:tcPr>
          <w:p w14:paraId="7CB9B2E1"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b/>
                <w:bCs/>
                <w:sz w:val="20"/>
                <w:szCs w:val="20"/>
              </w:rPr>
            </w:pPr>
            <w:r w:rsidRPr="003B3407">
              <w:rPr>
                <w:rFonts w:ascii="Times New Roman" w:eastAsia="Times New Roman" w:hAnsi="Times New Roman" w:cs="Times New Roman"/>
                <w:b/>
                <w:bCs/>
                <w:sz w:val="20"/>
                <w:szCs w:val="20"/>
              </w:rPr>
              <w:t xml:space="preserve"> wartość netto ekspozycji </w:t>
            </w:r>
          </w:p>
        </w:tc>
        <w:tc>
          <w:tcPr>
            <w:tcW w:w="1660" w:type="dxa"/>
            <w:tcBorders>
              <w:top w:val="single" w:sz="8" w:space="0" w:color="auto"/>
              <w:left w:val="nil"/>
              <w:bottom w:val="single" w:sz="8" w:space="0" w:color="auto"/>
              <w:right w:val="single" w:sz="8" w:space="0" w:color="auto"/>
            </w:tcBorders>
            <w:shd w:val="clear" w:color="000000" w:fill="B4C6E7"/>
            <w:vAlign w:val="center"/>
            <w:hideMark/>
          </w:tcPr>
          <w:p w14:paraId="7B106B87"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b/>
                <w:bCs/>
                <w:sz w:val="20"/>
                <w:szCs w:val="20"/>
              </w:rPr>
            </w:pPr>
            <w:r w:rsidRPr="003B3407">
              <w:rPr>
                <w:rFonts w:ascii="Times New Roman" w:eastAsia="Times New Roman" w:hAnsi="Times New Roman" w:cs="Times New Roman"/>
                <w:b/>
                <w:bCs/>
                <w:sz w:val="20"/>
                <w:szCs w:val="20"/>
              </w:rPr>
              <w:t>udział % w portfelu netto ogółem</w:t>
            </w:r>
          </w:p>
        </w:tc>
      </w:tr>
      <w:tr w:rsidR="00DE424A" w:rsidRPr="003B3407" w14:paraId="5355F874" w14:textId="77777777" w:rsidTr="0001194F">
        <w:trPr>
          <w:trHeight w:val="300"/>
        </w:trPr>
        <w:tc>
          <w:tcPr>
            <w:tcW w:w="4100" w:type="dxa"/>
            <w:tcBorders>
              <w:top w:val="nil"/>
              <w:left w:val="single" w:sz="8" w:space="0" w:color="auto"/>
              <w:bottom w:val="single" w:sz="8" w:space="0" w:color="auto"/>
              <w:right w:val="single" w:sz="8" w:space="0" w:color="auto"/>
            </w:tcBorders>
            <w:shd w:val="clear" w:color="000000" w:fill="FFFFFF"/>
            <w:vAlign w:val="center"/>
            <w:hideMark/>
          </w:tcPr>
          <w:p w14:paraId="7907320B" w14:textId="77777777" w:rsidR="00DE424A" w:rsidRPr="003B3407" w:rsidRDefault="00DE424A" w:rsidP="0001194F">
            <w:pPr>
              <w:spacing w:after="0" w:line="240" w:lineRule="auto"/>
              <w:ind w:left="0" w:right="0" w:firstLine="0"/>
              <w:jc w:val="left"/>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ADMINISTRACJA PUBLICZNA</w:t>
            </w:r>
          </w:p>
        </w:tc>
        <w:tc>
          <w:tcPr>
            <w:tcW w:w="1780" w:type="dxa"/>
            <w:tcBorders>
              <w:top w:val="nil"/>
              <w:left w:val="nil"/>
              <w:bottom w:val="single" w:sz="8" w:space="0" w:color="auto"/>
              <w:right w:val="single" w:sz="8" w:space="0" w:color="auto"/>
            </w:tcBorders>
            <w:shd w:val="clear" w:color="000000" w:fill="FFFFFF"/>
            <w:vAlign w:val="center"/>
            <w:hideMark/>
          </w:tcPr>
          <w:p w14:paraId="2417D106"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60 609,19</w:t>
            </w:r>
          </w:p>
        </w:tc>
        <w:tc>
          <w:tcPr>
            <w:tcW w:w="1660" w:type="dxa"/>
            <w:tcBorders>
              <w:top w:val="nil"/>
              <w:left w:val="nil"/>
              <w:bottom w:val="single" w:sz="8" w:space="0" w:color="auto"/>
              <w:right w:val="single" w:sz="8" w:space="0" w:color="auto"/>
            </w:tcBorders>
            <w:shd w:val="clear" w:color="000000" w:fill="FFFFFF"/>
            <w:noWrap/>
            <w:vAlign w:val="center"/>
            <w:hideMark/>
          </w:tcPr>
          <w:p w14:paraId="40BAA4ED"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9,33%</w:t>
            </w:r>
          </w:p>
        </w:tc>
      </w:tr>
      <w:tr w:rsidR="00DE424A" w:rsidRPr="003B3407" w14:paraId="347F94BD" w14:textId="77777777" w:rsidTr="00DE424A">
        <w:trPr>
          <w:trHeight w:val="300"/>
        </w:trPr>
        <w:tc>
          <w:tcPr>
            <w:tcW w:w="4100" w:type="dxa"/>
            <w:tcBorders>
              <w:top w:val="nil"/>
              <w:left w:val="single" w:sz="8" w:space="0" w:color="auto"/>
              <w:bottom w:val="single" w:sz="8" w:space="0" w:color="auto"/>
              <w:right w:val="single" w:sz="8" w:space="0" w:color="auto"/>
            </w:tcBorders>
            <w:shd w:val="clear" w:color="000000" w:fill="FFFFFF"/>
            <w:vAlign w:val="center"/>
            <w:hideMark/>
          </w:tcPr>
          <w:p w14:paraId="24296A9C" w14:textId="77777777" w:rsidR="00DE424A" w:rsidRPr="003B3407" w:rsidRDefault="00DE424A" w:rsidP="0001194F">
            <w:pPr>
              <w:spacing w:after="0" w:line="240" w:lineRule="auto"/>
              <w:ind w:left="0" w:right="0" w:firstLine="0"/>
              <w:jc w:val="left"/>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BUDOWNICTWO</w:t>
            </w:r>
          </w:p>
        </w:tc>
        <w:tc>
          <w:tcPr>
            <w:tcW w:w="1780" w:type="dxa"/>
            <w:tcBorders>
              <w:top w:val="nil"/>
              <w:left w:val="nil"/>
              <w:bottom w:val="single" w:sz="8" w:space="0" w:color="auto"/>
              <w:right w:val="single" w:sz="8" w:space="0" w:color="auto"/>
            </w:tcBorders>
            <w:shd w:val="clear" w:color="000000" w:fill="FFFFFF"/>
            <w:vAlign w:val="center"/>
            <w:hideMark/>
          </w:tcPr>
          <w:p w14:paraId="63EBAECC"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24 796,53</w:t>
            </w:r>
          </w:p>
        </w:tc>
        <w:tc>
          <w:tcPr>
            <w:tcW w:w="1660" w:type="dxa"/>
            <w:tcBorders>
              <w:top w:val="nil"/>
              <w:left w:val="nil"/>
              <w:bottom w:val="single" w:sz="8" w:space="0" w:color="auto"/>
              <w:right w:val="single" w:sz="8" w:space="0" w:color="auto"/>
            </w:tcBorders>
            <w:shd w:val="clear" w:color="000000" w:fill="FFFFFF"/>
            <w:noWrap/>
            <w:vAlign w:val="center"/>
            <w:hideMark/>
          </w:tcPr>
          <w:p w14:paraId="639DB6ED"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3,82%</w:t>
            </w:r>
          </w:p>
        </w:tc>
      </w:tr>
      <w:tr w:rsidR="00DE424A" w:rsidRPr="003B3407" w14:paraId="4F3C84C6" w14:textId="77777777" w:rsidTr="00DE424A">
        <w:trPr>
          <w:trHeight w:val="300"/>
        </w:trPr>
        <w:tc>
          <w:tcPr>
            <w:tcW w:w="41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D79ED0E" w14:textId="77777777" w:rsidR="00DE424A" w:rsidRPr="003B3407" w:rsidRDefault="00DE424A" w:rsidP="0001194F">
            <w:pPr>
              <w:spacing w:after="0" w:line="240" w:lineRule="auto"/>
              <w:ind w:left="0" w:right="0" w:firstLine="0"/>
              <w:jc w:val="left"/>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lastRenderedPageBreak/>
              <w:t>DOSTAWA WODY</w:t>
            </w:r>
          </w:p>
        </w:tc>
        <w:tc>
          <w:tcPr>
            <w:tcW w:w="1780" w:type="dxa"/>
            <w:tcBorders>
              <w:top w:val="single" w:sz="8" w:space="0" w:color="auto"/>
              <w:left w:val="nil"/>
              <w:bottom w:val="single" w:sz="8" w:space="0" w:color="auto"/>
              <w:right w:val="single" w:sz="8" w:space="0" w:color="auto"/>
            </w:tcBorders>
            <w:shd w:val="clear" w:color="000000" w:fill="FFFFFF"/>
            <w:vAlign w:val="center"/>
            <w:hideMark/>
          </w:tcPr>
          <w:p w14:paraId="6987F61E"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2 112,31</w:t>
            </w:r>
          </w:p>
        </w:tc>
        <w:tc>
          <w:tcPr>
            <w:tcW w:w="1660" w:type="dxa"/>
            <w:tcBorders>
              <w:top w:val="single" w:sz="8" w:space="0" w:color="auto"/>
              <w:left w:val="nil"/>
              <w:bottom w:val="single" w:sz="8" w:space="0" w:color="auto"/>
              <w:right w:val="single" w:sz="8" w:space="0" w:color="auto"/>
            </w:tcBorders>
            <w:shd w:val="clear" w:color="000000" w:fill="FFFFFF"/>
            <w:noWrap/>
            <w:vAlign w:val="center"/>
            <w:hideMark/>
          </w:tcPr>
          <w:p w14:paraId="1FF9DA68"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0,33%</w:t>
            </w:r>
          </w:p>
        </w:tc>
      </w:tr>
      <w:tr w:rsidR="00DE424A" w:rsidRPr="003B3407" w14:paraId="29575572" w14:textId="77777777" w:rsidTr="0001194F">
        <w:trPr>
          <w:trHeight w:val="540"/>
        </w:trPr>
        <w:tc>
          <w:tcPr>
            <w:tcW w:w="4100" w:type="dxa"/>
            <w:tcBorders>
              <w:top w:val="nil"/>
              <w:left w:val="single" w:sz="8" w:space="0" w:color="auto"/>
              <w:bottom w:val="single" w:sz="8" w:space="0" w:color="auto"/>
              <w:right w:val="single" w:sz="8" w:space="0" w:color="auto"/>
            </w:tcBorders>
            <w:shd w:val="clear" w:color="000000" w:fill="FFFFFF"/>
            <w:vAlign w:val="center"/>
            <w:hideMark/>
          </w:tcPr>
          <w:p w14:paraId="5FBE7439" w14:textId="77777777" w:rsidR="00DE424A" w:rsidRPr="003B3407" w:rsidRDefault="00DE424A" w:rsidP="0001194F">
            <w:pPr>
              <w:spacing w:after="0" w:line="240" w:lineRule="auto"/>
              <w:ind w:left="0" w:right="0" w:firstLine="0"/>
              <w:jc w:val="left"/>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DZIAŁALNOŚĆ FINANSOWA I UBEZPIECZENIOWA</w:t>
            </w:r>
          </w:p>
        </w:tc>
        <w:tc>
          <w:tcPr>
            <w:tcW w:w="1780" w:type="dxa"/>
            <w:tcBorders>
              <w:top w:val="nil"/>
              <w:left w:val="nil"/>
              <w:bottom w:val="single" w:sz="8" w:space="0" w:color="auto"/>
              <w:right w:val="single" w:sz="8" w:space="0" w:color="auto"/>
            </w:tcBorders>
            <w:shd w:val="clear" w:color="000000" w:fill="FFFFFF"/>
            <w:vAlign w:val="center"/>
            <w:hideMark/>
          </w:tcPr>
          <w:p w14:paraId="287D95CF"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55,81</w:t>
            </w:r>
          </w:p>
        </w:tc>
        <w:tc>
          <w:tcPr>
            <w:tcW w:w="1660" w:type="dxa"/>
            <w:tcBorders>
              <w:top w:val="nil"/>
              <w:left w:val="nil"/>
              <w:bottom w:val="single" w:sz="8" w:space="0" w:color="auto"/>
              <w:right w:val="single" w:sz="8" w:space="0" w:color="auto"/>
            </w:tcBorders>
            <w:shd w:val="clear" w:color="000000" w:fill="FFFFFF"/>
            <w:noWrap/>
            <w:vAlign w:val="center"/>
            <w:hideMark/>
          </w:tcPr>
          <w:p w14:paraId="74E8FDA3"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0,01%</w:t>
            </w:r>
          </w:p>
        </w:tc>
      </w:tr>
      <w:tr w:rsidR="00DE424A" w:rsidRPr="003B3407" w14:paraId="3FB499AA" w14:textId="77777777" w:rsidTr="0001194F">
        <w:trPr>
          <w:trHeight w:val="300"/>
        </w:trPr>
        <w:tc>
          <w:tcPr>
            <w:tcW w:w="4100" w:type="dxa"/>
            <w:tcBorders>
              <w:top w:val="nil"/>
              <w:left w:val="single" w:sz="8" w:space="0" w:color="auto"/>
              <w:bottom w:val="single" w:sz="8" w:space="0" w:color="auto"/>
              <w:right w:val="single" w:sz="8" w:space="0" w:color="auto"/>
            </w:tcBorders>
            <w:shd w:val="clear" w:color="000000" w:fill="FFFFFF"/>
            <w:vAlign w:val="center"/>
            <w:hideMark/>
          </w:tcPr>
          <w:p w14:paraId="1675BA60" w14:textId="77777777" w:rsidR="00DE424A" w:rsidRPr="003B3407" w:rsidRDefault="00DE424A" w:rsidP="0001194F">
            <w:pPr>
              <w:spacing w:after="0" w:line="240" w:lineRule="auto"/>
              <w:ind w:left="0" w:right="0" w:firstLine="0"/>
              <w:jc w:val="left"/>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DZIAŁALNOŚĆ NAUKOWA I TECHNICZNA</w:t>
            </w:r>
          </w:p>
        </w:tc>
        <w:tc>
          <w:tcPr>
            <w:tcW w:w="1780" w:type="dxa"/>
            <w:tcBorders>
              <w:top w:val="nil"/>
              <w:left w:val="nil"/>
              <w:bottom w:val="single" w:sz="8" w:space="0" w:color="auto"/>
              <w:right w:val="single" w:sz="8" w:space="0" w:color="auto"/>
            </w:tcBorders>
            <w:shd w:val="clear" w:color="000000" w:fill="FFFFFF"/>
            <w:vAlign w:val="center"/>
            <w:hideMark/>
          </w:tcPr>
          <w:p w14:paraId="3D7BC50C"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3 744,48</w:t>
            </w:r>
          </w:p>
        </w:tc>
        <w:tc>
          <w:tcPr>
            <w:tcW w:w="1660" w:type="dxa"/>
            <w:tcBorders>
              <w:top w:val="nil"/>
              <w:left w:val="nil"/>
              <w:bottom w:val="single" w:sz="8" w:space="0" w:color="auto"/>
              <w:right w:val="single" w:sz="8" w:space="0" w:color="auto"/>
            </w:tcBorders>
            <w:shd w:val="clear" w:color="000000" w:fill="FFFFFF"/>
            <w:noWrap/>
            <w:vAlign w:val="center"/>
            <w:hideMark/>
          </w:tcPr>
          <w:p w14:paraId="504344D6"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0,58%</w:t>
            </w:r>
          </w:p>
        </w:tc>
      </w:tr>
      <w:tr w:rsidR="00DE424A" w:rsidRPr="003B3407" w14:paraId="787D1430" w14:textId="77777777" w:rsidTr="0001194F">
        <w:trPr>
          <w:trHeight w:val="804"/>
        </w:trPr>
        <w:tc>
          <w:tcPr>
            <w:tcW w:w="4100" w:type="dxa"/>
            <w:tcBorders>
              <w:top w:val="nil"/>
              <w:left w:val="single" w:sz="8" w:space="0" w:color="auto"/>
              <w:bottom w:val="single" w:sz="8" w:space="0" w:color="auto"/>
              <w:right w:val="single" w:sz="8" w:space="0" w:color="auto"/>
            </w:tcBorders>
            <w:shd w:val="clear" w:color="000000" w:fill="FFFFFF"/>
            <w:vAlign w:val="center"/>
            <w:hideMark/>
          </w:tcPr>
          <w:p w14:paraId="0E77D305" w14:textId="77777777" w:rsidR="00DE424A" w:rsidRPr="003B3407" w:rsidRDefault="00DE424A" w:rsidP="0001194F">
            <w:pPr>
              <w:spacing w:after="0" w:line="240" w:lineRule="auto"/>
              <w:ind w:left="0" w:right="0" w:firstLine="0"/>
              <w:jc w:val="left"/>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DZIAŁALNOŚĆ W ZAKRESIE USŁUG ADMINISTROWANIA I DZIAŁALNOŚĆ WSPIERAJĄCA</w:t>
            </w:r>
          </w:p>
        </w:tc>
        <w:tc>
          <w:tcPr>
            <w:tcW w:w="1780" w:type="dxa"/>
            <w:tcBorders>
              <w:top w:val="nil"/>
              <w:left w:val="nil"/>
              <w:bottom w:val="single" w:sz="8" w:space="0" w:color="auto"/>
              <w:right w:val="single" w:sz="8" w:space="0" w:color="auto"/>
            </w:tcBorders>
            <w:shd w:val="clear" w:color="000000" w:fill="FFFFFF"/>
            <w:vAlign w:val="center"/>
            <w:hideMark/>
          </w:tcPr>
          <w:p w14:paraId="25E72C80"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2 735,94</w:t>
            </w:r>
          </w:p>
        </w:tc>
        <w:tc>
          <w:tcPr>
            <w:tcW w:w="1660" w:type="dxa"/>
            <w:tcBorders>
              <w:top w:val="nil"/>
              <w:left w:val="nil"/>
              <w:bottom w:val="single" w:sz="8" w:space="0" w:color="auto"/>
              <w:right w:val="single" w:sz="8" w:space="0" w:color="auto"/>
            </w:tcBorders>
            <w:shd w:val="clear" w:color="000000" w:fill="FFFFFF"/>
            <w:noWrap/>
            <w:vAlign w:val="center"/>
            <w:hideMark/>
          </w:tcPr>
          <w:p w14:paraId="30A3017E"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0,42%</w:t>
            </w:r>
          </w:p>
        </w:tc>
      </w:tr>
      <w:tr w:rsidR="00DE424A" w:rsidRPr="003B3407" w14:paraId="54B438DD" w14:textId="77777777" w:rsidTr="0001194F">
        <w:trPr>
          <w:trHeight w:val="540"/>
        </w:trPr>
        <w:tc>
          <w:tcPr>
            <w:tcW w:w="4100" w:type="dxa"/>
            <w:tcBorders>
              <w:top w:val="nil"/>
              <w:left w:val="single" w:sz="8" w:space="0" w:color="auto"/>
              <w:bottom w:val="single" w:sz="8" w:space="0" w:color="auto"/>
              <w:right w:val="single" w:sz="8" w:space="0" w:color="auto"/>
            </w:tcBorders>
            <w:shd w:val="clear" w:color="000000" w:fill="FFFFFF"/>
            <w:vAlign w:val="center"/>
            <w:hideMark/>
          </w:tcPr>
          <w:p w14:paraId="717C7856" w14:textId="77777777" w:rsidR="00DE424A" w:rsidRPr="003B3407" w:rsidRDefault="00DE424A" w:rsidP="0001194F">
            <w:pPr>
              <w:spacing w:after="0" w:line="240" w:lineRule="auto"/>
              <w:ind w:left="0" w:right="0" w:firstLine="0"/>
              <w:jc w:val="left"/>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DZIAŁALNOŚĆ ZWIĄZANA Z KULTURĄ, ROZRYWKĄ I REKREACJĄ</w:t>
            </w:r>
          </w:p>
        </w:tc>
        <w:tc>
          <w:tcPr>
            <w:tcW w:w="1780" w:type="dxa"/>
            <w:tcBorders>
              <w:top w:val="nil"/>
              <w:left w:val="nil"/>
              <w:bottom w:val="single" w:sz="8" w:space="0" w:color="auto"/>
              <w:right w:val="single" w:sz="8" w:space="0" w:color="auto"/>
            </w:tcBorders>
            <w:shd w:val="clear" w:color="000000" w:fill="FFFFFF"/>
            <w:vAlign w:val="center"/>
            <w:hideMark/>
          </w:tcPr>
          <w:p w14:paraId="4F2161AB"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1 445,17</w:t>
            </w:r>
          </w:p>
        </w:tc>
        <w:tc>
          <w:tcPr>
            <w:tcW w:w="1660" w:type="dxa"/>
            <w:tcBorders>
              <w:top w:val="nil"/>
              <w:left w:val="nil"/>
              <w:bottom w:val="single" w:sz="8" w:space="0" w:color="auto"/>
              <w:right w:val="single" w:sz="8" w:space="0" w:color="auto"/>
            </w:tcBorders>
            <w:shd w:val="clear" w:color="000000" w:fill="FFFFFF"/>
            <w:noWrap/>
            <w:vAlign w:val="center"/>
            <w:hideMark/>
          </w:tcPr>
          <w:p w14:paraId="4EACC2A6"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0,22%</w:t>
            </w:r>
          </w:p>
        </w:tc>
      </w:tr>
      <w:tr w:rsidR="00DE424A" w:rsidRPr="003B3407" w14:paraId="7922C426" w14:textId="77777777" w:rsidTr="0001194F">
        <w:trPr>
          <w:trHeight w:val="540"/>
        </w:trPr>
        <w:tc>
          <w:tcPr>
            <w:tcW w:w="4100" w:type="dxa"/>
            <w:tcBorders>
              <w:top w:val="nil"/>
              <w:left w:val="single" w:sz="8" w:space="0" w:color="auto"/>
              <w:bottom w:val="single" w:sz="8" w:space="0" w:color="auto"/>
              <w:right w:val="single" w:sz="8" w:space="0" w:color="auto"/>
            </w:tcBorders>
            <w:shd w:val="clear" w:color="000000" w:fill="FFFFFF"/>
            <w:vAlign w:val="center"/>
            <w:hideMark/>
          </w:tcPr>
          <w:p w14:paraId="20F658F8" w14:textId="77777777" w:rsidR="00DE424A" w:rsidRPr="003B3407" w:rsidRDefault="00DE424A" w:rsidP="0001194F">
            <w:pPr>
              <w:spacing w:after="0" w:line="240" w:lineRule="auto"/>
              <w:ind w:left="0" w:right="0" w:firstLine="0"/>
              <w:jc w:val="left"/>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DZIAŁALNOŚĆ ZWIĄZANA Z OBSŁUGĄ RYNKU NIERUCHOMOŚCI</w:t>
            </w:r>
          </w:p>
        </w:tc>
        <w:tc>
          <w:tcPr>
            <w:tcW w:w="1780" w:type="dxa"/>
            <w:tcBorders>
              <w:top w:val="nil"/>
              <w:left w:val="nil"/>
              <w:bottom w:val="single" w:sz="8" w:space="0" w:color="auto"/>
              <w:right w:val="single" w:sz="8" w:space="0" w:color="auto"/>
            </w:tcBorders>
            <w:shd w:val="clear" w:color="000000" w:fill="FFFFFF"/>
            <w:vAlign w:val="center"/>
            <w:hideMark/>
          </w:tcPr>
          <w:p w14:paraId="25BFDE0A"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13 761,36</w:t>
            </w:r>
          </w:p>
        </w:tc>
        <w:tc>
          <w:tcPr>
            <w:tcW w:w="1660" w:type="dxa"/>
            <w:tcBorders>
              <w:top w:val="nil"/>
              <w:left w:val="nil"/>
              <w:bottom w:val="single" w:sz="8" w:space="0" w:color="auto"/>
              <w:right w:val="single" w:sz="8" w:space="0" w:color="auto"/>
            </w:tcBorders>
            <w:shd w:val="clear" w:color="000000" w:fill="FFFFFF"/>
            <w:noWrap/>
            <w:vAlign w:val="center"/>
            <w:hideMark/>
          </w:tcPr>
          <w:p w14:paraId="4CB5E519"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2,12%</w:t>
            </w:r>
          </w:p>
        </w:tc>
      </w:tr>
      <w:tr w:rsidR="00DE424A" w:rsidRPr="003B3407" w14:paraId="485EBED9" w14:textId="77777777" w:rsidTr="0001194F">
        <w:trPr>
          <w:trHeight w:val="804"/>
        </w:trPr>
        <w:tc>
          <w:tcPr>
            <w:tcW w:w="4100" w:type="dxa"/>
            <w:tcBorders>
              <w:top w:val="nil"/>
              <w:left w:val="single" w:sz="8" w:space="0" w:color="auto"/>
              <w:bottom w:val="single" w:sz="8" w:space="0" w:color="auto"/>
              <w:right w:val="single" w:sz="8" w:space="0" w:color="auto"/>
            </w:tcBorders>
            <w:shd w:val="clear" w:color="000000" w:fill="FFFFFF"/>
            <w:vAlign w:val="center"/>
            <w:hideMark/>
          </w:tcPr>
          <w:p w14:paraId="45CBDE5D" w14:textId="77777777" w:rsidR="00DE424A" w:rsidRPr="003B3407" w:rsidRDefault="00DE424A" w:rsidP="0001194F">
            <w:pPr>
              <w:spacing w:after="0" w:line="240" w:lineRule="auto"/>
              <w:ind w:left="0" w:right="0" w:firstLine="0"/>
              <w:jc w:val="left"/>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DZIAŁALNOŚĆ ZWIĄZANA Z ZAKWATEROWANIEM I USŁUGAMI GASTRONOMICZNYMI</w:t>
            </w:r>
          </w:p>
        </w:tc>
        <w:tc>
          <w:tcPr>
            <w:tcW w:w="1780" w:type="dxa"/>
            <w:tcBorders>
              <w:top w:val="nil"/>
              <w:left w:val="nil"/>
              <w:bottom w:val="single" w:sz="8" w:space="0" w:color="auto"/>
              <w:right w:val="single" w:sz="8" w:space="0" w:color="auto"/>
            </w:tcBorders>
            <w:shd w:val="clear" w:color="000000" w:fill="FFFFFF"/>
            <w:vAlign w:val="center"/>
            <w:hideMark/>
          </w:tcPr>
          <w:p w14:paraId="391E79AA"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2 784,68</w:t>
            </w:r>
          </w:p>
        </w:tc>
        <w:tc>
          <w:tcPr>
            <w:tcW w:w="1660" w:type="dxa"/>
            <w:tcBorders>
              <w:top w:val="nil"/>
              <w:left w:val="nil"/>
              <w:bottom w:val="single" w:sz="8" w:space="0" w:color="auto"/>
              <w:right w:val="single" w:sz="8" w:space="0" w:color="auto"/>
            </w:tcBorders>
            <w:shd w:val="clear" w:color="000000" w:fill="FFFFFF"/>
            <w:noWrap/>
            <w:vAlign w:val="center"/>
            <w:hideMark/>
          </w:tcPr>
          <w:p w14:paraId="612E4D77"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0,43%</w:t>
            </w:r>
          </w:p>
        </w:tc>
      </w:tr>
      <w:tr w:rsidR="00DE424A" w:rsidRPr="003B3407" w14:paraId="657D6370" w14:textId="77777777" w:rsidTr="0001194F">
        <w:trPr>
          <w:trHeight w:val="300"/>
        </w:trPr>
        <w:tc>
          <w:tcPr>
            <w:tcW w:w="4100" w:type="dxa"/>
            <w:tcBorders>
              <w:top w:val="nil"/>
              <w:left w:val="single" w:sz="8" w:space="0" w:color="auto"/>
              <w:bottom w:val="single" w:sz="8" w:space="0" w:color="auto"/>
              <w:right w:val="single" w:sz="8" w:space="0" w:color="auto"/>
            </w:tcBorders>
            <w:shd w:val="clear" w:color="000000" w:fill="FFFFFF"/>
            <w:vAlign w:val="center"/>
            <w:hideMark/>
          </w:tcPr>
          <w:p w14:paraId="75CC64E5" w14:textId="77777777" w:rsidR="00DE424A" w:rsidRPr="003B3407" w:rsidRDefault="00DE424A" w:rsidP="0001194F">
            <w:pPr>
              <w:spacing w:after="0" w:line="240" w:lineRule="auto"/>
              <w:ind w:left="0" w:right="0" w:firstLine="0"/>
              <w:jc w:val="left"/>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EDUKACJA</w:t>
            </w:r>
          </w:p>
        </w:tc>
        <w:tc>
          <w:tcPr>
            <w:tcW w:w="1780" w:type="dxa"/>
            <w:tcBorders>
              <w:top w:val="nil"/>
              <w:left w:val="nil"/>
              <w:bottom w:val="single" w:sz="8" w:space="0" w:color="auto"/>
              <w:right w:val="single" w:sz="8" w:space="0" w:color="auto"/>
            </w:tcBorders>
            <w:shd w:val="clear" w:color="000000" w:fill="FFFFFF"/>
            <w:vAlign w:val="center"/>
            <w:hideMark/>
          </w:tcPr>
          <w:p w14:paraId="3D478BC5"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1 390,19</w:t>
            </w:r>
          </w:p>
        </w:tc>
        <w:tc>
          <w:tcPr>
            <w:tcW w:w="1660" w:type="dxa"/>
            <w:tcBorders>
              <w:top w:val="nil"/>
              <w:left w:val="nil"/>
              <w:bottom w:val="single" w:sz="8" w:space="0" w:color="auto"/>
              <w:right w:val="single" w:sz="8" w:space="0" w:color="auto"/>
            </w:tcBorders>
            <w:shd w:val="clear" w:color="000000" w:fill="FFFFFF"/>
            <w:noWrap/>
            <w:vAlign w:val="center"/>
            <w:hideMark/>
          </w:tcPr>
          <w:p w14:paraId="7CC9D1AA"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0,21%</w:t>
            </w:r>
          </w:p>
        </w:tc>
      </w:tr>
      <w:tr w:rsidR="00DE424A" w:rsidRPr="003B3407" w14:paraId="225ACD45" w14:textId="77777777" w:rsidTr="0001194F">
        <w:trPr>
          <w:trHeight w:val="300"/>
        </w:trPr>
        <w:tc>
          <w:tcPr>
            <w:tcW w:w="4100" w:type="dxa"/>
            <w:tcBorders>
              <w:top w:val="nil"/>
              <w:left w:val="single" w:sz="8" w:space="0" w:color="auto"/>
              <w:bottom w:val="single" w:sz="8" w:space="0" w:color="auto"/>
              <w:right w:val="single" w:sz="8" w:space="0" w:color="auto"/>
            </w:tcBorders>
            <w:shd w:val="clear" w:color="auto" w:fill="auto"/>
            <w:vAlign w:val="center"/>
            <w:hideMark/>
          </w:tcPr>
          <w:p w14:paraId="165CA31F" w14:textId="77777777" w:rsidR="00DE424A" w:rsidRPr="003B3407" w:rsidRDefault="00DE424A" w:rsidP="0001194F">
            <w:pPr>
              <w:spacing w:after="0" w:line="240" w:lineRule="auto"/>
              <w:ind w:left="0" w:right="0" w:firstLine="0"/>
              <w:jc w:val="left"/>
              <w:rPr>
                <w:rFonts w:ascii="Times New Roman" w:eastAsia="Times New Roman" w:hAnsi="Times New Roman" w:cs="Times New Roman"/>
                <w:color w:val="auto"/>
                <w:sz w:val="20"/>
                <w:szCs w:val="20"/>
              </w:rPr>
            </w:pPr>
            <w:r w:rsidRPr="003B3407">
              <w:rPr>
                <w:rFonts w:ascii="Times New Roman" w:eastAsia="Times New Roman" w:hAnsi="Times New Roman" w:cs="Times New Roman"/>
                <w:color w:val="auto"/>
                <w:sz w:val="20"/>
                <w:szCs w:val="20"/>
              </w:rPr>
              <w:t>GÓRNICTWO I WYDOBYWANIE</w:t>
            </w:r>
          </w:p>
        </w:tc>
        <w:tc>
          <w:tcPr>
            <w:tcW w:w="1780" w:type="dxa"/>
            <w:tcBorders>
              <w:top w:val="nil"/>
              <w:left w:val="nil"/>
              <w:bottom w:val="single" w:sz="8" w:space="0" w:color="auto"/>
              <w:right w:val="single" w:sz="8" w:space="0" w:color="auto"/>
            </w:tcBorders>
            <w:shd w:val="clear" w:color="000000" w:fill="FFFFFF"/>
            <w:vAlign w:val="center"/>
            <w:hideMark/>
          </w:tcPr>
          <w:p w14:paraId="7AEA9128"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627,29</w:t>
            </w:r>
          </w:p>
        </w:tc>
        <w:tc>
          <w:tcPr>
            <w:tcW w:w="1660" w:type="dxa"/>
            <w:tcBorders>
              <w:top w:val="nil"/>
              <w:left w:val="nil"/>
              <w:bottom w:val="single" w:sz="8" w:space="0" w:color="auto"/>
              <w:right w:val="single" w:sz="8" w:space="0" w:color="auto"/>
            </w:tcBorders>
            <w:shd w:val="clear" w:color="auto" w:fill="auto"/>
            <w:noWrap/>
            <w:vAlign w:val="center"/>
            <w:hideMark/>
          </w:tcPr>
          <w:p w14:paraId="13CFB4E1"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color w:val="auto"/>
                <w:sz w:val="20"/>
                <w:szCs w:val="20"/>
              </w:rPr>
            </w:pPr>
            <w:r w:rsidRPr="003B3407">
              <w:rPr>
                <w:rFonts w:ascii="Times New Roman" w:eastAsia="Times New Roman" w:hAnsi="Times New Roman" w:cs="Times New Roman"/>
                <w:color w:val="auto"/>
                <w:sz w:val="20"/>
                <w:szCs w:val="20"/>
              </w:rPr>
              <w:t>0,10%</w:t>
            </w:r>
          </w:p>
        </w:tc>
      </w:tr>
      <w:tr w:rsidR="00DE424A" w:rsidRPr="003B3407" w14:paraId="33E0BC02" w14:textId="77777777" w:rsidTr="0001194F">
        <w:trPr>
          <w:trHeight w:val="1068"/>
        </w:trPr>
        <w:tc>
          <w:tcPr>
            <w:tcW w:w="4100" w:type="dxa"/>
            <w:tcBorders>
              <w:top w:val="nil"/>
              <w:left w:val="single" w:sz="8" w:space="0" w:color="auto"/>
              <w:bottom w:val="single" w:sz="8" w:space="0" w:color="auto"/>
              <w:right w:val="single" w:sz="8" w:space="0" w:color="auto"/>
            </w:tcBorders>
            <w:shd w:val="clear" w:color="auto" w:fill="auto"/>
            <w:vAlign w:val="center"/>
            <w:hideMark/>
          </w:tcPr>
          <w:p w14:paraId="10818605" w14:textId="77777777" w:rsidR="00DE424A" w:rsidRPr="003B3407" w:rsidRDefault="00DE424A" w:rsidP="0001194F">
            <w:pPr>
              <w:spacing w:after="0" w:line="240" w:lineRule="auto"/>
              <w:ind w:left="0" w:right="0" w:firstLine="0"/>
              <w:jc w:val="left"/>
              <w:rPr>
                <w:rFonts w:ascii="Times New Roman" w:eastAsia="Times New Roman" w:hAnsi="Times New Roman" w:cs="Times New Roman"/>
                <w:color w:val="auto"/>
                <w:sz w:val="20"/>
                <w:szCs w:val="20"/>
              </w:rPr>
            </w:pPr>
            <w:r w:rsidRPr="003B3407">
              <w:rPr>
                <w:rFonts w:ascii="Times New Roman" w:eastAsia="Times New Roman" w:hAnsi="Times New Roman" w:cs="Times New Roman"/>
                <w:color w:val="auto"/>
                <w:sz w:val="20"/>
                <w:szCs w:val="20"/>
              </w:rPr>
              <w:t>HANDEL HURTOWY I DETALICZNY; NAPRAWA POJAZDÓW SAMOCHODOWYCH, WŁĄCZAJĄC MOTOCYKLE</w:t>
            </w:r>
          </w:p>
        </w:tc>
        <w:tc>
          <w:tcPr>
            <w:tcW w:w="1780" w:type="dxa"/>
            <w:tcBorders>
              <w:top w:val="nil"/>
              <w:left w:val="nil"/>
              <w:bottom w:val="single" w:sz="8" w:space="0" w:color="auto"/>
              <w:right w:val="single" w:sz="8" w:space="0" w:color="auto"/>
            </w:tcBorders>
            <w:shd w:val="clear" w:color="000000" w:fill="FFFFFF"/>
            <w:vAlign w:val="center"/>
            <w:hideMark/>
          </w:tcPr>
          <w:p w14:paraId="53FF18E6"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10 856,40</w:t>
            </w:r>
          </w:p>
        </w:tc>
        <w:tc>
          <w:tcPr>
            <w:tcW w:w="1660" w:type="dxa"/>
            <w:tcBorders>
              <w:top w:val="nil"/>
              <w:left w:val="nil"/>
              <w:bottom w:val="single" w:sz="8" w:space="0" w:color="auto"/>
              <w:right w:val="single" w:sz="8" w:space="0" w:color="auto"/>
            </w:tcBorders>
            <w:shd w:val="clear" w:color="auto" w:fill="auto"/>
            <w:noWrap/>
            <w:vAlign w:val="center"/>
            <w:hideMark/>
          </w:tcPr>
          <w:p w14:paraId="7C6B1A66"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color w:val="auto"/>
                <w:sz w:val="20"/>
                <w:szCs w:val="20"/>
              </w:rPr>
            </w:pPr>
            <w:r w:rsidRPr="003B3407">
              <w:rPr>
                <w:rFonts w:ascii="Times New Roman" w:eastAsia="Times New Roman" w:hAnsi="Times New Roman" w:cs="Times New Roman"/>
                <w:color w:val="auto"/>
                <w:sz w:val="20"/>
                <w:szCs w:val="20"/>
              </w:rPr>
              <w:t>1,67%</w:t>
            </w:r>
          </w:p>
        </w:tc>
      </w:tr>
      <w:tr w:rsidR="00DE424A" w:rsidRPr="003B3407" w14:paraId="64F97779" w14:textId="77777777" w:rsidTr="0001194F">
        <w:trPr>
          <w:trHeight w:val="300"/>
        </w:trPr>
        <w:tc>
          <w:tcPr>
            <w:tcW w:w="4100" w:type="dxa"/>
            <w:tcBorders>
              <w:top w:val="nil"/>
              <w:left w:val="single" w:sz="8" w:space="0" w:color="auto"/>
              <w:bottom w:val="single" w:sz="8" w:space="0" w:color="auto"/>
              <w:right w:val="single" w:sz="8" w:space="0" w:color="auto"/>
            </w:tcBorders>
            <w:shd w:val="clear" w:color="auto" w:fill="auto"/>
            <w:vAlign w:val="center"/>
            <w:hideMark/>
          </w:tcPr>
          <w:p w14:paraId="4F99636E" w14:textId="77777777" w:rsidR="00DE424A" w:rsidRPr="003B3407" w:rsidRDefault="00DE424A" w:rsidP="0001194F">
            <w:pPr>
              <w:spacing w:after="0" w:line="240" w:lineRule="auto"/>
              <w:ind w:left="0" w:right="0" w:firstLine="0"/>
              <w:jc w:val="left"/>
              <w:rPr>
                <w:rFonts w:ascii="Times New Roman" w:eastAsia="Times New Roman" w:hAnsi="Times New Roman" w:cs="Times New Roman"/>
                <w:color w:val="auto"/>
                <w:sz w:val="20"/>
                <w:szCs w:val="20"/>
              </w:rPr>
            </w:pPr>
            <w:r w:rsidRPr="003B3407">
              <w:rPr>
                <w:rFonts w:ascii="Times New Roman" w:eastAsia="Times New Roman" w:hAnsi="Times New Roman" w:cs="Times New Roman"/>
                <w:color w:val="auto"/>
                <w:sz w:val="20"/>
                <w:szCs w:val="20"/>
              </w:rPr>
              <w:t>INFORMACJA I KOMUNIKACJA</w:t>
            </w:r>
          </w:p>
        </w:tc>
        <w:tc>
          <w:tcPr>
            <w:tcW w:w="1780" w:type="dxa"/>
            <w:tcBorders>
              <w:top w:val="nil"/>
              <w:left w:val="nil"/>
              <w:bottom w:val="single" w:sz="8" w:space="0" w:color="auto"/>
              <w:right w:val="single" w:sz="8" w:space="0" w:color="auto"/>
            </w:tcBorders>
            <w:shd w:val="clear" w:color="000000" w:fill="FFFFFF"/>
            <w:vAlign w:val="center"/>
            <w:hideMark/>
          </w:tcPr>
          <w:p w14:paraId="4A885079"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384,94</w:t>
            </w:r>
          </w:p>
        </w:tc>
        <w:tc>
          <w:tcPr>
            <w:tcW w:w="1660" w:type="dxa"/>
            <w:tcBorders>
              <w:top w:val="nil"/>
              <w:left w:val="nil"/>
              <w:bottom w:val="single" w:sz="8" w:space="0" w:color="auto"/>
              <w:right w:val="single" w:sz="8" w:space="0" w:color="auto"/>
            </w:tcBorders>
            <w:shd w:val="clear" w:color="auto" w:fill="auto"/>
            <w:noWrap/>
            <w:vAlign w:val="center"/>
            <w:hideMark/>
          </w:tcPr>
          <w:p w14:paraId="6A83FFCE"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color w:val="auto"/>
                <w:sz w:val="20"/>
                <w:szCs w:val="20"/>
              </w:rPr>
            </w:pPr>
            <w:r w:rsidRPr="003B3407">
              <w:rPr>
                <w:rFonts w:ascii="Times New Roman" w:eastAsia="Times New Roman" w:hAnsi="Times New Roman" w:cs="Times New Roman"/>
                <w:color w:val="auto"/>
                <w:sz w:val="20"/>
                <w:szCs w:val="20"/>
              </w:rPr>
              <w:t>0,06%</w:t>
            </w:r>
          </w:p>
        </w:tc>
      </w:tr>
      <w:tr w:rsidR="00DE424A" w:rsidRPr="003B3407" w14:paraId="0302DFD6" w14:textId="77777777" w:rsidTr="0001194F">
        <w:trPr>
          <w:trHeight w:val="540"/>
        </w:trPr>
        <w:tc>
          <w:tcPr>
            <w:tcW w:w="4100" w:type="dxa"/>
            <w:tcBorders>
              <w:top w:val="nil"/>
              <w:left w:val="single" w:sz="8" w:space="0" w:color="auto"/>
              <w:bottom w:val="single" w:sz="8" w:space="0" w:color="auto"/>
              <w:right w:val="single" w:sz="8" w:space="0" w:color="auto"/>
            </w:tcBorders>
            <w:shd w:val="clear" w:color="auto" w:fill="auto"/>
            <w:vAlign w:val="center"/>
            <w:hideMark/>
          </w:tcPr>
          <w:p w14:paraId="51693D8A" w14:textId="77777777" w:rsidR="00DE424A" w:rsidRPr="003B3407" w:rsidRDefault="00DE424A" w:rsidP="0001194F">
            <w:pPr>
              <w:spacing w:after="0" w:line="240" w:lineRule="auto"/>
              <w:ind w:left="0" w:right="0" w:firstLine="0"/>
              <w:jc w:val="left"/>
              <w:rPr>
                <w:rFonts w:ascii="Times New Roman" w:eastAsia="Times New Roman" w:hAnsi="Times New Roman" w:cs="Times New Roman"/>
                <w:color w:val="auto"/>
                <w:sz w:val="20"/>
                <w:szCs w:val="20"/>
              </w:rPr>
            </w:pPr>
            <w:r w:rsidRPr="003B3407">
              <w:rPr>
                <w:rFonts w:ascii="Times New Roman" w:eastAsia="Times New Roman" w:hAnsi="Times New Roman" w:cs="Times New Roman"/>
                <w:color w:val="auto"/>
                <w:sz w:val="20"/>
                <w:szCs w:val="20"/>
              </w:rPr>
              <w:t>OPIEKA ZDROWOTNA I POMOC SPOŁECZNA</w:t>
            </w:r>
          </w:p>
        </w:tc>
        <w:tc>
          <w:tcPr>
            <w:tcW w:w="1780" w:type="dxa"/>
            <w:tcBorders>
              <w:top w:val="nil"/>
              <w:left w:val="nil"/>
              <w:bottom w:val="single" w:sz="8" w:space="0" w:color="auto"/>
              <w:right w:val="single" w:sz="8" w:space="0" w:color="auto"/>
            </w:tcBorders>
            <w:shd w:val="clear" w:color="000000" w:fill="FFFFFF"/>
            <w:vAlign w:val="center"/>
            <w:hideMark/>
          </w:tcPr>
          <w:p w14:paraId="4D6AB624"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2 218,16</w:t>
            </w:r>
          </w:p>
        </w:tc>
        <w:tc>
          <w:tcPr>
            <w:tcW w:w="1660" w:type="dxa"/>
            <w:tcBorders>
              <w:top w:val="nil"/>
              <w:left w:val="nil"/>
              <w:bottom w:val="single" w:sz="8" w:space="0" w:color="auto"/>
              <w:right w:val="single" w:sz="8" w:space="0" w:color="auto"/>
            </w:tcBorders>
            <w:shd w:val="clear" w:color="auto" w:fill="auto"/>
            <w:noWrap/>
            <w:vAlign w:val="center"/>
            <w:hideMark/>
          </w:tcPr>
          <w:p w14:paraId="11DA6935"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color w:val="auto"/>
                <w:sz w:val="20"/>
                <w:szCs w:val="20"/>
              </w:rPr>
            </w:pPr>
            <w:r w:rsidRPr="003B3407">
              <w:rPr>
                <w:rFonts w:ascii="Times New Roman" w:eastAsia="Times New Roman" w:hAnsi="Times New Roman" w:cs="Times New Roman"/>
                <w:color w:val="auto"/>
                <w:sz w:val="20"/>
                <w:szCs w:val="20"/>
              </w:rPr>
              <w:t>0,34%</w:t>
            </w:r>
          </w:p>
        </w:tc>
      </w:tr>
      <w:tr w:rsidR="00DE424A" w:rsidRPr="003B3407" w14:paraId="786FE3AA" w14:textId="77777777" w:rsidTr="0001194F">
        <w:trPr>
          <w:trHeight w:val="300"/>
        </w:trPr>
        <w:tc>
          <w:tcPr>
            <w:tcW w:w="4100" w:type="dxa"/>
            <w:tcBorders>
              <w:top w:val="nil"/>
              <w:left w:val="single" w:sz="8" w:space="0" w:color="auto"/>
              <w:bottom w:val="single" w:sz="8" w:space="0" w:color="auto"/>
              <w:right w:val="single" w:sz="8" w:space="0" w:color="auto"/>
            </w:tcBorders>
            <w:shd w:val="clear" w:color="auto" w:fill="auto"/>
            <w:vAlign w:val="center"/>
            <w:hideMark/>
          </w:tcPr>
          <w:p w14:paraId="2051D675" w14:textId="77777777" w:rsidR="00DE424A" w:rsidRPr="003B3407" w:rsidRDefault="00DE424A" w:rsidP="0001194F">
            <w:pPr>
              <w:spacing w:after="0" w:line="240" w:lineRule="auto"/>
              <w:ind w:left="0" w:right="0" w:firstLine="0"/>
              <w:jc w:val="left"/>
              <w:rPr>
                <w:rFonts w:ascii="Times New Roman" w:eastAsia="Times New Roman" w:hAnsi="Times New Roman" w:cs="Times New Roman"/>
                <w:color w:val="auto"/>
                <w:sz w:val="20"/>
                <w:szCs w:val="20"/>
              </w:rPr>
            </w:pPr>
            <w:r w:rsidRPr="003B3407">
              <w:rPr>
                <w:rFonts w:ascii="Times New Roman" w:eastAsia="Times New Roman" w:hAnsi="Times New Roman" w:cs="Times New Roman"/>
                <w:color w:val="auto"/>
                <w:sz w:val="20"/>
                <w:szCs w:val="20"/>
              </w:rPr>
              <w:t>POZOSTAŁA DZIAŁALNOŚĆ USŁUGOWA</w:t>
            </w:r>
          </w:p>
        </w:tc>
        <w:tc>
          <w:tcPr>
            <w:tcW w:w="1780" w:type="dxa"/>
            <w:tcBorders>
              <w:top w:val="nil"/>
              <w:left w:val="nil"/>
              <w:bottom w:val="single" w:sz="8" w:space="0" w:color="auto"/>
              <w:right w:val="single" w:sz="8" w:space="0" w:color="auto"/>
            </w:tcBorders>
            <w:shd w:val="clear" w:color="000000" w:fill="FFFFFF"/>
            <w:vAlign w:val="center"/>
            <w:hideMark/>
          </w:tcPr>
          <w:p w14:paraId="7E9D0571"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10 038,00</w:t>
            </w:r>
          </w:p>
        </w:tc>
        <w:tc>
          <w:tcPr>
            <w:tcW w:w="1660" w:type="dxa"/>
            <w:tcBorders>
              <w:top w:val="nil"/>
              <w:left w:val="nil"/>
              <w:bottom w:val="single" w:sz="8" w:space="0" w:color="auto"/>
              <w:right w:val="single" w:sz="8" w:space="0" w:color="auto"/>
            </w:tcBorders>
            <w:shd w:val="clear" w:color="auto" w:fill="auto"/>
            <w:noWrap/>
            <w:vAlign w:val="center"/>
            <w:hideMark/>
          </w:tcPr>
          <w:p w14:paraId="68E6C712"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color w:val="auto"/>
                <w:sz w:val="20"/>
                <w:szCs w:val="20"/>
              </w:rPr>
            </w:pPr>
            <w:r w:rsidRPr="003B3407">
              <w:rPr>
                <w:rFonts w:ascii="Times New Roman" w:eastAsia="Times New Roman" w:hAnsi="Times New Roman" w:cs="Times New Roman"/>
                <w:color w:val="auto"/>
                <w:sz w:val="20"/>
                <w:szCs w:val="20"/>
              </w:rPr>
              <w:t>1,55%</w:t>
            </w:r>
          </w:p>
        </w:tc>
      </w:tr>
      <w:tr w:rsidR="00DE424A" w:rsidRPr="003B3407" w14:paraId="4384D80E" w14:textId="77777777" w:rsidTr="0001194F">
        <w:trPr>
          <w:trHeight w:val="300"/>
        </w:trPr>
        <w:tc>
          <w:tcPr>
            <w:tcW w:w="4100" w:type="dxa"/>
            <w:tcBorders>
              <w:top w:val="nil"/>
              <w:left w:val="single" w:sz="8" w:space="0" w:color="auto"/>
              <w:bottom w:val="single" w:sz="8" w:space="0" w:color="auto"/>
              <w:right w:val="single" w:sz="8" w:space="0" w:color="auto"/>
            </w:tcBorders>
            <w:shd w:val="clear" w:color="auto" w:fill="auto"/>
            <w:vAlign w:val="center"/>
            <w:hideMark/>
          </w:tcPr>
          <w:p w14:paraId="777DE0B3" w14:textId="77777777" w:rsidR="00DE424A" w:rsidRPr="003B3407" w:rsidRDefault="00DE424A" w:rsidP="0001194F">
            <w:pPr>
              <w:spacing w:after="0" w:line="240" w:lineRule="auto"/>
              <w:ind w:left="0" w:right="0" w:firstLine="0"/>
              <w:jc w:val="left"/>
              <w:rPr>
                <w:rFonts w:ascii="Times New Roman" w:eastAsia="Times New Roman" w:hAnsi="Times New Roman" w:cs="Times New Roman"/>
                <w:color w:val="auto"/>
                <w:sz w:val="20"/>
                <w:szCs w:val="20"/>
              </w:rPr>
            </w:pPr>
            <w:r w:rsidRPr="003B3407">
              <w:rPr>
                <w:rFonts w:ascii="Times New Roman" w:eastAsia="Times New Roman" w:hAnsi="Times New Roman" w:cs="Times New Roman"/>
                <w:color w:val="auto"/>
                <w:sz w:val="20"/>
                <w:szCs w:val="20"/>
              </w:rPr>
              <w:t>PRZETWÓRSTWO PRZEMYSŁOWE</w:t>
            </w:r>
          </w:p>
        </w:tc>
        <w:tc>
          <w:tcPr>
            <w:tcW w:w="1780" w:type="dxa"/>
            <w:tcBorders>
              <w:top w:val="nil"/>
              <w:left w:val="nil"/>
              <w:bottom w:val="single" w:sz="8" w:space="0" w:color="auto"/>
              <w:right w:val="single" w:sz="8" w:space="0" w:color="auto"/>
            </w:tcBorders>
            <w:shd w:val="clear" w:color="000000" w:fill="FFFFFF"/>
            <w:vAlign w:val="center"/>
            <w:hideMark/>
          </w:tcPr>
          <w:p w14:paraId="33221B41"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4 309,67</w:t>
            </w:r>
          </w:p>
        </w:tc>
        <w:tc>
          <w:tcPr>
            <w:tcW w:w="1660" w:type="dxa"/>
            <w:tcBorders>
              <w:top w:val="nil"/>
              <w:left w:val="nil"/>
              <w:bottom w:val="single" w:sz="8" w:space="0" w:color="auto"/>
              <w:right w:val="single" w:sz="8" w:space="0" w:color="auto"/>
            </w:tcBorders>
            <w:shd w:val="clear" w:color="auto" w:fill="auto"/>
            <w:noWrap/>
            <w:vAlign w:val="center"/>
            <w:hideMark/>
          </w:tcPr>
          <w:p w14:paraId="3E7C5991"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color w:val="auto"/>
                <w:sz w:val="20"/>
                <w:szCs w:val="20"/>
              </w:rPr>
            </w:pPr>
            <w:r w:rsidRPr="003B3407">
              <w:rPr>
                <w:rFonts w:ascii="Times New Roman" w:eastAsia="Times New Roman" w:hAnsi="Times New Roman" w:cs="Times New Roman"/>
                <w:color w:val="auto"/>
                <w:sz w:val="20"/>
                <w:szCs w:val="20"/>
              </w:rPr>
              <w:t>0,66%</w:t>
            </w:r>
          </w:p>
        </w:tc>
      </w:tr>
      <w:tr w:rsidR="00DE424A" w:rsidRPr="003B3407" w14:paraId="03E70A7E" w14:textId="77777777" w:rsidTr="0001194F">
        <w:trPr>
          <w:trHeight w:val="540"/>
        </w:trPr>
        <w:tc>
          <w:tcPr>
            <w:tcW w:w="4100" w:type="dxa"/>
            <w:tcBorders>
              <w:top w:val="nil"/>
              <w:left w:val="single" w:sz="8" w:space="0" w:color="auto"/>
              <w:bottom w:val="single" w:sz="8" w:space="0" w:color="auto"/>
              <w:right w:val="single" w:sz="8" w:space="0" w:color="auto"/>
            </w:tcBorders>
            <w:shd w:val="clear" w:color="auto" w:fill="auto"/>
            <w:vAlign w:val="center"/>
            <w:hideMark/>
          </w:tcPr>
          <w:p w14:paraId="5A617CC2" w14:textId="77777777" w:rsidR="00DE424A" w:rsidRPr="003B3407" w:rsidRDefault="00DE424A" w:rsidP="0001194F">
            <w:pPr>
              <w:spacing w:after="0" w:line="240" w:lineRule="auto"/>
              <w:ind w:left="0" w:right="0" w:firstLine="0"/>
              <w:jc w:val="left"/>
              <w:rPr>
                <w:rFonts w:ascii="Times New Roman" w:eastAsia="Times New Roman" w:hAnsi="Times New Roman" w:cs="Times New Roman"/>
                <w:color w:val="auto"/>
                <w:sz w:val="20"/>
                <w:szCs w:val="20"/>
              </w:rPr>
            </w:pPr>
            <w:r w:rsidRPr="003B3407">
              <w:rPr>
                <w:rFonts w:ascii="Times New Roman" w:eastAsia="Times New Roman" w:hAnsi="Times New Roman" w:cs="Times New Roman"/>
                <w:color w:val="auto"/>
                <w:sz w:val="20"/>
                <w:szCs w:val="20"/>
              </w:rPr>
              <w:t>ROLNICTWO, LEŚNICTWO, ŁOWIECTWO I RYBACTWO</w:t>
            </w:r>
          </w:p>
        </w:tc>
        <w:tc>
          <w:tcPr>
            <w:tcW w:w="1780" w:type="dxa"/>
            <w:tcBorders>
              <w:top w:val="nil"/>
              <w:left w:val="nil"/>
              <w:bottom w:val="single" w:sz="8" w:space="0" w:color="auto"/>
              <w:right w:val="single" w:sz="8" w:space="0" w:color="auto"/>
            </w:tcBorders>
            <w:shd w:val="clear" w:color="000000" w:fill="FFFFFF"/>
            <w:vAlign w:val="center"/>
            <w:hideMark/>
          </w:tcPr>
          <w:p w14:paraId="68FBF8FD"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65 583,79</w:t>
            </w:r>
          </w:p>
        </w:tc>
        <w:tc>
          <w:tcPr>
            <w:tcW w:w="1660" w:type="dxa"/>
            <w:tcBorders>
              <w:top w:val="nil"/>
              <w:left w:val="nil"/>
              <w:bottom w:val="single" w:sz="8" w:space="0" w:color="auto"/>
              <w:right w:val="single" w:sz="8" w:space="0" w:color="auto"/>
            </w:tcBorders>
            <w:shd w:val="clear" w:color="auto" w:fill="auto"/>
            <w:noWrap/>
            <w:vAlign w:val="center"/>
            <w:hideMark/>
          </w:tcPr>
          <w:p w14:paraId="258BEBF0"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color w:val="auto"/>
                <w:sz w:val="20"/>
                <w:szCs w:val="20"/>
              </w:rPr>
            </w:pPr>
            <w:r w:rsidRPr="003B3407">
              <w:rPr>
                <w:rFonts w:ascii="Times New Roman" w:eastAsia="Times New Roman" w:hAnsi="Times New Roman" w:cs="Times New Roman"/>
                <w:color w:val="auto"/>
                <w:sz w:val="20"/>
                <w:szCs w:val="20"/>
              </w:rPr>
              <w:t>10,10%</w:t>
            </w:r>
          </w:p>
        </w:tc>
      </w:tr>
      <w:tr w:rsidR="00DE424A" w:rsidRPr="003B3407" w14:paraId="07FFD98D" w14:textId="77777777" w:rsidTr="0001194F">
        <w:trPr>
          <w:trHeight w:val="540"/>
        </w:trPr>
        <w:tc>
          <w:tcPr>
            <w:tcW w:w="4100" w:type="dxa"/>
            <w:tcBorders>
              <w:top w:val="nil"/>
              <w:left w:val="single" w:sz="8" w:space="0" w:color="auto"/>
              <w:bottom w:val="single" w:sz="8" w:space="0" w:color="auto"/>
              <w:right w:val="single" w:sz="8" w:space="0" w:color="auto"/>
            </w:tcBorders>
            <w:shd w:val="clear" w:color="auto" w:fill="auto"/>
            <w:vAlign w:val="center"/>
            <w:hideMark/>
          </w:tcPr>
          <w:p w14:paraId="518A2F02" w14:textId="77777777" w:rsidR="00DE424A" w:rsidRPr="003B3407" w:rsidRDefault="00DE424A" w:rsidP="0001194F">
            <w:pPr>
              <w:spacing w:after="0" w:line="240" w:lineRule="auto"/>
              <w:ind w:left="0" w:right="0" w:firstLine="0"/>
              <w:jc w:val="left"/>
              <w:rPr>
                <w:rFonts w:ascii="Times New Roman" w:eastAsia="Times New Roman" w:hAnsi="Times New Roman" w:cs="Times New Roman"/>
                <w:color w:val="auto"/>
                <w:sz w:val="20"/>
                <w:szCs w:val="20"/>
              </w:rPr>
            </w:pPr>
            <w:r w:rsidRPr="003B3407">
              <w:rPr>
                <w:rFonts w:ascii="Times New Roman" w:eastAsia="Times New Roman" w:hAnsi="Times New Roman" w:cs="Times New Roman"/>
                <w:color w:val="auto"/>
                <w:sz w:val="20"/>
                <w:szCs w:val="20"/>
              </w:rPr>
              <w:t>TRANSPORT I GOSPODARKA MAGAZYNOWA</w:t>
            </w:r>
          </w:p>
        </w:tc>
        <w:tc>
          <w:tcPr>
            <w:tcW w:w="1780" w:type="dxa"/>
            <w:tcBorders>
              <w:top w:val="nil"/>
              <w:left w:val="nil"/>
              <w:bottom w:val="single" w:sz="8" w:space="0" w:color="auto"/>
              <w:right w:val="single" w:sz="8" w:space="0" w:color="auto"/>
            </w:tcBorders>
            <w:shd w:val="clear" w:color="000000" w:fill="FFFFFF"/>
            <w:vAlign w:val="center"/>
            <w:hideMark/>
          </w:tcPr>
          <w:p w14:paraId="3D3A3226"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2 547,03</w:t>
            </w:r>
          </w:p>
        </w:tc>
        <w:tc>
          <w:tcPr>
            <w:tcW w:w="1660" w:type="dxa"/>
            <w:tcBorders>
              <w:top w:val="nil"/>
              <w:left w:val="nil"/>
              <w:bottom w:val="single" w:sz="8" w:space="0" w:color="auto"/>
              <w:right w:val="single" w:sz="8" w:space="0" w:color="auto"/>
            </w:tcBorders>
            <w:shd w:val="clear" w:color="auto" w:fill="auto"/>
            <w:noWrap/>
            <w:vAlign w:val="center"/>
            <w:hideMark/>
          </w:tcPr>
          <w:p w14:paraId="7CA2AE26"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color w:val="auto"/>
                <w:sz w:val="20"/>
                <w:szCs w:val="20"/>
              </w:rPr>
            </w:pPr>
            <w:r w:rsidRPr="003B3407">
              <w:rPr>
                <w:rFonts w:ascii="Times New Roman" w:eastAsia="Times New Roman" w:hAnsi="Times New Roman" w:cs="Times New Roman"/>
                <w:color w:val="auto"/>
                <w:sz w:val="20"/>
                <w:szCs w:val="20"/>
              </w:rPr>
              <w:t>0,39%</w:t>
            </w:r>
          </w:p>
        </w:tc>
      </w:tr>
      <w:tr w:rsidR="00DE424A" w:rsidRPr="003B3407" w14:paraId="57358843" w14:textId="77777777" w:rsidTr="0001194F">
        <w:trPr>
          <w:trHeight w:val="300"/>
        </w:trPr>
        <w:tc>
          <w:tcPr>
            <w:tcW w:w="4100" w:type="dxa"/>
            <w:tcBorders>
              <w:top w:val="nil"/>
              <w:left w:val="single" w:sz="8" w:space="0" w:color="auto"/>
              <w:bottom w:val="single" w:sz="8" w:space="0" w:color="auto"/>
              <w:right w:val="single" w:sz="8" w:space="0" w:color="auto"/>
            </w:tcBorders>
            <w:shd w:val="clear" w:color="auto" w:fill="auto"/>
            <w:vAlign w:val="center"/>
            <w:hideMark/>
          </w:tcPr>
          <w:p w14:paraId="7D499F81" w14:textId="77777777" w:rsidR="00DE424A" w:rsidRPr="003B3407" w:rsidRDefault="00DE424A" w:rsidP="0001194F">
            <w:pPr>
              <w:spacing w:after="0" w:line="240" w:lineRule="auto"/>
              <w:ind w:left="0" w:right="0" w:firstLine="0"/>
              <w:jc w:val="left"/>
              <w:rPr>
                <w:rFonts w:ascii="Times New Roman" w:eastAsia="Times New Roman" w:hAnsi="Times New Roman" w:cs="Times New Roman"/>
                <w:color w:val="auto"/>
                <w:sz w:val="20"/>
                <w:szCs w:val="20"/>
              </w:rPr>
            </w:pPr>
            <w:r w:rsidRPr="003B3407">
              <w:rPr>
                <w:rFonts w:ascii="Times New Roman" w:eastAsia="Times New Roman" w:hAnsi="Times New Roman" w:cs="Times New Roman"/>
                <w:color w:val="auto"/>
                <w:sz w:val="20"/>
                <w:szCs w:val="20"/>
              </w:rPr>
              <w:t>POZOSTAŁE BRANŻE</w:t>
            </w:r>
          </w:p>
        </w:tc>
        <w:tc>
          <w:tcPr>
            <w:tcW w:w="1780" w:type="dxa"/>
            <w:tcBorders>
              <w:top w:val="nil"/>
              <w:left w:val="nil"/>
              <w:bottom w:val="single" w:sz="8" w:space="0" w:color="auto"/>
              <w:right w:val="single" w:sz="8" w:space="0" w:color="auto"/>
            </w:tcBorders>
            <w:shd w:val="clear" w:color="000000" w:fill="FFFFFF"/>
            <w:vAlign w:val="center"/>
            <w:hideMark/>
          </w:tcPr>
          <w:p w14:paraId="0C791B4A"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sz w:val="20"/>
                <w:szCs w:val="20"/>
              </w:rPr>
            </w:pPr>
            <w:r w:rsidRPr="003B3407">
              <w:rPr>
                <w:rFonts w:ascii="Times New Roman" w:eastAsia="Times New Roman" w:hAnsi="Times New Roman" w:cs="Times New Roman"/>
                <w:sz w:val="20"/>
                <w:szCs w:val="20"/>
              </w:rPr>
              <w:t>4 524,59</w:t>
            </w:r>
          </w:p>
        </w:tc>
        <w:tc>
          <w:tcPr>
            <w:tcW w:w="1660" w:type="dxa"/>
            <w:tcBorders>
              <w:top w:val="nil"/>
              <w:left w:val="nil"/>
              <w:bottom w:val="single" w:sz="8" w:space="0" w:color="auto"/>
              <w:right w:val="single" w:sz="8" w:space="0" w:color="auto"/>
            </w:tcBorders>
            <w:shd w:val="clear" w:color="auto" w:fill="auto"/>
            <w:noWrap/>
            <w:vAlign w:val="center"/>
            <w:hideMark/>
          </w:tcPr>
          <w:p w14:paraId="1D18B070" w14:textId="77777777" w:rsidR="00DE424A" w:rsidRPr="003B3407" w:rsidRDefault="00DE424A" w:rsidP="0001194F">
            <w:pPr>
              <w:spacing w:after="0" w:line="240" w:lineRule="auto"/>
              <w:ind w:left="0" w:right="0" w:firstLine="0"/>
              <w:jc w:val="center"/>
              <w:rPr>
                <w:rFonts w:ascii="Times New Roman" w:eastAsia="Times New Roman" w:hAnsi="Times New Roman" w:cs="Times New Roman"/>
                <w:color w:val="auto"/>
                <w:sz w:val="20"/>
                <w:szCs w:val="20"/>
              </w:rPr>
            </w:pPr>
            <w:r w:rsidRPr="003B3407">
              <w:rPr>
                <w:rFonts w:ascii="Times New Roman" w:eastAsia="Times New Roman" w:hAnsi="Times New Roman" w:cs="Times New Roman"/>
                <w:color w:val="auto"/>
                <w:sz w:val="20"/>
                <w:szCs w:val="20"/>
              </w:rPr>
              <w:t>0,70%</w:t>
            </w:r>
          </w:p>
        </w:tc>
      </w:tr>
    </w:tbl>
    <w:p w14:paraId="3BB9486F" w14:textId="77777777" w:rsidR="00DE424A" w:rsidRPr="007F07EA" w:rsidRDefault="00DE424A" w:rsidP="00DE424A">
      <w:pPr>
        <w:spacing w:after="3" w:line="259" w:lineRule="auto"/>
        <w:ind w:left="-5" w:right="0"/>
        <w:jc w:val="left"/>
        <w:rPr>
          <w:rFonts w:ascii="Times New Roman" w:hAnsi="Times New Roman" w:cs="Times New Roman"/>
          <w:i/>
          <w:color w:val="auto"/>
          <w:sz w:val="20"/>
        </w:rPr>
      </w:pPr>
    </w:p>
    <w:p w14:paraId="4AE39CC0" w14:textId="77777777" w:rsidR="00DE424A" w:rsidRPr="007F07EA" w:rsidRDefault="00DE424A" w:rsidP="00DE424A">
      <w:pPr>
        <w:spacing w:after="3" w:line="259" w:lineRule="auto"/>
        <w:ind w:left="-5" w:right="0"/>
        <w:jc w:val="left"/>
        <w:rPr>
          <w:rFonts w:ascii="Times New Roman" w:hAnsi="Times New Roman" w:cs="Times New Roman"/>
          <w:i/>
          <w:color w:val="auto"/>
          <w:sz w:val="20"/>
        </w:rPr>
      </w:pPr>
      <w:r w:rsidRPr="007F07EA">
        <w:rPr>
          <w:rFonts w:ascii="Times New Roman" w:hAnsi="Times New Roman" w:cs="Times New Roman"/>
          <w:i/>
          <w:color w:val="auto"/>
          <w:sz w:val="20"/>
        </w:rPr>
        <w:t>Tabela - Ekspozycje wobec MŚP w podziale na klasy ekspozycji – 31.12.20</w:t>
      </w:r>
      <w:r>
        <w:rPr>
          <w:rFonts w:ascii="Times New Roman" w:hAnsi="Times New Roman" w:cs="Times New Roman"/>
          <w:i/>
          <w:color w:val="auto"/>
          <w:sz w:val="20"/>
        </w:rPr>
        <w:t>20</w:t>
      </w:r>
      <w:r w:rsidRPr="007F07EA">
        <w:rPr>
          <w:rFonts w:ascii="Times New Roman" w:hAnsi="Times New Roman" w:cs="Times New Roman"/>
          <w:i/>
          <w:color w:val="auto"/>
          <w:sz w:val="20"/>
        </w:rPr>
        <w:t xml:space="preserve"> r. (w tys. zł)</w:t>
      </w:r>
    </w:p>
    <w:tbl>
      <w:tblPr>
        <w:tblW w:w="8420" w:type="dxa"/>
        <w:tblCellMar>
          <w:left w:w="70" w:type="dxa"/>
          <w:right w:w="70" w:type="dxa"/>
        </w:tblCellMar>
        <w:tblLook w:val="04A0" w:firstRow="1" w:lastRow="0" w:firstColumn="1" w:lastColumn="0" w:noHBand="0" w:noVBand="1"/>
      </w:tblPr>
      <w:tblGrid>
        <w:gridCol w:w="3940"/>
        <w:gridCol w:w="1920"/>
        <w:gridCol w:w="2560"/>
      </w:tblGrid>
      <w:tr w:rsidR="00DE424A" w:rsidRPr="00A70FD2" w14:paraId="266DABF7" w14:textId="77777777" w:rsidTr="0001194F">
        <w:trPr>
          <w:trHeight w:val="1380"/>
        </w:trPr>
        <w:tc>
          <w:tcPr>
            <w:tcW w:w="394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90156D5" w14:textId="77777777" w:rsidR="00DE424A" w:rsidRPr="00A70FD2" w:rsidRDefault="00DE424A" w:rsidP="0001194F">
            <w:pPr>
              <w:spacing w:after="0" w:line="240" w:lineRule="auto"/>
              <w:ind w:left="0" w:right="0" w:firstLine="0"/>
              <w:jc w:val="center"/>
              <w:rPr>
                <w:rFonts w:ascii="Times New Roman" w:eastAsia="Times New Roman" w:hAnsi="Times New Roman" w:cs="Times New Roman"/>
                <w:b/>
                <w:bCs/>
                <w:color w:val="auto"/>
                <w:sz w:val="22"/>
              </w:rPr>
            </w:pPr>
            <w:r w:rsidRPr="00A70FD2">
              <w:rPr>
                <w:rFonts w:ascii="Times New Roman" w:eastAsia="Times New Roman" w:hAnsi="Times New Roman" w:cs="Times New Roman"/>
                <w:b/>
                <w:bCs/>
                <w:color w:val="auto"/>
                <w:sz w:val="22"/>
              </w:rPr>
              <w:t>KLASA EKSPOZYCJI</w:t>
            </w:r>
          </w:p>
        </w:tc>
        <w:tc>
          <w:tcPr>
            <w:tcW w:w="1920" w:type="dxa"/>
            <w:tcBorders>
              <w:top w:val="single" w:sz="4" w:space="0" w:color="auto"/>
              <w:left w:val="nil"/>
              <w:bottom w:val="single" w:sz="4" w:space="0" w:color="auto"/>
              <w:right w:val="single" w:sz="4" w:space="0" w:color="auto"/>
            </w:tcBorders>
            <w:shd w:val="clear" w:color="000000" w:fill="BDD7EE"/>
            <w:vAlign w:val="center"/>
            <w:hideMark/>
          </w:tcPr>
          <w:p w14:paraId="636CDE20" w14:textId="77777777" w:rsidR="00DE424A" w:rsidRPr="00A70FD2" w:rsidRDefault="00DE424A" w:rsidP="0001194F">
            <w:pPr>
              <w:spacing w:after="0" w:line="240" w:lineRule="auto"/>
              <w:ind w:left="0" w:right="0" w:firstLine="0"/>
              <w:jc w:val="center"/>
              <w:rPr>
                <w:rFonts w:ascii="Times New Roman" w:eastAsia="Times New Roman" w:hAnsi="Times New Roman" w:cs="Times New Roman"/>
                <w:b/>
                <w:bCs/>
                <w:color w:val="auto"/>
                <w:sz w:val="22"/>
              </w:rPr>
            </w:pPr>
            <w:r w:rsidRPr="00A70FD2">
              <w:rPr>
                <w:rFonts w:ascii="Times New Roman" w:eastAsia="Times New Roman" w:hAnsi="Times New Roman" w:cs="Times New Roman"/>
                <w:b/>
                <w:bCs/>
                <w:color w:val="auto"/>
                <w:sz w:val="22"/>
              </w:rPr>
              <w:t>Ekspozycje wobec MŚP</w:t>
            </w:r>
          </w:p>
        </w:tc>
        <w:tc>
          <w:tcPr>
            <w:tcW w:w="2560" w:type="dxa"/>
            <w:tcBorders>
              <w:top w:val="single" w:sz="4" w:space="0" w:color="auto"/>
              <w:left w:val="nil"/>
              <w:bottom w:val="single" w:sz="4" w:space="0" w:color="auto"/>
              <w:right w:val="single" w:sz="4" w:space="0" w:color="auto"/>
            </w:tcBorders>
            <w:shd w:val="clear" w:color="000000" w:fill="BDD7EE"/>
            <w:vAlign w:val="center"/>
            <w:hideMark/>
          </w:tcPr>
          <w:p w14:paraId="62926D08" w14:textId="77777777" w:rsidR="00DE424A" w:rsidRPr="00A70FD2" w:rsidRDefault="00DE424A" w:rsidP="0001194F">
            <w:pPr>
              <w:spacing w:after="0" w:line="240" w:lineRule="auto"/>
              <w:ind w:left="0" w:right="0" w:firstLine="0"/>
              <w:jc w:val="center"/>
              <w:rPr>
                <w:rFonts w:ascii="Times New Roman" w:eastAsia="Times New Roman" w:hAnsi="Times New Roman" w:cs="Times New Roman"/>
                <w:b/>
                <w:bCs/>
                <w:color w:val="auto"/>
                <w:sz w:val="22"/>
              </w:rPr>
            </w:pPr>
            <w:r w:rsidRPr="00A70FD2">
              <w:rPr>
                <w:rFonts w:ascii="Times New Roman" w:eastAsia="Times New Roman" w:hAnsi="Times New Roman" w:cs="Times New Roman"/>
                <w:b/>
                <w:bCs/>
                <w:color w:val="auto"/>
                <w:sz w:val="22"/>
              </w:rPr>
              <w:t>Kwota ekspozycji ważonej ryzykiem po zastosowaniu współczynnika wsparcia wobec MŚP</w:t>
            </w:r>
          </w:p>
        </w:tc>
      </w:tr>
      <w:tr w:rsidR="00DE424A" w:rsidRPr="00A70FD2" w14:paraId="430E4C42" w14:textId="77777777" w:rsidTr="0001194F">
        <w:trPr>
          <w:trHeight w:val="552"/>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586AF753" w14:textId="77777777" w:rsidR="00DE424A" w:rsidRPr="00A70FD2" w:rsidRDefault="00DE424A" w:rsidP="0001194F">
            <w:pPr>
              <w:spacing w:after="0" w:line="240" w:lineRule="auto"/>
              <w:ind w:left="0" w:right="0" w:firstLine="0"/>
              <w:jc w:val="left"/>
              <w:rPr>
                <w:rFonts w:ascii="Times New Roman" w:eastAsia="Times New Roman" w:hAnsi="Times New Roman" w:cs="Times New Roman"/>
                <w:color w:val="auto"/>
                <w:sz w:val="22"/>
              </w:rPr>
            </w:pPr>
            <w:r w:rsidRPr="00A70FD2">
              <w:rPr>
                <w:rFonts w:ascii="Times New Roman" w:eastAsia="Times New Roman" w:hAnsi="Times New Roman" w:cs="Times New Roman"/>
                <w:color w:val="auto"/>
                <w:sz w:val="22"/>
              </w:rPr>
              <w:t>[CDEC009] Ekspozycje wobec przedsiębiorstw</w:t>
            </w:r>
          </w:p>
        </w:tc>
        <w:tc>
          <w:tcPr>
            <w:tcW w:w="1920" w:type="dxa"/>
            <w:tcBorders>
              <w:top w:val="nil"/>
              <w:left w:val="nil"/>
              <w:bottom w:val="single" w:sz="4" w:space="0" w:color="auto"/>
              <w:right w:val="single" w:sz="4" w:space="0" w:color="auto"/>
            </w:tcBorders>
            <w:shd w:val="clear" w:color="auto" w:fill="auto"/>
            <w:vAlign w:val="center"/>
            <w:hideMark/>
          </w:tcPr>
          <w:p w14:paraId="1A9F07C4" w14:textId="77777777" w:rsidR="00DE424A" w:rsidRPr="00A70FD2" w:rsidRDefault="00DE424A" w:rsidP="0001194F">
            <w:pPr>
              <w:spacing w:after="0" w:line="240" w:lineRule="auto"/>
              <w:ind w:left="0" w:right="0" w:firstLine="0"/>
              <w:jc w:val="center"/>
              <w:rPr>
                <w:rFonts w:ascii="Times New Roman" w:eastAsia="Times New Roman" w:hAnsi="Times New Roman" w:cs="Times New Roman"/>
                <w:color w:val="auto"/>
                <w:sz w:val="22"/>
              </w:rPr>
            </w:pPr>
            <w:r w:rsidRPr="00A70FD2">
              <w:rPr>
                <w:rFonts w:ascii="Times New Roman" w:eastAsia="Times New Roman" w:hAnsi="Times New Roman" w:cs="Times New Roman"/>
                <w:color w:val="auto"/>
                <w:sz w:val="22"/>
              </w:rPr>
              <w:t>19 057</w:t>
            </w:r>
          </w:p>
        </w:tc>
        <w:tc>
          <w:tcPr>
            <w:tcW w:w="2560" w:type="dxa"/>
            <w:tcBorders>
              <w:top w:val="nil"/>
              <w:left w:val="nil"/>
              <w:bottom w:val="single" w:sz="4" w:space="0" w:color="auto"/>
              <w:right w:val="single" w:sz="4" w:space="0" w:color="auto"/>
            </w:tcBorders>
            <w:shd w:val="clear" w:color="auto" w:fill="auto"/>
            <w:vAlign w:val="center"/>
            <w:hideMark/>
          </w:tcPr>
          <w:p w14:paraId="61F9B129" w14:textId="77777777" w:rsidR="00DE424A" w:rsidRPr="00A70FD2" w:rsidRDefault="00DE424A" w:rsidP="0001194F">
            <w:pPr>
              <w:spacing w:after="0" w:line="240" w:lineRule="auto"/>
              <w:ind w:left="0" w:right="0" w:firstLine="0"/>
              <w:jc w:val="center"/>
              <w:rPr>
                <w:rFonts w:ascii="Times New Roman" w:eastAsia="Times New Roman" w:hAnsi="Times New Roman" w:cs="Times New Roman"/>
                <w:color w:val="auto"/>
                <w:sz w:val="22"/>
              </w:rPr>
            </w:pPr>
            <w:r w:rsidRPr="00A70FD2">
              <w:rPr>
                <w:rFonts w:ascii="Times New Roman" w:eastAsia="Times New Roman" w:hAnsi="Times New Roman" w:cs="Times New Roman"/>
                <w:color w:val="auto"/>
                <w:sz w:val="22"/>
              </w:rPr>
              <w:t>13 578</w:t>
            </w:r>
          </w:p>
        </w:tc>
      </w:tr>
      <w:tr w:rsidR="00DE424A" w:rsidRPr="00A70FD2" w14:paraId="435EAAC4" w14:textId="77777777" w:rsidTr="0001194F">
        <w:trPr>
          <w:trHeight w:val="288"/>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16905C11" w14:textId="77777777" w:rsidR="00DE424A" w:rsidRPr="00A70FD2" w:rsidRDefault="00DE424A" w:rsidP="0001194F">
            <w:pPr>
              <w:spacing w:after="0" w:line="240" w:lineRule="auto"/>
              <w:ind w:left="0" w:right="0" w:firstLine="0"/>
              <w:jc w:val="left"/>
              <w:rPr>
                <w:rFonts w:ascii="Times New Roman" w:eastAsia="Times New Roman" w:hAnsi="Times New Roman" w:cs="Times New Roman"/>
                <w:sz w:val="22"/>
              </w:rPr>
            </w:pPr>
            <w:r w:rsidRPr="00A70FD2">
              <w:rPr>
                <w:rFonts w:ascii="Times New Roman" w:eastAsia="Times New Roman" w:hAnsi="Times New Roman" w:cs="Times New Roman"/>
                <w:sz w:val="22"/>
              </w:rPr>
              <w:t>[CDEC010] Ekspozycje detaliczne</w:t>
            </w:r>
          </w:p>
        </w:tc>
        <w:tc>
          <w:tcPr>
            <w:tcW w:w="1920" w:type="dxa"/>
            <w:tcBorders>
              <w:top w:val="nil"/>
              <w:left w:val="nil"/>
              <w:bottom w:val="single" w:sz="4" w:space="0" w:color="auto"/>
              <w:right w:val="single" w:sz="4" w:space="0" w:color="auto"/>
            </w:tcBorders>
            <w:shd w:val="clear" w:color="auto" w:fill="auto"/>
            <w:vAlign w:val="center"/>
            <w:hideMark/>
          </w:tcPr>
          <w:p w14:paraId="3B28B4B8" w14:textId="77777777" w:rsidR="00DE424A" w:rsidRPr="00A70FD2" w:rsidRDefault="00DE424A" w:rsidP="0001194F">
            <w:pPr>
              <w:spacing w:after="0" w:line="240" w:lineRule="auto"/>
              <w:ind w:left="0" w:right="0" w:firstLine="0"/>
              <w:jc w:val="center"/>
              <w:rPr>
                <w:rFonts w:ascii="Times New Roman" w:eastAsia="Times New Roman" w:hAnsi="Times New Roman" w:cs="Times New Roman"/>
                <w:color w:val="auto"/>
                <w:sz w:val="22"/>
              </w:rPr>
            </w:pPr>
            <w:r w:rsidRPr="00A70FD2">
              <w:rPr>
                <w:rFonts w:ascii="Times New Roman" w:eastAsia="Times New Roman" w:hAnsi="Times New Roman" w:cs="Times New Roman"/>
                <w:color w:val="auto"/>
                <w:sz w:val="22"/>
              </w:rPr>
              <w:t>59 451</w:t>
            </w:r>
          </w:p>
        </w:tc>
        <w:tc>
          <w:tcPr>
            <w:tcW w:w="2560" w:type="dxa"/>
            <w:tcBorders>
              <w:top w:val="nil"/>
              <w:left w:val="nil"/>
              <w:bottom w:val="single" w:sz="4" w:space="0" w:color="auto"/>
              <w:right w:val="single" w:sz="4" w:space="0" w:color="auto"/>
            </w:tcBorders>
            <w:shd w:val="clear" w:color="auto" w:fill="auto"/>
            <w:vAlign w:val="center"/>
            <w:hideMark/>
          </w:tcPr>
          <w:p w14:paraId="23A9C7B2" w14:textId="77777777" w:rsidR="00DE424A" w:rsidRPr="00A70FD2" w:rsidRDefault="00DE424A" w:rsidP="0001194F">
            <w:pPr>
              <w:spacing w:after="0" w:line="240" w:lineRule="auto"/>
              <w:ind w:left="0" w:right="0" w:firstLine="0"/>
              <w:jc w:val="center"/>
              <w:rPr>
                <w:rFonts w:ascii="Times New Roman" w:eastAsia="Times New Roman" w:hAnsi="Times New Roman" w:cs="Times New Roman"/>
                <w:color w:val="auto"/>
                <w:sz w:val="22"/>
              </w:rPr>
            </w:pPr>
            <w:r w:rsidRPr="00A70FD2">
              <w:rPr>
                <w:rFonts w:ascii="Times New Roman" w:eastAsia="Times New Roman" w:hAnsi="Times New Roman" w:cs="Times New Roman"/>
                <w:color w:val="auto"/>
                <w:sz w:val="22"/>
              </w:rPr>
              <w:t>30 646</w:t>
            </w:r>
          </w:p>
        </w:tc>
      </w:tr>
      <w:tr w:rsidR="00DE424A" w:rsidRPr="00A70FD2" w14:paraId="6CD54E3E" w14:textId="77777777" w:rsidTr="0001194F">
        <w:trPr>
          <w:trHeight w:val="552"/>
        </w:trPr>
        <w:tc>
          <w:tcPr>
            <w:tcW w:w="3940" w:type="dxa"/>
            <w:tcBorders>
              <w:top w:val="nil"/>
              <w:left w:val="single" w:sz="4" w:space="0" w:color="auto"/>
              <w:bottom w:val="single" w:sz="4" w:space="0" w:color="auto"/>
              <w:right w:val="single" w:sz="4" w:space="0" w:color="auto"/>
            </w:tcBorders>
            <w:shd w:val="clear" w:color="auto" w:fill="auto"/>
            <w:vAlign w:val="center"/>
            <w:hideMark/>
          </w:tcPr>
          <w:p w14:paraId="21C9F666" w14:textId="77777777" w:rsidR="00DE424A" w:rsidRPr="00A70FD2" w:rsidRDefault="00DE424A" w:rsidP="0001194F">
            <w:pPr>
              <w:spacing w:after="0" w:line="240" w:lineRule="auto"/>
              <w:ind w:left="0" w:right="0" w:firstLine="0"/>
              <w:jc w:val="left"/>
              <w:rPr>
                <w:rFonts w:ascii="Times New Roman" w:eastAsia="Times New Roman" w:hAnsi="Times New Roman" w:cs="Times New Roman"/>
                <w:sz w:val="22"/>
              </w:rPr>
            </w:pPr>
            <w:r w:rsidRPr="00A70FD2">
              <w:rPr>
                <w:rFonts w:ascii="Times New Roman" w:eastAsia="Times New Roman" w:hAnsi="Times New Roman" w:cs="Times New Roman"/>
                <w:sz w:val="22"/>
              </w:rPr>
              <w:t xml:space="preserve">[CDEC011] Ekspozycje zabezpieczone na nieruchomościach </w:t>
            </w:r>
          </w:p>
        </w:tc>
        <w:tc>
          <w:tcPr>
            <w:tcW w:w="1920" w:type="dxa"/>
            <w:tcBorders>
              <w:top w:val="nil"/>
              <w:left w:val="nil"/>
              <w:bottom w:val="single" w:sz="4" w:space="0" w:color="auto"/>
              <w:right w:val="single" w:sz="4" w:space="0" w:color="auto"/>
            </w:tcBorders>
            <w:shd w:val="clear" w:color="auto" w:fill="auto"/>
            <w:vAlign w:val="center"/>
            <w:hideMark/>
          </w:tcPr>
          <w:p w14:paraId="5BFE6EAF" w14:textId="77777777" w:rsidR="00DE424A" w:rsidRPr="00A70FD2" w:rsidRDefault="00DE424A" w:rsidP="0001194F">
            <w:pPr>
              <w:spacing w:after="0" w:line="240" w:lineRule="auto"/>
              <w:ind w:left="0" w:right="0" w:firstLine="0"/>
              <w:jc w:val="center"/>
              <w:rPr>
                <w:rFonts w:ascii="Times New Roman" w:eastAsia="Times New Roman" w:hAnsi="Times New Roman" w:cs="Times New Roman"/>
                <w:sz w:val="22"/>
              </w:rPr>
            </w:pPr>
            <w:r w:rsidRPr="00A70FD2">
              <w:rPr>
                <w:rFonts w:ascii="Times New Roman" w:eastAsia="Times New Roman" w:hAnsi="Times New Roman" w:cs="Times New Roman"/>
                <w:sz w:val="22"/>
              </w:rPr>
              <w:t>144 545</w:t>
            </w:r>
          </w:p>
        </w:tc>
        <w:tc>
          <w:tcPr>
            <w:tcW w:w="2560" w:type="dxa"/>
            <w:tcBorders>
              <w:top w:val="nil"/>
              <w:left w:val="nil"/>
              <w:bottom w:val="single" w:sz="4" w:space="0" w:color="auto"/>
              <w:right w:val="single" w:sz="4" w:space="0" w:color="auto"/>
            </w:tcBorders>
            <w:shd w:val="clear" w:color="auto" w:fill="auto"/>
            <w:vAlign w:val="center"/>
            <w:hideMark/>
          </w:tcPr>
          <w:p w14:paraId="4AE9224A" w14:textId="77777777" w:rsidR="00DE424A" w:rsidRPr="00A70FD2" w:rsidRDefault="00DE424A" w:rsidP="0001194F">
            <w:pPr>
              <w:spacing w:after="0" w:line="240" w:lineRule="auto"/>
              <w:ind w:left="0" w:right="0" w:firstLine="0"/>
              <w:jc w:val="center"/>
              <w:rPr>
                <w:rFonts w:ascii="Times New Roman" w:eastAsia="Times New Roman" w:hAnsi="Times New Roman" w:cs="Times New Roman"/>
                <w:sz w:val="22"/>
              </w:rPr>
            </w:pPr>
            <w:r w:rsidRPr="00A70FD2">
              <w:rPr>
                <w:rFonts w:ascii="Times New Roman" w:eastAsia="Times New Roman" w:hAnsi="Times New Roman" w:cs="Times New Roman"/>
                <w:sz w:val="22"/>
              </w:rPr>
              <w:t>107 397</w:t>
            </w:r>
          </w:p>
        </w:tc>
      </w:tr>
    </w:tbl>
    <w:p w14:paraId="4E2786CD" w14:textId="77777777" w:rsidR="00DE424A" w:rsidRPr="007F07EA" w:rsidRDefault="00DE424A" w:rsidP="00DE424A">
      <w:pPr>
        <w:spacing w:after="3" w:line="259" w:lineRule="auto"/>
        <w:ind w:left="-5" w:right="0"/>
        <w:jc w:val="left"/>
        <w:rPr>
          <w:rFonts w:ascii="Times New Roman" w:hAnsi="Times New Roman" w:cs="Times New Roman"/>
          <w:i/>
          <w:color w:val="auto"/>
          <w:szCs w:val="24"/>
        </w:rPr>
      </w:pPr>
    </w:p>
    <w:p w14:paraId="2FBEF11A" w14:textId="77777777" w:rsidR="00343E14" w:rsidRPr="00065790" w:rsidRDefault="00343E14">
      <w:pPr>
        <w:spacing w:after="3" w:line="259" w:lineRule="auto"/>
        <w:ind w:left="-5" w:right="0"/>
        <w:jc w:val="left"/>
        <w:rPr>
          <w:rFonts w:ascii="Times New Roman" w:hAnsi="Times New Roman" w:cs="Times New Roman"/>
          <w:i/>
          <w:color w:val="FF0000"/>
          <w:sz w:val="20"/>
        </w:rPr>
      </w:pPr>
    </w:p>
    <w:p w14:paraId="40E009E0" w14:textId="77777777" w:rsidR="00F364C8" w:rsidRPr="004057D3" w:rsidRDefault="00E81BF6" w:rsidP="00F364C8">
      <w:pPr>
        <w:pStyle w:val="Nagwek2"/>
        <w:spacing w:after="224"/>
        <w:ind w:left="-5" w:right="7"/>
        <w:rPr>
          <w:rFonts w:ascii="Times New Roman" w:hAnsi="Times New Roman" w:cs="Times New Roman"/>
          <w:color w:val="000000" w:themeColor="text1"/>
        </w:rPr>
      </w:pPr>
      <w:bookmarkStart w:id="45" w:name="_Toc75336274"/>
      <w:r w:rsidRPr="004057D3">
        <w:rPr>
          <w:rFonts w:ascii="Times New Roman" w:hAnsi="Times New Roman" w:cs="Times New Roman"/>
          <w:color w:val="000000" w:themeColor="text1"/>
        </w:rPr>
        <w:lastRenderedPageBreak/>
        <w:t>9.6. Zestawienie rezydualnych terminów zapadalności dla wszystk</w:t>
      </w:r>
      <w:r w:rsidR="00F364C8" w:rsidRPr="004057D3">
        <w:rPr>
          <w:rFonts w:ascii="Times New Roman" w:hAnsi="Times New Roman" w:cs="Times New Roman"/>
          <w:color w:val="000000" w:themeColor="text1"/>
        </w:rPr>
        <w:t>ich ekspozycji z </w:t>
      </w:r>
      <w:r w:rsidRPr="004057D3">
        <w:rPr>
          <w:rFonts w:ascii="Times New Roman" w:hAnsi="Times New Roman" w:cs="Times New Roman"/>
          <w:color w:val="000000" w:themeColor="text1"/>
        </w:rPr>
        <w:t>podziałem na kategorie ekspozycji wraz z dodatkowymi szczegółowymi podziałami w stosownych przypadkach</w:t>
      </w:r>
      <w:bookmarkEnd w:id="45"/>
    </w:p>
    <w:p w14:paraId="6DE7A9FE" w14:textId="4B07CBA7" w:rsidR="002C50F6" w:rsidRPr="004057D3" w:rsidRDefault="00E81BF6">
      <w:pPr>
        <w:spacing w:after="3" w:line="259" w:lineRule="auto"/>
        <w:ind w:left="-5" w:right="0"/>
        <w:jc w:val="left"/>
        <w:rPr>
          <w:rFonts w:ascii="Times New Roman" w:hAnsi="Times New Roman" w:cs="Times New Roman"/>
          <w:i/>
          <w:color w:val="000000" w:themeColor="text1"/>
          <w:sz w:val="20"/>
        </w:rPr>
      </w:pPr>
      <w:r w:rsidRPr="004057D3">
        <w:rPr>
          <w:rFonts w:ascii="Times New Roman" w:hAnsi="Times New Roman" w:cs="Times New Roman"/>
          <w:i/>
          <w:color w:val="000000" w:themeColor="text1"/>
          <w:sz w:val="20"/>
        </w:rPr>
        <w:t>Tabela – ekspozycje wg rezydualnych terminów zapadalności – 31.12.20</w:t>
      </w:r>
      <w:r w:rsidR="004057D3" w:rsidRPr="004057D3">
        <w:rPr>
          <w:rFonts w:ascii="Times New Roman" w:hAnsi="Times New Roman" w:cs="Times New Roman"/>
          <w:i/>
          <w:color w:val="000000" w:themeColor="text1"/>
          <w:sz w:val="20"/>
        </w:rPr>
        <w:t>20</w:t>
      </w:r>
      <w:r w:rsidRPr="004057D3">
        <w:rPr>
          <w:rFonts w:ascii="Times New Roman" w:hAnsi="Times New Roman" w:cs="Times New Roman"/>
          <w:i/>
          <w:color w:val="000000" w:themeColor="text1"/>
          <w:sz w:val="20"/>
        </w:rPr>
        <w:t xml:space="preserve"> r. (</w:t>
      </w:r>
      <w:r w:rsidR="0014078F" w:rsidRPr="004057D3">
        <w:rPr>
          <w:rFonts w:ascii="Times New Roman" w:hAnsi="Times New Roman" w:cs="Times New Roman"/>
          <w:i/>
          <w:color w:val="000000" w:themeColor="text1"/>
          <w:sz w:val="20"/>
        </w:rPr>
        <w:t>w tys. zł</w:t>
      </w:r>
      <w:r w:rsidRPr="004057D3">
        <w:rPr>
          <w:rFonts w:ascii="Times New Roman" w:hAnsi="Times New Roman" w:cs="Times New Roman"/>
          <w:i/>
          <w:color w:val="000000" w:themeColor="text1"/>
          <w:sz w:val="20"/>
        </w:rPr>
        <w:t>– wartość nominalna)</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81"/>
        <w:gridCol w:w="594"/>
        <w:gridCol w:w="709"/>
        <w:gridCol w:w="708"/>
        <w:gridCol w:w="709"/>
        <w:gridCol w:w="709"/>
        <w:gridCol w:w="600"/>
        <w:gridCol w:w="676"/>
        <w:gridCol w:w="708"/>
        <w:gridCol w:w="709"/>
        <w:gridCol w:w="592"/>
        <w:gridCol w:w="826"/>
        <w:gridCol w:w="810"/>
      </w:tblGrid>
      <w:tr w:rsidR="004057D3" w:rsidRPr="004057D3" w14:paraId="61225653" w14:textId="77777777" w:rsidTr="0026498E">
        <w:trPr>
          <w:trHeight w:val="945"/>
        </w:trPr>
        <w:tc>
          <w:tcPr>
            <w:tcW w:w="1381" w:type="dxa"/>
            <w:shd w:val="clear" w:color="auto" w:fill="BDD6EE" w:themeFill="accent1" w:themeFillTint="66"/>
            <w:vAlign w:val="center"/>
            <w:hideMark/>
          </w:tcPr>
          <w:p w14:paraId="325A9FE0" w14:textId="77777777" w:rsidR="00DA0038" w:rsidRPr="004057D3" w:rsidRDefault="00DA0038" w:rsidP="0026498E">
            <w:pPr>
              <w:spacing w:after="0" w:line="240" w:lineRule="auto"/>
              <w:ind w:left="0" w:right="0" w:firstLine="0"/>
              <w:jc w:val="center"/>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LUKA</w:t>
            </w:r>
          </w:p>
        </w:tc>
        <w:tc>
          <w:tcPr>
            <w:tcW w:w="594" w:type="dxa"/>
            <w:shd w:val="clear" w:color="auto" w:fill="BDD6EE" w:themeFill="accent1" w:themeFillTint="66"/>
            <w:vAlign w:val="center"/>
            <w:hideMark/>
          </w:tcPr>
          <w:p w14:paraId="59B41E54" w14:textId="77777777" w:rsidR="00DA0038" w:rsidRPr="004057D3" w:rsidRDefault="00DA0038" w:rsidP="0026498E">
            <w:pPr>
              <w:spacing w:after="0" w:line="240" w:lineRule="auto"/>
              <w:ind w:left="0" w:right="0" w:hanging="68"/>
              <w:jc w:val="center"/>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&lt;= 1</w:t>
            </w:r>
          </w:p>
          <w:p w14:paraId="6DFC6111" w14:textId="77777777" w:rsidR="00DA0038" w:rsidRPr="004057D3" w:rsidRDefault="00DA0038" w:rsidP="0026498E">
            <w:pPr>
              <w:spacing w:after="0" w:line="240" w:lineRule="auto"/>
              <w:ind w:left="0" w:right="0" w:firstLine="0"/>
              <w:jc w:val="center"/>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tygodnia</w:t>
            </w:r>
          </w:p>
          <w:p w14:paraId="0624C03E" w14:textId="77777777" w:rsidR="00DA0038" w:rsidRPr="004057D3" w:rsidRDefault="00DA0038" w:rsidP="0026498E">
            <w:pPr>
              <w:spacing w:after="0" w:line="240" w:lineRule="auto"/>
              <w:ind w:left="0" w:right="0"/>
              <w:jc w:val="left"/>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color w:val="000000" w:themeColor="text1"/>
                <w:sz w:val="14"/>
                <w:szCs w:val="14"/>
              </w:rPr>
              <w:t> </w:t>
            </w:r>
          </w:p>
        </w:tc>
        <w:tc>
          <w:tcPr>
            <w:tcW w:w="709" w:type="dxa"/>
            <w:shd w:val="clear" w:color="auto" w:fill="BDD6EE" w:themeFill="accent1" w:themeFillTint="66"/>
            <w:vAlign w:val="center"/>
            <w:hideMark/>
          </w:tcPr>
          <w:p w14:paraId="4AEFAFC3" w14:textId="77777777" w:rsidR="00DA0038" w:rsidRPr="004057D3" w:rsidRDefault="00DA0038" w:rsidP="0026498E">
            <w:pPr>
              <w:spacing w:after="0" w:line="240" w:lineRule="auto"/>
              <w:ind w:left="0" w:right="0" w:firstLine="0"/>
              <w:jc w:val="center"/>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&gt; 1 tygodnia</w:t>
            </w:r>
          </w:p>
          <w:p w14:paraId="6836B03E" w14:textId="77777777" w:rsidR="00DA0038" w:rsidRPr="004057D3" w:rsidRDefault="00DA0038" w:rsidP="0026498E">
            <w:pPr>
              <w:spacing w:after="0" w:line="240" w:lineRule="auto"/>
              <w:ind w:left="0" w:right="0" w:firstLine="0"/>
              <w:jc w:val="center"/>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&lt;= 1</w:t>
            </w:r>
          </w:p>
          <w:p w14:paraId="151423A7" w14:textId="77777777" w:rsidR="00DA0038" w:rsidRPr="004057D3" w:rsidRDefault="00DA0038" w:rsidP="0026498E">
            <w:pPr>
              <w:spacing w:after="0" w:line="240" w:lineRule="auto"/>
              <w:ind w:left="0" w:right="0"/>
              <w:jc w:val="left"/>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miesiąca</w:t>
            </w:r>
          </w:p>
        </w:tc>
        <w:tc>
          <w:tcPr>
            <w:tcW w:w="708" w:type="dxa"/>
            <w:shd w:val="clear" w:color="auto" w:fill="BDD6EE" w:themeFill="accent1" w:themeFillTint="66"/>
            <w:vAlign w:val="center"/>
            <w:hideMark/>
          </w:tcPr>
          <w:p w14:paraId="40A86B13" w14:textId="77777777" w:rsidR="00DA0038" w:rsidRPr="004057D3" w:rsidRDefault="00DA0038" w:rsidP="0026498E">
            <w:pPr>
              <w:spacing w:after="0" w:line="240" w:lineRule="auto"/>
              <w:ind w:left="0" w:right="0" w:firstLine="0"/>
              <w:jc w:val="center"/>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&gt;</w:t>
            </w:r>
          </w:p>
          <w:p w14:paraId="18209497" w14:textId="77777777" w:rsidR="00DA0038" w:rsidRPr="004057D3" w:rsidRDefault="00DA0038" w:rsidP="0026498E">
            <w:pPr>
              <w:spacing w:after="0" w:line="240" w:lineRule="auto"/>
              <w:ind w:left="0" w:right="0" w:firstLine="0"/>
              <w:jc w:val="center"/>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 xml:space="preserve"> 1 miesiąca</w:t>
            </w:r>
          </w:p>
          <w:p w14:paraId="34F132C8" w14:textId="77777777" w:rsidR="00DA0038" w:rsidRPr="004057D3" w:rsidRDefault="00DA0038" w:rsidP="0026498E">
            <w:pPr>
              <w:spacing w:after="0" w:line="240" w:lineRule="auto"/>
              <w:ind w:left="0" w:right="0" w:firstLine="0"/>
              <w:jc w:val="center"/>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&lt;=</w:t>
            </w:r>
          </w:p>
          <w:p w14:paraId="2435F8E7" w14:textId="77777777" w:rsidR="00DA0038" w:rsidRPr="004057D3" w:rsidRDefault="00DA0038" w:rsidP="0026498E">
            <w:pPr>
              <w:spacing w:after="0" w:line="240" w:lineRule="auto"/>
              <w:ind w:left="0" w:right="0" w:firstLine="0"/>
              <w:jc w:val="center"/>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 xml:space="preserve"> 3</w:t>
            </w:r>
          </w:p>
          <w:p w14:paraId="459A6C04" w14:textId="77777777" w:rsidR="00DA0038" w:rsidRPr="004057D3" w:rsidRDefault="00DA0038" w:rsidP="0026498E">
            <w:pPr>
              <w:spacing w:after="0" w:line="240" w:lineRule="auto"/>
              <w:ind w:left="0" w:right="0"/>
              <w:jc w:val="left"/>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miesięcy</w:t>
            </w:r>
          </w:p>
        </w:tc>
        <w:tc>
          <w:tcPr>
            <w:tcW w:w="709" w:type="dxa"/>
            <w:shd w:val="clear" w:color="auto" w:fill="BDD6EE" w:themeFill="accent1" w:themeFillTint="66"/>
            <w:vAlign w:val="center"/>
            <w:hideMark/>
          </w:tcPr>
          <w:p w14:paraId="502EB4D6" w14:textId="77777777" w:rsidR="00DA0038" w:rsidRPr="004057D3" w:rsidRDefault="00DA0038" w:rsidP="0026498E">
            <w:pPr>
              <w:spacing w:after="0" w:line="240" w:lineRule="auto"/>
              <w:ind w:left="0" w:right="0" w:firstLine="0"/>
              <w:jc w:val="center"/>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&gt; 3 miesięcy</w:t>
            </w:r>
          </w:p>
          <w:p w14:paraId="2ADC5859" w14:textId="77777777" w:rsidR="00DA0038" w:rsidRPr="004057D3" w:rsidRDefault="00DA0038" w:rsidP="0026498E">
            <w:pPr>
              <w:spacing w:after="0" w:line="240" w:lineRule="auto"/>
              <w:ind w:left="0" w:right="0" w:firstLine="0"/>
              <w:jc w:val="center"/>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&lt;= 6</w:t>
            </w:r>
          </w:p>
          <w:p w14:paraId="623629AB" w14:textId="77777777" w:rsidR="00DA0038" w:rsidRPr="004057D3" w:rsidRDefault="00DA0038" w:rsidP="0026498E">
            <w:pPr>
              <w:spacing w:after="0" w:line="240" w:lineRule="auto"/>
              <w:ind w:left="0" w:right="0"/>
              <w:jc w:val="left"/>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miesięcy</w:t>
            </w:r>
          </w:p>
        </w:tc>
        <w:tc>
          <w:tcPr>
            <w:tcW w:w="709" w:type="dxa"/>
            <w:shd w:val="clear" w:color="auto" w:fill="BDD6EE" w:themeFill="accent1" w:themeFillTint="66"/>
            <w:vAlign w:val="center"/>
            <w:hideMark/>
          </w:tcPr>
          <w:p w14:paraId="52E96F12" w14:textId="77777777" w:rsidR="00DA0038" w:rsidRPr="004057D3" w:rsidRDefault="00DA0038" w:rsidP="0026498E">
            <w:pPr>
              <w:spacing w:after="0" w:line="240" w:lineRule="auto"/>
              <w:ind w:left="0" w:right="0" w:firstLine="0"/>
              <w:jc w:val="center"/>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&gt; 6 miesięcy</w:t>
            </w:r>
          </w:p>
          <w:p w14:paraId="6056D93B" w14:textId="77777777" w:rsidR="00DA0038" w:rsidRPr="004057D3" w:rsidRDefault="00DA0038" w:rsidP="0026498E">
            <w:pPr>
              <w:spacing w:after="0" w:line="240" w:lineRule="auto"/>
              <w:ind w:left="0" w:right="0" w:firstLine="0"/>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&lt;= 1 roku</w:t>
            </w:r>
          </w:p>
          <w:p w14:paraId="7ED8A883" w14:textId="77777777" w:rsidR="00DA0038" w:rsidRPr="004057D3" w:rsidRDefault="00DA0038" w:rsidP="0026498E">
            <w:pPr>
              <w:spacing w:after="0" w:line="240" w:lineRule="auto"/>
              <w:ind w:left="0" w:right="0"/>
              <w:jc w:val="left"/>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color w:val="000000" w:themeColor="text1"/>
                <w:sz w:val="14"/>
                <w:szCs w:val="14"/>
              </w:rPr>
              <w:t> </w:t>
            </w:r>
          </w:p>
        </w:tc>
        <w:tc>
          <w:tcPr>
            <w:tcW w:w="600" w:type="dxa"/>
            <w:shd w:val="clear" w:color="auto" w:fill="BDD6EE" w:themeFill="accent1" w:themeFillTint="66"/>
            <w:vAlign w:val="center"/>
            <w:hideMark/>
          </w:tcPr>
          <w:p w14:paraId="58C5A200" w14:textId="77777777" w:rsidR="00DA0038" w:rsidRPr="004057D3" w:rsidRDefault="00DA0038" w:rsidP="0026498E">
            <w:pPr>
              <w:spacing w:after="0" w:line="240" w:lineRule="auto"/>
              <w:ind w:left="0" w:right="0" w:firstLine="0"/>
              <w:jc w:val="left"/>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 xml:space="preserve"> &gt; 1 roku</w:t>
            </w:r>
          </w:p>
          <w:p w14:paraId="30E4AFF2" w14:textId="77777777" w:rsidR="00DA0038" w:rsidRPr="004057D3" w:rsidRDefault="00DA0038" w:rsidP="0026498E">
            <w:pPr>
              <w:spacing w:after="0" w:line="240" w:lineRule="auto"/>
              <w:ind w:left="0" w:right="0" w:firstLine="0"/>
              <w:jc w:val="left"/>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&lt;= 2 lat</w:t>
            </w:r>
          </w:p>
          <w:p w14:paraId="503E9780" w14:textId="77777777" w:rsidR="00DA0038" w:rsidRPr="004057D3" w:rsidRDefault="00DA0038" w:rsidP="0026498E">
            <w:pPr>
              <w:spacing w:after="0" w:line="240" w:lineRule="auto"/>
              <w:ind w:left="0" w:right="0"/>
              <w:jc w:val="left"/>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color w:val="000000" w:themeColor="text1"/>
                <w:sz w:val="14"/>
                <w:szCs w:val="14"/>
              </w:rPr>
              <w:t> </w:t>
            </w:r>
          </w:p>
        </w:tc>
        <w:tc>
          <w:tcPr>
            <w:tcW w:w="676" w:type="dxa"/>
            <w:shd w:val="clear" w:color="auto" w:fill="BDD6EE" w:themeFill="accent1" w:themeFillTint="66"/>
            <w:vAlign w:val="center"/>
            <w:hideMark/>
          </w:tcPr>
          <w:p w14:paraId="0C46F95F" w14:textId="77777777" w:rsidR="00DA0038" w:rsidRPr="004057D3" w:rsidRDefault="00DA0038" w:rsidP="0026498E">
            <w:pPr>
              <w:spacing w:after="0" w:line="240" w:lineRule="auto"/>
              <w:ind w:left="0" w:right="0" w:firstLine="0"/>
              <w:jc w:val="center"/>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&gt; 2 lat &lt;= 5 lat</w:t>
            </w:r>
          </w:p>
        </w:tc>
        <w:tc>
          <w:tcPr>
            <w:tcW w:w="708" w:type="dxa"/>
            <w:shd w:val="clear" w:color="auto" w:fill="BDD6EE" w:themeFill="accent1" w:themeFillTint="66"/>
            <w:vAlign w:val="center"/>
            <w:hideMark/>
          </w:tcPr>
          <w:p w14:paraId="19D96C42" w14:textId="77777777" w:rsidR="00DA0038" w:rsidRPr="004057D3" w:rsidRDefault="00DA0038" w:rsidP="0026498E">
            <w:pPr>
              <w:spacing w:after="0" w:line="240" w:lineRule="auto"/>
              <w:ind w:left="0" w:right="0" w:firstLine="0"/>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&gt; 5 lat &lt;=</w:t>
            </w:r>
          </w:p>
          <w:p w14:paraId="451AE30A" w14:textId="77777777" w:rsidR="00DA0038" w:rsidRPr="004057D3" w:rsidRDefault="00DA0038" w:rsidP="0026498E">
            <w:pPr>
              <w:spacing w:after="0" w:line="240" w:lineRule="auto"/>
              <w:ind w:left="0" w:right="0" w:firstLine="0"/>
              <w:jc w:val="center"/>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10 lat</w:t>
            </w:r>
          </w:p>
          <w:p w14:paraId="3384BFEA" w14:textId="77777777" w:rsidR="00DA0038" w:rsidRPr="004057D3" w:rsidRDefault="00DA0038" w:rsidP="0026498E">
            <w:pPr>
              <w:spacing w:after="0" w:line="240" w:lineRule="auto"/>
              <w:ind w:left="0" w:right="0"/>
              <w:jc w:val="left"/>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color w:val="000000" w:themeColor="text1"/>
                <w:sz w:val="14"/>
                <w:szCs w:val="14"/>
              </w:rPr>
              <w:t> </w:t>
            </w:r>
          </w:p>
        </w:tc>
        <w:tc>
          <w:tcPr>
            <w:tcW w:w="709" w:type="dxa"/>
            <w:shd w:val="clear" w:color="auto" w:fill="BDD6EE" w:themeFill="accent1" w:themeFillTint="66"/>
            <w:vAlign w:val="center"/>
            <w:hideMark/>
          </w:tcPr>
          <w:p w14:paraId="06C34037" w14:textId="77777777" w:rsidR="00DA0038" w:rsidRPr="004057D3" w:rsidRDefault="00DA0038" w:rsidP="0026498E">
            <w:pPr>
              <w:spacing w:after="0" w:line="240" w:lineRule="auto"/>
              <w:ind w:left="0" w:right="0" w:firstLine="0"/>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&gt; 10 lat &lt;=</w:t>
            </w:r>
          </w:p>
          <w:p w14:paraId="0B83270B" w14:textId="77777777" w:rsidR="00DA0038" w:rsidRPr="004057D3" w:rsidRDefault="00DA0038" w:rsidP="0026498E">
            <w:pPr>
              <w:spacing w:after="0" w:line="240" w:lineRule="auto"/>
              <w:ind w:left="0" w:right="0" w:firstLine="0"/>
              <w:jc w:val="center"/>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20 lat</w:t>
            </w:r>
          </w:p>
          <w:p w14:paraId="417D9927" w14:textId="77777777" w:rsidR="00DA0038" w:rsidRPr="004057D3" w:rsidRDefault="00DA0038" w:rsidP="0026498E">
            <w:pPr>
              <w:spacing w:after="0" w:line="240" w:lineRule="auto"/>
              <w:ind w:left="0" w:right="0"/>
              <w:jc w:val="left"/>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color w:val="000000" w:themeColor="text1"/>
                <w:sz w:val="14"/>
                <w:szCs w:val="14"/>
              </w:rPr>
              <w:t> </w:t>
            </w:r>
          </w:p>
        </w:tc>
        <w:tc>
          <w:tcPr>
            <w:tcW w:w="592" w:type="dxa"/>
            <w:shd w:val="clear" w:color="auto" w:fill="BDD6EE" w:themeFill="accent1" w:themeFillTint="66"/>
            <w:vAlign w:val="center"/>
            <w:hideMark/>
          </w:tcPr>
          <w:p w14:paraId="0A6943F0" w14:textId="77777777" w:rsidR="00DA0038" w:rsidRPr="004057D3" w:rsidRDefault="00DA0038" w:rsidP="0026498E">
            <w:pPr>
              <w:spacing w:after="0" w:line="240" w:lineRule="auto"/>
              <w:ind w:left="0" w:right="0" w:firstLine="0"/>
              <w:jc w:val="left"/>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 xml:space="preserve"> &gt; 20 lat</w:t>
            </w:r>
          </w:p>
        </w:tc>
        <w:tc>
          <w:tcPr>
            <w:tcW w:w="826" w:type="dxa"/>
            <w:shd w:val="clear" w:color="auto" w:fill="BDD6EE" w:themeFill="accent1" w:themeFillTint="66"/>
            <w:vAlign w:val="center"/>
            <w:hideMark/>
          </w:tcPr>
          <w:p w14:paraId="03600EB4" w14:textId="77777777" w:rsidR="00DA0038" w:rsidRPr="004057D3" w:rsidRDefault="00DA0038" w:rsidP="0026498E">
            <w:pPr>
              <w:spacing w:after="0" w:line="240" w:lineRule="auto"/>
              <w:ind w:left="0" w:right="0" w:firstLine="0"/>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bez określonego terminu</w:t>
            </w:r>
          </w:p>
        </w:tc>
        <w:tc>
          <w:tcPr>
            <w:tcW w:w="810" w:type="dxa"/>
            <w:shd w:val="clear" w:color="auto" w:fill="BDD6EE" w:themeFill="accent1" w:themeFillTint="66"/>
            <w:vAlign w:val="center"/>
            <w:hideMark/>
          </w:tcPr>
          <w:p w14:paraId="1720D1EE" w14:textId="77777777" w:rsidR="00DA0038" w:rsidRPr="004057D3" w:rsidRDefault="00DA0038" w:rsidP="0026498E">
            <w:pPr>
              <w:spacing w:after="0" w:line="240" w:lineRule="auto"/>
              <w:ind w:left="0" w:right="0" w:firstLine="0"/>
              <w:jc w:val="center"/>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RAZEM</w:t>
            </w:r>
          </w:p>
        </w:tc>
      </w:tr>
      <w:tr w:rsidR="004057D3" w:rsidRPr="004057D3" w14:paraId="5E012DDC" w14:textId="77777777" w:rsidTr="00F03B83">
        <w:trPr>
          <w:trHeight w:val="315"/>
        </w:trPr>
        <w:tc>
          <w:tcPr>
            <w:tcW w:w="1381" w:type="dxa"/>
            <w:shd w:val="clear" w:color="auto" w:fill="auto"/>
            <w:vAlign w:val="center"/>
            <w:hideMark/>
          </w:tcPr>
          <w:p w14:paraId="7D569733" w14:textId="77777777" w:rsidR="004057D3" w:rsidRPr="004057D3" w:rsidRDefault="004057D3" w:rsidP="004057D3">
            <w:pPr>
              <w:spacing w:after="0" w:line="240" w:lineRule="auto"/>
              <w:ind w:left="0" w:right="0" w:firstLine="0"/>
              <w:jc w:val="center"/>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Razem</w:t>
            </w:r>
          </w:p>
        </w:tc>
        <w:tc>
          <w:tcPr>
            <w:tcW w:w="594" w:type="dxa"/>
            <w:shd w:val="clear" w:color="auto" w:fill="auto"/>
            <w:hideMark/>
          </w:tcPr>
          <w:p w14:paraId="7DF372B0" w14:textId="53EE36EE"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7 380</w:t>
            </w:r>
          </w:p>
        </w:tc>
        <w:tc>
          <w:tcPr>
            <w:tcW w:w="709" w:type="dxa"/>
            <w:shd w:val="clear" w:color="auto" w:fill="auto"/>
            <w:hideMark/>
          </w:tcPr>
          <w:p w14:paraId="7F83D12E" w14:textId="3CFD383B"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89 564</w:t>
            </w:r>
          </w:p>
        </w:tc>
        <w:tc>
          <w:tcPr>
            <w:tcW w:w="708" w:type="dxa"/>
            <w:shd w:val="clear" w:color="auto" w:fill="auto"/>
            <w:hideMark/>
          </w:tcPr>
          <w:p w14:paraId="7EFCCCAA" w14:textId="48368ACA"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12 232</w:t>
            </w:r>
          </w:p>
        </w:tc>
        <w:tc>
          <w:tcPr>
            <w:tcW w:w="709" w:type="dxa"/>
            <w:shd w:val="clear" w:color="auto" w:fill="auto"/>
            <w:hideMark/>
          </w:tcPr>
          <w:p w14:paraId="434498CF" w14:textId="4E83A891"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36 287</w:t>
            </w:r>
          </w:p>
        </w:tc>
        <w:tc>
          <w:tcPr>
            <w:tcW w:w="709" w:type="dxa"/>
            <w:shd w:val="clear" w:color="auto" w:fill="auto"/>
            <w:hideMark/>
          </w:tcPr>
          <w:p w14:paraId="39A70B33" w14:textId="4931C413"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48 975</w:t>
            </w:r>
          </w:p>
        </w:tc>
        <w:tc>
          <w:tcPr>
            <w:tcW w:w="600" w:type="dxa"/>
            <w:shd w:val="clear" w:color="auto" w:fill="auto"/>
            <w:hideMark/>
          </w:tcPr>
          <w:p w14:paraId="586580BD" w14:textId="34552C9D"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70 869</w:t>
            </w:r>
          </w:p>
        </w:tc>
        <w:tc>
          <w:tcPr>
            <w:tcW w:w="676" w:type="dxa"/>
            <w:shd w:val="clear" w:color="auto" w:fill="auto"/>
            <w:hideMark/>
          </w:tcPr>
          <w:p w14:paraId="4908AB00" w14:textId="274EEE16"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191 298</w:t>
            </w:r>
          </w:p>
        </w:tc>
        <w:tc>
          <w:tcPr>
            <w:tcW w:w="708" w:type="dxa"/>
            <w:shd w:val="clear" w:color="auto" w:fill="auto"/>
            <w:hideMark/>
          </w:tcPr>
          <w:p w14:paraId="6C94FEC2" w14:textId="08E3DB51"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170 501</w:t>
            </w:r>
          </w:p>
        </w:tc>
        <w:tc>
          <w:tcPr>
            <w:tcW w:w="709" w:type="dxa"/>
            <w:shd w:val="clear" w:color="auto" w:fill="auto"/>
            <w:hideMark/>
          </w:tcPr>
          <w:p w14:paraId="2AFE3790" w14:textId="39A0B6D6"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82 172</w:t>
            </w:r>
          </w:p>
        </w:tc>
        <w:tc>
          <w:tcPr>
            <w:tcW w:w="592" w:type="dxa"/>
            <w:shd w:val="clear" w:color="auto" w:fill="auto"/>
            <w:hideMark/>
          </w:tcPr>
          <w:p w14:paraId="75A6561E" w14:textId="51CFCE3C"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11 653</w:t>
            </w:r>
          </w:p>
        </w:tc>
        <w:tc>
          <w:tcPr>
            <w:tcW w:w="826" w:type="dxa"/>
            <w:shd w:val="clear" w:color="auto" w:fill="auto"/>
            <w:hideMark/>
          </w:tcPr>
          <w:p w14:paraId="0942AFB1" w14:textId="0BA9FBF5"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33 420</w:t>
            </w:r>
          </w:p>
        </w:tc>
        <w:tc>
          <w:tcPr>
            <w:tcW w:w="810" w:type="dxa"/>
            <w:shd w:val="clear" w:color="auto" w:fill="auto"/>
            <w:hideMark/>
          </w:tcPr>
          <w:p w14:paraId="5E5AD744" w14:textId="3C57A395" w:rsidR="004057D3" w:rsidRPr="004057D3" w:rsidRDefault="004057D3" w:rsidP="004057D3">
            <w:pPr>
              <w:spacing w:after="0" w:line="240" w:lineRule="auto"/>
              <w:ind w:left="0" w:right="0" w:firstLine="0"/>
              <w:jc w:val="center"/>
              <w:rPr>
                <w:rFonts w:ascii="Times New Roman" w:eastAsia="Times New Roman" w:hAnsi="Times New Roman" w:cs="Times New Roman"/>
                <w:b/>
                <w:bCs/>
                <w:color w:val="000000" w:themeColor="text1"/>
                <w:sz w:val="14"/>
                <w:szCs w:val="14"/>
              </w:rPr>
            </w:pPr>
            <w:r w:rsidRPr="004057D3">
              <w:rPr>
                <w:rFonts w:ascii="Times New Roman" w:hAnsi="Times New Roman" w:cs="Times New Roman"/>
                <w:color w:val="000000" w:themeColor="text1"/>
                <w:sz w:val="14"/>
                <w:szCs w:val="14"/>
              </w:rPr>
              <w:t>754 351</w:t>
            </w:r>
          </w:p>
        </w:tc>
      </w:tr>
      <w:tr w:rsidR="004057D3" w:rsidRPr="004057D3" w14:paraId="323634A9" w14:textId="77777777" w:rsidTr="00F03B83">
        <w:trPr>
          <w:trHeight w:val="435"/>
        </w:trPr>
        <w:tc>
          <w:tcPr>
            <w:tcW w:w="1381" w:type="dxa"/>
            <w:shd w:val="clear" w:color="auto" w:fill="auto"/>
            <w:vAlign w:val="center"/>
            <w:hideMark/>
          </w:tcPr>
          <w:p w14:paraId="6E4928CF" w14:textId="77777777" w:rsidR="004057D3" w:rsidRPr="004057D3" w:rsidRDefault="004057D3" w:rsidP="004057D3">
            <w:pPr>
              <w:spacing w:after="0" w:line="240" w:lineRule="auto"/>
              <w:ind w:left="0" w:right="0" w:firstLine="0"/>
              <w:jc w:val="left"/>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Należności Sektor finansowy</w:t>
            </w:r>
          </w:p>
        </w:tc>
        <w:tc>
          <w:tcPr>
            <w:tcW w:w="594" w:type="dxa"/>
            <w:shd w:val="clear" w:color="auto" w:fill="auto"/>
            <w:hideMark/>
          </w:tcPr>
          <w:p w14:paraId="07AF8FE1" w14:textId="5FADDCB2"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7 048</w:t>
            </w:r>
          </w:p>
        </w:tc>
        <w:tc>
          <w:tcPr>
            <w:tcW w:w="709" w:type="dxa"/>
            <w:shd w:val="clear" w:color="auto" w:fill="auto"/>
            <w:hideMark/>
          </w:tcPr>
          <w:p w14:paraId="752F55D2" w14:textId="7980A02A"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4 179</w:t>
            </w:r>
          </w:p>
        </w:tc>
        <w:tc>
          <w:tcPr>
            <w:tcW w:w="708" w:type="dxa"/>
            <w:shd w:val="clear" w:color="auto" w:fill="auto"/>
            <w:hideMark/>
          </w:tcPr>
          <w:p w14:paraId="33FC4423" w14:textId="094C6C08"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0</w:t>
            </w:r>
          </w:p>
        </w:tc>
        <w:tc>
          <w:tcPr>
            <w:tcW w:w="709" w:type="dxa"/>
            <w:shd w:val="clear" w:color="auto" w:fill="auto"/>
            <w:hideMark/>
          </w:tcPr>
          <w:p w14:paraId="6FCECD73" w14:textId="4ECEDB54"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7379</w:t>
            </w:r>
          </w:p>
        </w:tc>
        <w:tc>
          <w:tcPr>
            <w:tcW w:w="709" w:type="dxa"/>
            <w:shd w:val="clear" w:color="auto" w:fill="auto"/>
            <w:hideMark/>
          </w:tcPr>
          <w:p w14:paraId="6BACB3B4" w14:textId="39AED999"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7 000</w:t>
            </w:r>
          </w:p>
        </w:tc>
        <w:tc>
          <w:tcPr>
            <w:tcW w:w="600" w:type="dxa"/>
            <w:shd w:val="clear" w:color="auto" w:fill="auto"/>
            <w:hideMark/>
          </w:tcPr>
          <w:p w14:paraId="5B76F534" w14:textId="0DEA2F7F"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0</w:t>
            </w:r>
          </w:p>
        </w:tc>
        <w:tc>
          <w:tcPr>
            <w:tcW w:w="676" w:type="dxa"/>
            <w:shd w:val="clear" w:color="auto" w:fill="auto"/>
            <w:hideMark/>
          </w:tcPr>
          <w:p w14:paraId="7DA9AC9F" w14:textId="0EC865A8"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0</w:t>
            </w:r>
          </w:p>
        </w:tc>
        <w:tc>
          <w:tcPr>
            <w:tcW w:w="708" w:type="dxa"/>
            <w:shd w:val="clear" w:color="auto" w:fill="auto"/>
            <w:hideMark/>
          </w:tcPr>
          <w:p w14:paraId="71503CB4" w14:textId="02BCDADD"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0</w:t>
            </w:r>
          </w:p>
        </w:tc>
        <w:tc>
          <w:tcPr>
            <w:tcW w:w="709" w:type="dxa"/>
            <w:shd w:val="clear" w:color="auto" w:fill="auto"/>
            <w:hideMark/>
          </w:tcPr>
          <w:p w14:paraId="2E35C9CA" w14:textId="023ED3CF"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0</w:t>
            </w:r>
          </w:p>
        </w:tc>
        <w:tc>
          <w:tcPr>
            <w:tcW w:w="592" w:type="dxa"/>
            <w:shd w:val="clear" w:color="auto" w:fill="auto"/>
            <w:hideMark/>
          </w:tcPr>
          <w:p w14:paraId="608B22B9" w14:textId="0A9B5434"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0</w:t>
            </w:r>
          </w:p>
        </w:tc>
        <w:tc>
          <w:tcPr>
            <w:tcW w:w="826" w:type="dxa"/>
            <w:shd w:val="clear" w:color="auto" w:fill="auto"/>
            <w:hideMark/>
          </w:tcPr>
          <w:p w14:paraId="54BFF2F7" w14:textId="2C3BFF2A"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20 161</w:t>
            </w:r>
          </w:p>
        </w:tc>
        <w:tc>
          <w:tcPr>
            <w:tcW w:w="810" w:type="dxa"/>
            <w:shd w:val="clear" w:color="auto" w:fill="auto"/>
            <w:hideMark/>
          </w:tcPr>
          <w:p w14:paraId="62D8CCD0" w14:textId="0B46ADC8" w:rsidR="004057D3" w:rsidRPr="004057D3" w:rsidRDefault="004057D3" w:rsidP="004057D3">
            <w:pPr>
              <w:spacing w:after="0" w:line="240" w:lineRule="auto"/>
              <w:ind w:left="0" w:right="0" w:firstLine="0"/>
              <w:jc w:val="center"/>
              <w:rPr>
                <w:rFonts w:ascii="Times New Roman" w:eastAsia="Times New Roman" w:hAnsi="Times New Roman" w:cs="Times New Roman"/>
                <w:b/>
                <w:bCs/>
                <w:color w:val="000000" w:themeColor="text1"/>
                <w:sz w:val="14"/>
                <w:szCs w:val="14"/>
              </w:rPr>
            </w:pPr>
            <w:r w:rsidRPr="004057D3">
              <w:rPr>
                <w:rFonts w:ascii="Times New Roman" w:hAnsi="Times New Roman" w:cs="Times New Roman"/>
                <w:color w:val="000000" w:themeColor="text1"/>
                <w:sz w:val="14"/>
                <w:szCs w:val="14"/>
              </w:rPr>
              <w:t>45 767</w:t>
            </w:r>
          </w:p>
        </w:tc>
      </w:tr>
      <w:tr w:rsidR="004057D3" w:rsidRPr="004057D3" w14:paraId="38B561F7" w14:textId="77777777" w:rsidTr="00F03B83">
        <w:trPr>
          <w:trHeight w:val="435"/>
        </w:trPr>
        <w:tc>
          <w:tcPr>
            <w:tcW w:w="1381" w:type="dxa"/>
            <w:shd w:val="clear" w:color="auto" w:fill="auto"/>
            <w:vAlign w:val="center"/>
            <w:hideMark/>
          </w:tcPr>
          <w:p w14:paraId="648EFCDA" w14:textId="77777777" w:rsidR="004057D3" w:rsidRPr="004057D3" w:rsidRDefault="004057D3" w:rsidP="004057D3">
            <w:pPr>
              <w:spacing w:after="0" w:line="240" w:lineRule="auto"/>
              <w:ind w:left="0" w:right="0" w:firstLine="0"/>
              <w:jc w:val="left"/>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Należności Sektor niefinansowy</w:t>
            </w:r>
          </w:p>
        </w:tc>
        <w:tc>
          <w:tcPr>
            <w:tcW w:w="594" w:type="dxa"/>
            <w:shd w:val="clear" w:color="auto" w:fill="auto"/>
            <w:hideMark/>
          </w:tcPr>
          <w:p w14:paraId="5C871FA5" w14:textId="6A7F38F4"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332</w:t>
            </w:r>
          </w:p>
        </w:tc>
        <w:tc>
          <w:tcPr>
            <w:tcW w:w="709" w:type="dxa"/>
            <w:shd w:val="clear" w:color="auto" w:fill="auto"/>
            <w:hideMark/>
          </w:tcPr>
          <w:p w14:paraId="46D5DEB9" w14:textId="25966883"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1 770</w:t>
            </w:r>
          </w:p>
        </w:tc>
        <w:tc>
          <w:tcPr>
            <w:tcW w:w="708" w:type="dxa"/>
            <w:shd w:val="clear" w:color="auto" w:fill="auto"/>
            <w:hideMark/>
          </w:tcPr>
          <w:p w14:paraId="15CE3A9F" w14:textId="693D5BFB"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10 260</w:t>
            </w:r>
          </w:p>
        </w:tc>
        <w:tc>
          <w:tcPr>
            <w:tcW w:w="709" w:type="dxa"/>
            <w:shd w:val="clear" w:color="auto" w:fill="auto"/>
            <w:hideMark/>
          </w:tcPr>
          <w:p w14:paraId="23ABB051" w14:textId="51F465F7"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14 730</w:t>
            </w:r>
          </w:p>
        </w:tc>
        <w:tc>
          <w:tcPr>
            <w:tcW w:w="709" w:type="dxa"/>
            <w:shd w:val="clear" w:color="auto" w:fill="auto"/>
            <w:hideMark/>
          </w:tcPr>
          <w:p w14:paraId="0C97E301" w14:textId="050F4DE3"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31 779</w:t>
            </w:r>
          </w:p>
        </w:tc>
        <w:tc>
          <w:tcPr>
            <w:tcW w:w="600" w:type="dxa"/>
            <w:shd w:val="clear" w:color="auto" w:fill="auto"/>
            <w:hideMark/>
          </w:tcPr>
          <w:p w14:paraId="39EC4D18" w14:textId="23D38C58"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47 554</w:t>
            </w:r>
          </w:p>
        </w:tc>
        <w:tc>
          <w:tcPr>
            <w:tcW w:w="676" w:type="dxa"/>
            <w:shd w:val="clear" w:color="auto" w:fill="auto"/>
            <w:hideMark/>
          </w:tcPr>
          <w:p w14:paraId="3956603F" w14:textId="106CB5EA"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100 130</w:t>
            </w:r>
          </w:p>
        </w:tc>
        <w:tc>
          <w:tcPr>
            <w:tcW w:w="708" w:type="dxa"/>
            <w:shd w:val="clear" w:color="auto" w:fill="auto"/>
            <w:hideMark/>
          </w:tcPr>
          <w:p w14:paraId="41B71226" w14:textId="45DFE875"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104 464</w:t>
            </w:r>
          </w:p>
        </w:tc>
        <w:tc>
          <w:tcPr>
            <w:tcW w:w="709" w:type="dxa"/>
            <w:shd w:val="clear" w:color="auto" w:fill="auto"/>
            <w:hideMark/>
          </w:tcPr>
          <w:p w14:paraId="27401DAA" w14:textId="3C90AEF3"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74 858</w:t>
            </w:r>
          </w:p>
        </w:tc>
        <w:tc>
          <w:tcPr>
            <w:tcW w:w="592" w:type="dxa"/>
            <w:shd w:val="clear" w:color="auto" w:fill="auto"/>
            <w:hideMark/>
          </w:tcPr>
          <w:p w14:paraId="61BEBEC6" w14:textId="7AF86FC2"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11 653</w:t>
            </w:r>
          </w:p>
        </w:tc>
        <w:tc>
          <w:tcPr>
            <w:tcW w:w="826" w:type="dxa"/>
            <w:shd w:val="clear" w:color="auto" w:fill="auto"/>
            <w:hideMark/>
          </w:tcPr>
          <w:p w14:paraId="6DA99EB9" w14:textId="7FCD1993"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13 259</w:t>
            </w:r>
          </w:p>
        </w:tc>
        <w:tc>
          <w:tcPr>
            <w:tcW w:w="810" w:type="dxa"/>
            <w:shd w:val="clear" w:color="auto" w:fill="auto"/>
            <w:hideMark/>
          </w:tcPr>
          <w:p w14:paraId="1F3B1585" w14:textId="156ACC5D" w:rsidR="004057D3" w:rsidRPr="004057D3" w:rsidRDefault="004057D3" w:rsidP="004057D3">
            <w:pPr>
              <w:spacing w:after="0" w:line="240" w:lineRule="auto"/>
              <w:ind w:left="0" w:right="0" w:firstLine="0"/>
              <w:jc w:val="center"/>
              <w:rPr>
                <w:rFonts w:ascii="Times New Roman" w:eastAsia="Times New Roman" w:hAnsi="Times New Roman" w:cs="Times New Roman"/>
                <w:b/>
                <w:bCs/>
                <w:color w:val="000000" w:themeColor="text1"/>
                <w:sz w:val="14"/>
                <w:szCs w:val="14"/>
              </w:rPr>
            </w:pPr>
            <w:r w:rsidRPr="004057D3">
              <w:rPr>
                <w:rFonts w:ascii="Times New Roman" w:hAnsi="Times New Roman" w:cs="Times New Roman"/>
                <w:color w:val="000000" w:themeColor="text1"/>
                <w:sz w:val="14"/>
                <w:szCs w:val="14"/>
              </w:rPr>
              <w:t>410 789</w:t>
            </w:r>
          </w:p>
        </w:tc>
      </w:tr>
      <w:tr w:rsidR="004057D3" w:rsidRPr="004057D3" w14:paraId="70B3A425" w14:textId="77777777" w:rsidTr="00F03B83">
        <w:trPr>
          <w:trHeight w:val="435"/>
        </w:trPr>
        <w:tc>
          <w:tcPr>
            <w:tcW w:w="1381" w:type="dxa"/>
            <w:shd w:val="clear" w:color="auto" w:fill="auto"/>
            <w:vAlign w:val="center"/>
            <w:hideMark/>
          </w:tcPr>
          <w:p w14:paraId="217C019F" w14:textId="77777777" w:rsidR="004057D3" w:rsidRPr="004057D3" w:rsidRDefault="004057D3" w:rsidP="004057D3">
            <w:pPr>
              <w:spacing w:after="0" w:line="240" w:lineRule="auto"/>
              <w:ind w:left="0" w:right="0" w:firstLine="0"/>
              <w:jc w:val="left"/>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Należności Sektor instytucji rządowych i samorządowych</w:t>
            </w:r>
          </w:p>
        </w:tc>
        <w:tc>
          <w:tcPr>
            <w:tcW w:w="594" w:type="dxa"/>
            <w:shd w:val="clear" w:color="auto" w:fill="auto"/>
            <w:hideMark/>
          </w:tcPr>
          <w:p w14:paraId="2D56EFC7" w14:textId="48BF18BB"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0</w:t>
            </w:r>
          </w:p>
        </w:tc>
        <w:tc>
          <w:tcPr>
            <w:tcW w:w="709" w:type="dxa"/>
            <w:shd w:val="clear" w:color="auto" w:fill="auto"/>
            <w:hideMark/>
          </w:tcPr>
          <w:p w14:paraId="7B3975EA" w14:textId="25F90BEE"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15</w:t>
            </w:r>
          </w:p>
        </w:tc>
        <w:tc>
          <w:tcPr>
            <w:tcW w:w="708" w:type="dxa"/>
            <w:shd w:val="clear" w:color="auto" w:fill="auto"/>
            <w:hideMark/>
          </w:tcPr>
          <w:p w14:paraId="666D7CEE" w14:textId="0EDF9657"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1 972</w:t>
            </w:r>
          </w:p>
        </w:tc>
        <w:tc>
          <w:tcPr>
            <w:tcW w:w="709" w:type="dxa"/>
            <w:shd w:val="clear" w:color="auto" w:fill="auto"/>
            <w:hideMark/>
          </w:tcPr>
          <w:p w14:paraId="115E9818" w14:textId="726B7C23"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1 903</w:t>
            </w:r>
          </w:p>
        </w:tc>
        <w:tc>
          <w:tcPr>
            <w:tcW w:w="709" w:type="dxa"/>
            <w:shd w:val="clear" w:color="auto" w:fill="auto"/>
            <w:hideMark/>
          </w:tcPr>
          <w:p w14:paraId="74FD9E31" w14:textId="5AC6ED30"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5 004</w:t>
            </w:r>
          </w:p>
        </w:tc>
        <w:tc>
          <w:tcPr>
            <w:tcW w:w="600" w:type="dxa"/>
            <w:shd w:val="clear" w:color="auto" w:fill="auto"/>
            <w:hideMark/>
          </w:tcPr>
          <w:p w14:paraId="40AAB6F6" w14:textId="6086B0D6"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6 029</w:t>
            </w:r>
          </w:p>
        </w:tc>
        <w:tc>
          <w:tcPr>
            <w:tcW w:w="676" w:type="dxa"/>
            <w:shd w:val="clear" w:color="auto" w:fill="auto"/>
            <w:hideMark/>
          </w:tcPr>
          <w:p w14:paraId="7039CA44" w14:textId="2FAA8D6E"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14 953</w:t>
            </w:r>
          </w:p>
        </w:tc>
        <w:tc>
          <w:tcPr>
            <w:tcW w:w="708" w:type="dxa"/>
            <w:shd w:val="clear" w:color="auto" w:fill="auto"/>
            <w:hideMark/>
          </w:tcPr>
          <w:p w14:paraId="741176CE" w14:textId="58ACC911"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19 997</w:t>
            </w:r>
          </w:p>
        </w:tc>
        <w:tc>
          <w:tcPr>
            <w:tcW w:w="709" w:type="dxa"/>
            <w:shd w:val="clear" w:color="auto" w:fill="auto"/>
            <w:hideMark/>
          </w:tcPr>
          <w:p w14:paraId="5D07B073" w14:textId="62258F9D"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7 314</w:t>
            </w:r>
          </w:p>
        </w:tc>
        <w:tc>
          <w:tcPr>
            <w:tcW w:w="592" w:type="dxa"/>
            <w:shd w:val="clear" w:color="auto" w:fill="auto"/>
            <w:hideMark/>
          </w:tcPr>
          <w:p w14:paraId="0B09101C" w14:textId="58878C1D"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0</w:t>
            </w:r>
          </w:p>
        </w:tc>
        <w:tc>
          <w:tcPr>
            <w:tcW w:w="826" w:type="dxa"/>
            <w:shd w:val="clear" w:color="auto" w:fill="auto"/>
            <w:hideMark/>
          </w:tcPr>
          <w:p w14:paraId="75BBBDF6" w14:textId="0A9FDBBC"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0</w:t>
            </w:r>
          </w:p>
        </w:tc>
        <w:tc>
          <w:tcPr>
            <w:tcW w:w="810" w:type="dxa"/>
            <w:shd w:val="clear" w:color="auto" w:fill="auto"/>
            <w:hideMark/>
          </w:tcPr>
          <w:p w14:paraId="3E73849F" w14:textId="4BE4ECE0" w:rsidR="004057D3" w:rsidRPr="004057D3" w:rsidRDefault="004057D3" w:rsidP="004057D3">
            <w:pPr>
              <w:spacing w:after="0" w:line="240" w:lineRule="auto"/>
              <w:ind w:left="0" w:right="0" w:firstLine="0"/>
              <w:jc w:val="center"/>
              <w:rPr>
                <w:rFonts w:ascii="Times New Roman" w:eastAsia="Times New Roman" w:hAnsi="Times New Roman" w:cs="Times New Roman"/>
                <w:b/>
                <w:bCs/>
                <w:color w:val="000000" w:themeColor="text1"/>
                <w:sz w:val="14"/>
                <w:szCs w:val="14"/>
              </w:rPr>
            </w:pPr>
            <w:r w:rsidRPr="004057D3">
              <w:rPr>
                <w:rFonts w:ascii="Times New Roman" w:hAnsi="Times New Roman" w:cs="Times New Roman"/>
                <w:color w:val="000000" w:themeColor="text1"/>
                <w:sz w:val="14"/>
                <w:szCs w:val="14"/>
              </w:rPr>
              <w:t>57 187</w:t>
            </w:r>
          </w:p>
        </w:tc>
      </w:tr>
      <w:tr w:rsidR="004057D3" w:rsidRPr="004057D3" w14:paraId="6E087F67" w14:textId="77777777" w:rsidTr="00F03B83">
        <w:trPr>
          <w:trHeight w:val="315"/>
        </w:trPr>
        <w:tc>
          <w:tcPr>
            <w:tcW w:w="1381" w:type="dxa"/>
            <w:shd w:val="clear" w:color="auto" w:fill="auto"/>
            <w:vAlign w:val="center"/>
            <w:hideMark/>
          </w:tcPr>
          <w:p w14:paraId="36AD1E39" w14:textId="77777777" w:rsidR="004057D3" w:rsidRPr="004057D3" w:rsidRDefault="004057D3" w:rsidP="004057D3">
            <w:pPr>
              <w:spacing w:after="0" w:line="240" w:lineRule="auto"/>
              <w:ind w:left="0" w:right="0" w:firstLine="0"/>
              <w:jc w:val="left"/>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Instrumenty dłużne</w:t>
            </w:r>
          </w:p>
        </w:tc>
        <w:tc>
          <w:tcPr>
            <w:tcW w:w="594" w:type="dxa"/>
            <w:shd w:val="clear" w:color="auto" w:fill="auto"/>
            <w:hideMark/>
          </w:tcPr>
          <w:p w14:paraId="2A6D3112" w14:textId="0E1D6004"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0</w:t>
            </w:r>
          </w:p>
        </w:tc>
        <w:tc>
          <w:tcPr>
            <w:tcW w:w="709" w:type="dxa"/>
            <w:shd w:val="clear" w:color="auto" w:fill="auto"/>
            <w:hideMark/>
          </w:tcPr>
          <w:p w14:paraId="3A005A81" w14:textId="4C6E8172"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83 600</w:t>
            </w:r>
          </w:p>
        </w:tc>
        <w:tc>
          <w:tcPr>
            <w:tcW w:w="708" w:type="dxa"/>
            <w:shd w:val="clear" w:color="auto" w:fill="auto"/>
            <w:hideMark/>
          </w:tcPr>
          <w:p w14:paraId="3A9CCDF9" w14:textId="3BD87DA6"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0</w:t>
            </w:r>
          </w:p>
        </w:tc>
        <w:tc>
          <w:tcPr>
            <w:tcW w:w="709" w:type="dxa"/>
            <w:shd w:val="clear" w:color="auto" w:fill="auto"/>
            <w:hideMark/>
          </w:tcPr>
          <w:p w14:paraId="2C968B65" w14:textId="270A8414"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12 275</w:t>
            </w:r>
          </w:p>
        </w:tc>
        <w:tc>
          <w:tcPr>
            <w:tcW w:w="709" w:type="dxa"/>
            <w:shd w:val="clear" w:color="auto" w:fill="auto"/>
            <w:hideMark/>
          </w:tcPr>
          <w:p w14:paraId="266E758A" w14:textId="2EDB6C35"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5192</w:t>
            </w:r>
          </w:p>
        </w:tc>
        <w:tc>
          <w:tcPr>
            <w:tcW w:w="600" w:type="dxa"/>
            <w:shd w:val="clear" w:color="auto" w:fill="auto"/>
            <w:hideMark/>
          </w:tcPr>
          <w:p w14:paraId="769FEC6C" w14:textId="64F7B310"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17 286</w:t>
            </w:r>
          </w:p>
        </w:tc>
        <w:tc>
          <w:tcPr>
            <w:tcW w:w="676" w:type="dxa"/>
            <w:shd w:val="clear" w:color="auto" w:fill="auto"/>
            <w:hideMark/>
          </w:tcPr>
          <w:p w14:paraId="703DDB66" w14:textId="65FCC2B7"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76 215</w:t>
            </w:r>
          </w:p>
        </w:tc>
        <w:tc>
          <w:tcPr>
            <w:tcW w:w="708" w:type="dxa"/>
            <w:shd w:val="clear" w:color="auto" w:fill="auto"/>
            <w:hideMark/>
          </w:tcPr>
          <w:p w14:paraId="1016D51D" w14:textId="656FDA8A"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46 040</w:t>
            </w:r>
          </w:p>
        </w:tc>
        <w:tc>
          <w:tcPr>
            <w:tcW w:w="709" w:type="dxa"/>
            <w:shd w:val="clear" w:color="auto" w:fill="auto"/>
            <w:hideMark/>
          </w:tcPr>
          <w:p w14:paraId="56FA7327" w14:textId="4F8A52FD"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0</w:t>
            </w:r>
          </w:p>
        </w:tc>
        <w:tc>
          <w:tcPr>
            <w:tcW w:w="592" w:type="dxa"/>
            <w:shd w:val="clear" w:color="auto" w:fill="auto"/>
            <w:hideMark/>
          </w:tcPr>
          <w:p w14:paraId="61209328" w14:textId="089EA2E2"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0</w:t>
            </w:r>
          </w:p>
        </w:tc>
        <w:tc>
          <w:tcPr>
            <w:tcW w:w="826" w:type="dxa"/>
            <w:shd w:val="clear" w:color="auto" w:fill="auto"/>
            <w:hideMark/>
          </w:tcPr>
          <w:p w14:paraId="39BA4644" w14:textId="24C93DCB"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r w:rsidRPr="004057D3">
              <w:rPr>
                <w:rFonts w:ascii="Times New Roman" w:hAnsi="Times New Roman" w:cs="Times New Roman"/>
                <w:color w:val="000000" w:themeColor="text1"/>
                <w:sz w:val="14"/>
                <w:szCs w:val="14"/>
              </w:rPr>
              <w:t>0</w:t>
            </w:r>
          </w:p>
        </w:tc>
        <w:tc>
          <w:tcPr>
            <w:tcW w:w="810" w:type="dxa"/>
            <w:shd w:val="clear" w:color="auto" w:fill="auto"/>
            <w:hideMark/>
          </w:tcPr>
          <w:p w14:paraId="3A266549" w14:textId="59FB8681" w:rsidR="004057D3" w:rsidRPr="004057D3" w:rsidRDefault="004057D3" w:rsidP="004057D3">
            <w:pPr>
              <w:spacing w:after="0" w:line="240" w:lineRule="auto"/>
              <w:ind w:left="0" w:right="0" w:firstLine="0"/>
              <w:jc w:val="center"/>
              <w:rPr>
                <w:rFonts w:ascii="Times New Roman" w:eastAsia="Times New Roman" w:hAnsi="Times New Roman" w:cs="Times New Roman"/>
                <w:b/>
                <w:bCs/>
                <w:color w:val="000000" w:themeColor="text1"/>
                <w:sz w:val="14"/>
                <w:szCs w:val="14"/>
              </w:rPr>
            </w:pPr>
            <w:r w:rsidRPr="004057D3">
              <w:rPr>
                <w:rFonts w:ascii="Times New Roman" w:hAnsi="Times New Roman" w:cs="Times New Roman"/>
                <w:color w:val="000000" w:themeColor="text1"/>
                <w:sz w:val="14"/>
                <w:szCs w:val="14"/>
              </w:rPr>
              <w:t>240 608</w:t>
            </w:r>
          </w:p>
        </w:tc>
      </w:tr>
      <w:tr w:rsidR="004057D3" w:rsidRPr="004057D3" w14:paraId="54B0A928" w14:textId="77777777" w:rsidTr="00F03B83">
        <w:trPr>
          <w:trHeight w:val="315"/>
        </w:trPr>
        <w:tc>
          <w:tcPr>
            <w:tcW w:w="1381" w:type="dxa"/>
            <w:shd w:val="clear" w:color="auto" w:fill="auto"/>
            <w:vAlign w:val="center"/>
            <w:hideMark/>
          </w:tcPr>
          <w:p w14:paraId="570C831C" w14:textId="77777777" w:rsidR="004057D3" w:rsidRPr="004057D3" w:rsidRDefault="004057D3" w:rsidP="004057D3">
            <w:pPr>
              <w:spacing w:after="0" w:line="240" w:lineRule="auto"/>
              <w:ind w:left="0" w:right="0" w:firstLine="0"/>
              <w:jc w:val="left"/>
              <w:rPr>
                <w:rFonts w:ascii="Times New Roman" w:eastAsia="Times New Roman" w:hAnsi="Times New Roman" w:cs="Times New Roman"/>
                <w:b/>
                <w:bCs/>
                <w:color w:val="000000" w:themeColor="text1"/>
                <w:sz w:val="14"/>
                <w:szCs w:val="14"/>
              </w:rPr>
            </w:pPr>
            <w:r w:rsidRPr="004057D3">
              <w:rPr>
                <w:rFonts w:ascii="Times New Roman" w:eastAsia="Times New Roman" w:hAnsi="Times New Roman" w:cs="Times New Roman"/>
                <w:b/>
                <w:bCs/>
                <w:color w:val="000000" w:themeColor="text1"/>
                <w:sz w:val="14"/>
                <w:szCs w:val="14"/>
              </w:rPr>
              <w:t>Pozostałe aktywa</w:t>
            </w:r>
          </w:p>
        </w:tc>
        <w:tc>
          <w:tcPr>
            <w:tcW w:w="594" w:type="dxa"/>
            <w:shd w:val="clear" w:color="auto" w:fill="auto"/>
            <w:hideMark/>
          </w:tcPr>
          <w:p w14:paraId="160EAA35" w14:textId="77777777"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p>
        </w:tc>
        <w:tc>
          <w:tcPr>
            <w:tcW w:w="709" w:type="dxa"/>
            <w:shd w:val="clear" w:color="auto" w:fill="auto"/>
            <w:hideMark/>
          </w:tcPr>
          <w:p w14:paraId="4BA46F59" w14:textId="2163E360"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p>
        </w:tc>
        <w:tc>
          <w:tcPr>
            <w:tcW w:w="708" w:type="dxa"/>
            <w:shd w:val="clear" w:color="auto" w:fill="auto"/>
            <w:hideMark/>
          </w:tcPr>
          <w:p w14:paraId="7E5076BB" w14:textId="10168B8E"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p>
        </w:tc>
        <w:tc>
          <w:tcPr>
            <w:tcW w:w="709" w:type="dxa"/>
            <w:shd w:val="clear" w:color="auto" w:fill="auto"/>
            <w:hideMark/>
          </w:tcPr>
          <w:p w14:paraId="6FE7D61F" w14:textId="4BF48A78"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p>
        </w:tc>
        <w:tc>
          <w:tcPr>
            <w:tcW w:w="709" w:type="dxa"/>
            <w:shd w:val="clear" w:color="auto" w:fill="auto"/>
            <w:hideMark/>
          </w:tcPr>
          <w:p w14:paraId="2C0E5C92" w14:textId="77777777"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p>
        </w:tc>
        <w:tc>
          <w:tcPr>
            <w:tcW w:w="600" w:type="dxa"/>
            <w:shd w:val="clear" w:color="auto" w:fill="auto"/>
            <w:hideMark/>
          </w:tcPr>
          <w:p w14:paraId="3E0229E0" w14:textId="77777777"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p>
        </w:tc>
        <w:tc>
          <w:tcPr>
            <w:tcW w:w="676" w:type="dxa"/>
            <w:shd w:val="clear" w:color="auto" w:fill="auto"/>
            <w:hideMark/>
          </w:tcPr>
          <w:p w14:paraId="740D523C" w14:textId="77777777"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p>
        </w:tc>
        <w:tc>
          <w:tcPr>
            <w:tcW w:w="708" w:type="dxa"/>
            <w:shd w:val="clear" w:color="auto" w:fill="auto"/>
            <w:hideMark/>
          </w:tcPr>
          <w:p w14:paraId="3E18BC29" w14:textId="77777777"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p>
        </w:tc>
        <w:tc>
          <w:tcPr>
            <w:tcW w:w="709" w:type="dxa"/>
            <w:shd w:val="clear" w:color="auto" w:fill="auto"/>
            <w:hideMark/>
          </w:tcPr>
          <w:p w14:paraId="55F74E2E" w14:textId="7F710D29"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p>
        </w:tc>
        <w:tc>
          <w:tcPr>
            <w:tcW w:w="592" w:type="dxa"/>
            <w:shd w:val="clear" w:color="auto" w:fill="auto"/>
            <w:hideMark/>
          </w:tcPr>
          <w:p w14:paraId="0B7F1A06" w14:textId="77777777"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p>
        </w:tc>
        <w:tc>
          <w:tcPr>
            <w:tcW w:w="826" w:type="dxa"/>
            <w:shd w:val="clear" w:color="auto" w:fill="auto"/>
            <w:hideMark/>
          </w:tcPr>
          <w:p w14:paraId="26160D75" w14:textId="77777777" w:rsidR="004057D3" w:rsidRPr="004057D3" w:rsidRDefault="004057D3" w:rsidP="004057D3">
            <w:pPr>
              <w:spacing w:after="0" w:line="240" w:lineRule="auto"/>
              <w:ind w:left="0" w:right="0" w:firstLine="0"/>
              <w:jc w:val="center"/>
              <w:rPr>
                <w:rFonts w:ascii="Times New Roman" w:eastAsia="Times New Roman" w:hAnsi="Times New Roman" w:cs="Times New Roman"/>
                <w:color w:val="000000" w:themeColor="text1"/>
                <w:sz w:val="14"/>
                <w:szCs w:val="14"/>
              </w:rPr>
            </w:pPr>
          </w:p>
        </w:tc>
        <w:tc>
          <w:tcPr>
            <w:tcW w:w="810" w:type="dxa"/>
            <w:shd w:val="clear" w:color="auto" w:fill="auto"/>
            <w:hideMark/>
          </w:tcPr>
          <w:p w14:paraId="370EFA9A" w14:textId="7EC8BA51" w:rsidR="004057D3" w:rsidRPr="004057D3" w:rsidRDefault="004057D3" w:rsidP="004057D3">
            <w:pPr>
              <w:spacing w:after="0" w:line="240" w:lineRule="auto"/>
              <w:ind w:left="0" w:right="0" w:firstLine="0"/>
              <w:jc w:val="center"/>
              <w:rPr>
                <w:rFonts w:ascii="Times New Roman" w:eastAsia="Times New Roman" w:hAnsi="Times New Roman" w:cs="Times New Roman"/>
                <w:b/>
                <w:bCs/>
                <w:color w:val="000000" w:themeColor="text1"/>
                <w:sz w:val="14"/>
                <w:szCs w:val="14"/>
              </w:rPr>
            </w:pPr>
            <w:r w:rsidRPr="004057D3">
              <w:rPr>
                <w:rFonts w:ascii="Times New Roman" w:hAnsi="Times New Roman" w:cs="Times New Roman"/>
                <w:color w:val="000000" w:themeColor="text1"/>
                <w:sz w:val="14"/>
                <w:szCs w:val="14"/>
              </w:rPr>
              <w:t>0</w:t>
            </w:r>
          </w:p>
        </w:tc>
      </w:tr>
    </w:tbl>
    <w:p w14:paraId="18563AC0" w14:textId="77777777" w:rsidR="00DA0038" w:rsidRPr="004057D3" w:rsidRDefault="00DA0038" w:rsidP="00DA0038">
      <w:pPr>
        <w:spacing w:after="3" w:line="259" w:lineRule="auto"/>
        <w:ind w:left="-5" w:right="0"/>
        <w:jc w:val="left"/>
        <w:rPr>
          <w:rFonts w:ascii="Times New Roman" w:hAnsi="Times New Roman" w:cs="Times New Roman"/>
          <w:i/>
          <w:color w:val="000000" w:themeColor="text1"/>
          <w:szCs w:val="24"/>
        </w:rPr>
      </w:pPr>
    </w:p>
    <w:p w14:paraId="164FFBF4" w14:textId="77777777" w:rsidR="00E76EC1" w:rsidRPr="004057D3" w:rsidRDefault="00E76EC1">
      <w:pPr>
        <w:spacing w:after="3" w:line="259" w:lineRule="auto"/>
        <w:ind w:left="-5" w:right="0"/>
        <w:jc w:val="left"/>
        <w:rPr>
          <w:rFonts w:ascii="Times New Roman" w:hAnsi="Times New Roman" w:cs="Times New Roman"/>
          <w:i/>
          <w:color w:val="000000" w:themeColor="text1"/>
          <w:sz w:val="20"/>
        </w:rPr>
      </w:pPr>
    </w:p>
    <w:p w14:paraId="2B4FCC5E" w14:textId="77777777" w:rsidR="002C50F6" w:rsidRPr="004057D3" w:rsidRDefault="00E81BF6">
      <w:pPr>
        <w:pStyle w:val="Nagwek2"/>
        <w:spacing w:after="228"/>
        <w:ind w:left="-5" w:right="7"/>
        <w:rPr>
          <w:rFonts w:ascii="Times New Roman" w:hAnsi="Times New Roman" w:cs="Times New Roman"/>
          <w:color w:val="000000" w:themeColor="text1"/>
        </w:rPr>
      </w:pPr>
      <w:bookmarkStart w:id="46" w:name="_Toc75336275"/>
      <w:r w:rsidRPr="004057D3">
        <w:rPr>
          <w:rFonts w:ascii="Times New Roman" w:hAnsi="Times New Roman" w:cs="Times New Roman"/>
          <w:color w:val="000000" w:themeColor="text1"/>
        </w:rPr>
        <w:t>9.7. Ekspozycje o utraconej wartości i ekspozycje przeterminowane</w:t>
      </w:r>
      <w:bookmarkEnd w:id="46"/>
      <w:r w:rsidRPr="004057D3">
        <w:rPr>
          <w:rFonts w:ascii="Times New Roman" w:hAnsi="Times New Roman" w:cs="Times New Roman"/>
          <w:color w:val="000000" w:themeColor="text1"/>
        </w:rPr>
        <w:t xml:space="preserve"> </w:t>
      </w:r>
    </w:p>
    <w:p w14:paraId="2F5FF8CF" w14:textId="77777777" w:rsidR="00C27DA7" w:rsidRPr="004057D3" w:rsidRDefault="00C27DA7">
      <w:pPr>
        <w:spacing w:after="3" w:line="259" w:lineRule="auto"/>
        <w:ind w:left="-5" w:right="0"/>
        <w:jc w:val="left"/>
        <w:rPr>
          <w:rFonts w:ascii="Times New Roman" w:hAnsi="Times New Roman" w:cs="Times New Roman"/>
          <w:i/>
          <w:color w:val="000000" w:themeColor="text1"/>
          <w:sz w:val="20"/>
        </w:rPr>
      </w:pPr>
    </w:p>
    <w:p w14:paraId="38C777F2" w14:textId="39FC8A1C" w:rsidR="00E76EC1" w:rsidRPr="004057D3" w:rsidRDefault="00E76EC1" w:rsidP="00E76EC1">
      <w:pPr>
        <w:spacing w:after="3" w:line="259" w:lineRule="auto"/>
        <w:ind w:left="-5" w:right="0"/>
        <w:jc w:val="left"/>
        <w:rPr>
          <w:rFonts w:ascii="Times New Roman" w:hAnsi="Times New Roman" w:cs="Times New Roman"/>
          <w:color w:val="000000" w:themeColor="text1"/>
        </w:rPr>
      </w:pPr>
      <w:r w:rsidRPr="004057D3">
        <w:rPr>
          <w:rFonts w:ascii="Times New Roman" w:hAnsi="Times New Roman" w:cs="Times New Roman"/>
          <w:i/>
          <w:color w:val="000000" w:themeColor="text1"/>
          <w:sz w:val="20"/>
        </w:rPr>
        <w:t>Tabela – ekspozycje z rozpozn</w:t>
      </w:r>
      <w:r w:rsidR="00DA0038" w:rsidRPr="004057D3">
        <w:rPr>
          <w:rFonts w:ascii="Times New Roman" w:hAnsi="Times New Roman" w:cs="Times New Roman"/>
          <w:i/>
          <w:color w:val="000000" w:themeColor="text1"/>
          <w:sz w:val="20"/>
        </w:rPr>
        <w:t>aną utratą wartości – 31.12.20</w:t>
      </w:r>
      <w:r w:rsidR="004057D3" w:rsidRPr="004057D3">
        <w:rPr>
          <w:rFonts w:ascii="Times New Roman" w:hAnsi="Times New Roman" w:cs="Times New Roman"/>
          <w:i/>
          <w:color w:val="000000" w:themeColor="text1"/>
          <w:sz w:val="20"/>
        </w:rPr>
        <w:t>20</w:t>
      </w:r>
      <w:r w:rsidRPr="004057D3">
        <w:rPr>
          <w:rFonts w:ascii="Times New Roman" w:hAnsi="Times New Roman" w:cs="Times New Roman"/>
          <w:i/>
          <w:color w:val="000000" w:themeColor="text1"/>
          <w:sz w:val="20"/>
        </w:rPr>
        <w:t xml:space="preserve"> r. (w tys. zł– wartość bilansowa brutto)</w:t>
      </w:r>
    </w:p>
    <w:tbl>
      <w:tblPr>
        <w:tblStyle w:val="TableGrid"/>
        <w:tblW w:w="9638" w:type="dxa"/>
        <w:tblInd w:w="-64" w:type="dxa"/>
        <w:tblCellMar>
          <w:top w:w="84" w:type="dxa"/>
          <w:left w:w="30" w:type="dxa"/>
          <w:right w:w="24" w:type="dxa"/>
        </w:tblCellMar>
        <w:tblLook w:val="04A0" w:firstRow="1" w:lastRow="0" w:firstColumn="1" w:lastColumn="0" w:noHBand="0" w:noVBand="1"/>
      </w:tblPr>
      <w:tblGrid>
        <w:gridCol w:w="5442"/>
        <w:gridCol w:w="4196"/>
      </w:tblGrid>
      <w:tr w:rsidR="004057D3" w:rsidRPr="004057D3" w14:paraId="48F7C510" w14:textId="77777777" w:rsidTr="000E4871">
        <w:trPr>
          <w:trHeight w:val="587"/>
        </w:trPr>
        <w:tc>
          <w:tcPr>
            <w:tcW w:w="5442" w:type="dxa"/>
            <w:tcBorders>
              <w:top w:val="single" w:sz="2" w:space="0" w:color="000000"/>
              <w:left w:val="single" w:sz="2" w:space="0" w:color="000000"/>
              <w:bottom w:val="single" w:sz="2" w:space="0" w:color="000000"/>
              <w:right w:val="single" w:sz="2" w:space="0" w:color="000000"/>
            </w:tcBorders>
            <w:vAlign w:val="center"/>
          </w:tcPr>
          <w:p w14:paraId="57515382" w14:textId="77777777" w:rsidR="00E76EC1" w:rsidRPr="004057D3" w:rsidRDefault="00E76EC1" w:rsidP="000E4871">
            <w:pPr>
              <w:spacing w:after="0" w:line="259" w:lineRule="auto"/>
              <w:ind w:left="0" w:right="5" w:firstLine="0"/>
              <w:jc w:val="center"/>
              <w:rPr>
                <w:rFonts w:ascii="Times New Roman" w:hAnsi="Times New Roman" w:cs="Times New Roman"/>
                <w:color w:val="000000" w:themeColor="text1"/>
                <w:sz w:val="20"/>
                <w:szCs w:val="20"/>
              </w:rPr>
            </w:pPr>
            <w:r w:rsidRPr="004057D3">
              <w:rPr>
                <w:rFonts w:ascii="Times New Roman" w:hAnsi="Times New Roman" w:cs="Times New Roman"/>
                <w:color w:val="000000" w:themeColor="text1"/>
                <w:sz w:val="20"/>
                <w:szCs w:val="20"/>
              </w:rPr>
              <w:t>Typ kontrahenta</w:t>
            </w:r>
          </w:p>
        </w:tc>
        <w:tc>
          <w:tcPr>
            <w:tcW w:w="4196" w:type="dxa"/>
            <w:tcBorders>
              <w:top w:val="single" w:sz="2" w:space="0" w:color="000000"/>
              <w:left w:val="single" w:sz="2" w:space="0" w:color="000000"/>
              <w:bottom w:val="single" w:sz="2" w:space="0" w:color="000000"/>
              <w:right w:val="single" w:sz="2" w:space="0" w:color="000000"/>
            </w:tcBorders>
            <w:vAlign w:val="center"/>
          </w:tcPr>
          <w:p w14:paraId="65FD7ED6" w14:textId="77777777" w:rsidR="00E76EC1" w:rsidRPr="004057D3" w:rsidRDefault="00E76EC1" w:rsidP="000E4871">
            <w:pPr>
              <w:spacing w:after="0" w:line="259" w:lineRule="auto"/>
              <w:ind w:left="0" w:right="5" w:firstLine="0"/>
              <w:jc w:val="center"/>
              <w:rPr>
                <w:rFonts w:ascii="Times New Roman" w:hAnsi="Times New Roman" w:cs="Times New Roman"/>
                <w:color w:val="000000" w:themeColor="text1"/>
                <w:sz w:val="20"/>
                <w:szCs w:val="20"/>
              </w:rPr>
            </w:pPr>
            <w:r w:rsidRPr="004057D3">
              <w:rPr>
                <w:rFonts w:ascii="Times New Roman" w:hAnsi="Times New Roman" w:cs="Times New Roman"/>
                <w:color w:val="000000" w:themeColor="text1"/>
                <w:sz w:val="20"/>
                <w:szCs w:val="20"/>
              </w:rPr>
              <w:t>Portfel kredytowy brutto</w:t>
            </w:r>
          </w:p>
        </w:tc>
      </w:tr>
      <w:tr w:rsidR="004057D3" w:rsidRPr="004057D3" w14:paraId="7910903A" w14:textId="77777777" w:rsidTr="004057D3">
        <w:trPr>
          <w:trHeight w:val="285"/>
        </w:trPr>
        <w:tc>
          <w:tcPr>
            <w:tcW w:w="5442" w:type="dxa"/>
            <w:tcBorders>
              <w:top w:val="single" w:sz="2" w:space="0" w:color="000000"/>
              <w:left w:val="single" w:sz="2" w:space="0" w:color="000000"/>
              <w:bottom w:val="single" w:sz="2" w:space="0" w:color="000000"/>
              <w:right w:val="single" w:sz="2" w:space="0" w:color="000000"/>
            </w:tcBorders>
          </w:tcPr>
          <w:p w14:paraId="644FD12D" w14:textId="77777777" w:rsidR="004057D3" w:rsidRPr="004057D3" w:rsidRDefault="004057D3" w:rsidP="004057D3">
            <w:pPr>
              <w:spacing w:after="0" w:line="259" w:lineRule="auto"/>
              <w:ind w:left="0" w:right="0" w:firstLine="0"/>
              <w:jc w:val="left"/>
              <w:rPr>
                <w:rFonts w:ascii="Times New Roman" w:hAnsi="Times New Roman" w:cs="Times New Roman"/>
                <w:color w:val="000000" w:themeColor="text1"/>
                <w:sz w:val="20"/>
                <w:szCs w:val="20"/>
              </w:rPr>
            </w:pPr>
            <w:r w:rsidRPr="004057D3">
              <w:rPr>
                <w:rFonts w:ascii="Times New Roman" w:hAnsi="Times New Roman" w:cs="Times New Roman"/>
                <w:color w:val="000000" w:themeColor="text1"/>
                <w:sz w:val="20"/>
                <w:szCs w:val="20"/>
              </w:rPr>
              <w:t>MŚP</w:t>
            </w:r>
          </w:p>
        </w:tc>
        <w:tc>
          <w:tcPr>
            <w:tcW w:w="4196" w:type="dxa"/>
            <w:tcBorders>
              <w:top w:val="single" w:sz="2" w:space="0" w:color="000000"/>
              <w:left w:val="single" w:sz="2" w:space="0" w:color="000000"/>
              <w:bottom w:val="single" w:sz="2" w:space="0" w:color="000000"/>
              <w:right w:val="single" w:sz="2" w:space="0" w:color="000000"/>
            </w:tcBorders>
          </w:tcPr>
          <w:p w14:paraId="6518876F" w14:textId="56E353D0" w:rsidR="004057D3" w:rsidRPr="004057D3" w:rsidRDefault="004057D3" w:rsidP="004057D3">
            <w:pPr>
              <w:jc w:val="right"/>
              <w:rPr>
                <w:rFonts w:ascii="Times New Roman" w:hAnsi="Times New Roman" w:cs="Times New Roman"/>
                <w:color w:val="000000" w:themeColor="text1"/>
                <w:sz w:val="20"/>
                <w:szCs w:val="20"/>
              </w:rPr>
            </w:pPr>
            <w:r w:rsidRPr="004057D3">
              <w:rPr>
                <w:rFonts w:ascii="Times New Roman" w:hAnsi="Times New Roman" w:cs="Times New Roman"/>
                <w:color w:val="000000" w:themeColor="text1"/>
                <w:sz w:val="20"/>
                <w:szCs w:val="20"/>
              </w:rPr>
              <w:t>2 608</w:t>
            </w:r>
          </w:p>
        </w:tc>
      </w:tr>
      <w:tr w:rsidR="004057D3" w:rsidRPr="004057D3" w14:paraId="0BCB77D4" w14:textId="77777777" w:rsidTr="000E4871">
        <w:trPr>
          <w:trHeight w:val="587"/>
        </w:trPr>
        <w:tc>
          <w:tcPr>
            <w:tcW w:w="5442" w:type="dxa"/>
            <w:tcBorders>
              <w:top w:val="single" w:sz="2" w:space="0" w:color="000000"/>
              <w:left w:val="single" w:sz="2" w:space="0" w:color="000000"/>
              <w:bottom w:val="single" w:sz="2" w:space="0" w:color="000000"/>
              <w:right w:val="single" w:sz="2" w:space="0" w:color="000000"/>
            </w:tcBorders>
          </w:tcPr>
          <w:p w14:paraId="0B79F849" w14:textId="77777777" w:rsidR="004057D3" w:rsidRPr="004057D3" w:rsidRDefault="004057D3" w:rsidP="004057D3">
            <w:pPr>
              <w:spacing w:after="0" w:line="259" w:lineRule="auto"/>
              <w:ind w:left="0" w:right="0" w:firstLine="0"/>
              <w:jc w:val="left"/>
              <w:rPr>
                <w:rFonts w:ascii="Times New Roman" w:hAnsi="Times New Roman" w:cs="Times New Roman"/>
                <w:color w:val="000000" w:themeColor="text1"/>
                <w:sz w:val="20"/>
                <w:szCs w:val="20"/>
              </w:rPr>
            </w:pPr>
            <w:r w:rsidRPr="004057D3">
              <w:rPr>
                <w:rFonts w:ascii="Times New Roman" w:hAnsi="Times New Roman" w:cs="Times New Roman"/>
                <w:color w:val="000000" w:themeColor="text1"/>
                <w:sz w:val="20"/>
                <w:szCs w:val="20"/>
              </w:rPr>
              <w:t>Osoby prywatne</w:t>
            </w:r>
          </w:p>
        </w:tc>
        <w:tc>
          <w:tcPr>
            <w:tcW w:w="4196" w:type="dxa"/>
            <w:tcBorders>
              <w:top w:val="single" w:sz="2" w:space="0" w:color="000000"/>
              <w:left w:val="single" w:sz="2" w:space="0" w:color="000000"/>
              <w:bottom w:val="single" w:sz="2" w:space="0" w:color="000000"/>
              <w:right w:val="single" w:sz="2" w:space="0" w:color="000000"/>
            </w:tcBorders>
          </w:tcPr>
          <w:p w14:paraId="6136BBB2" w14:textId="7F3EBEB2" w:rsidR="004057D3" w:rsidRPr="004057D3" w:rsidRDefault="004057D3" w:rsidP="004057D3">
            <w:pPr>
              <w:jc w:val="right"/>
              <w:rPr>
                <w:rFonts w:ascii="Times New Roman" w:hAnsi="Times New Roman" w:cs="Times New Roman"/>
                <w:color w:val="000000" w:themeColor="text1"/>
                <w:sz w:val="20"/>
                <w:szCs w:val="20"/>
              </w:rPr>
            </w:pPr>
            <w:r w:rsidRPr="004057D3">
              <w:rPr>
                <w:rFonts w:ascii="Times New Roman" w:hAnsi="Times New Roman" w:cs="Times New Roman"/>
                <w:color w:val="000000" w:themeColor="text1"/>
                <w:sz w:val="20"/>
                <w:szCs w:val="20"/>
              </w:rPr>
              <w:t>1 339</w:t>
            </w:r>
          </w:p>
        </w:tc>
      </w:tr>
      <w:tr w:rsidR="004057D3" w:rsidRPr="004057D3" w14:paraId="50840568" w14:textId="77777777" w:rsidTr="000E4871">
        <w:trPr>
          <w:trHeight w:val="587"/>
        </w:trPr>
        <w:tc>
          <w:tcPr>
            <w:tcW w:w="5442" w:type="dxa"/>
            <w:tcBorders>
              <w:top w:val="single" w:sz="2" w:space="0" w:color="000000"/>
              <w:left w:val="single" w:sz="2" w:space="0" w:color="000000"/>
              <w:bottom w:val="single" w:sz="2" w:space="0" w:color="000000"/>
              <w:right w:val="single" w:sz="2" w:space="0" w:color="000000"/>
            </w:tcBorders>
          </w:tcPr>
          <w:p w14:paraId="17C0C387" w14:textId="77777777" w:rsidR="004057D3" w:rsidRPr="004057D3" w:rsidRDefault="004057D3" w:rsidP="004057D3">
            <w:pPr>
              <w:spacing w:after="0" w:line="259" w:lineRule="auto"/>
              <w:ind w:left="0" w:right="0" w:firstLine="0"/>
              <w:jc w:val="left"/>
              <w:rPr>
                <w:rFonts w:ascii="Times New Roman" w:hAnsi="Times New Roman" w:cs="Times New Roman"/>
                <w:color w:val="000000" w:themeColor="text1"/>
                <w:sz w:val="20"/>
                <w:szCs w:val="20"/>
              </w:rPr>
            </w:pPr>
            <w:r w:rsidRPr="004057D3">
              <w:rPr>
                <w:rFonts w:ascii="Times New Roman" w:hAnsi="Times New Roman" w:cs="Times New Roman"/>
                <w:color w:val="000000" w:themeColor="text1"/>
                <w:sz w:val="20"/>
                <w:szCs w:val="20"/>
              </w:rPr>
              <w:t>Rolnicy indywidualni</w:t>
            </w:r>
          </w:p>
        </w:tc>
        <w:tc>
          <w:tcPr>
            <w:tcW w:w="4196" w:type="dxa"/>
            <w:tcBorders>
              <w:top w:val="single" w:sz="2" w:space="0" w:color="000000"/>
              <w:left w:val="single" w:sz="2" w:space="0" w:color="000000"/>
              <w:bottom w:val="single" w:sz="2" w:space="0" w:color="000000"/>
              <w:right w:val="single" w:sz="2" w:space="0" w:color="000000"/>
            </w:tcBorders>
          </w:tcPr>
          <w:p w14:paraId="5919DEC5" w14:textId="57303143" w:rsidR="004057D3" w:rsidRPr="004057D3" w:rsidRDefault="004057D3" w:rsidP="004057D3">
            <w:pPr>
              <w:jc w:val="right"/>
              <w:rPr>
                <w:rFonts w:ascii="Times New Roman" w:hAnsi="Times New Roman" w:cs="Times New Roman"/>
                <w:color w:val="000000" w:themeColor="text1"/>
                <w:sz w:val="20"/>
                <w:szCs w:val="20"/>
              </w:rPr>
            </w:pPr>
            <w:r w:rsidRPr="004057D3">
              <w:rPr>
                <w:rFonts w:ascii="Times New Roman" w:hAnsi="Times New Roman" w:cs="Times New Roman"/>
                <w:color w:val="000000" w:themeColor="text1"/>
                <w:sz w:val="20"/>
                <w:szCs w:val="20"/>
              </w:rPr>
              <w:t>1 910</w:t>
            </w:r>
          </w:p>
        </w:tc>
      </w:tr>
      <w:tr w:rsidR="004057D3" w:rsidRPr="004057D3" w14:paraId="61B296B4" w14:textId="77777777" w:rsidTr="000E4871">
        <w:trPr>
          <w:trHeight w:val="587"/>
        </w:trPr>
        <w:tc>
          <w:tcPr>
            <w:tcW w:w="5442" w:type="dxa"/>
            <w:tcBorders>
              <w:top w:val="single" w:sz="2" w:space="0" w:color="000000"/>
              <w:left w:val="single" w:sz="2" w:space="0" w:color="000000"/>
              <w:bottom w:val="single" w:sz="2" w:space="0" w:color="000000"/>
              <w:right w:val="single" w:sz="2" w:space="0" w:color="000000"/>
            </w:tcBorders>
          </w:tcPr>
          <w:p w14:paraId="73D03873" w14:textId="77777777" w:rsidR="004057D3" w:rsidRPr="004057D3" w:rsidRDefault="004057D3" w:rsidP="004057D3">
            <w:pPr>
              <w:spacing w:after="0" w:line="259" w:lineRule="auto"/>
              <w:ind w:left="0" w:right="0" w:firstLine="0"/>
              <w:jc w:val="left"/>
              <w:rPr>
                <w:rFonts w:ascii="Times New Roman" w:hAnsi="Times New Roman" w:cs="Times New Roman"/>
                <w:color w:val="000000" w:themeColor="text1"/>
                <w:sz w:val="20"/>
                <w:szCs w:val="20"/>
              </w:rPr>
            </w:pPr>
            <w:r w:rsidRPr="004057D3">
              <w:rPr>
                <w:rFonts w:ascii="Times New Roman" w:hAnsi="Times New Roman" w:cs="Times New Roman"/>
                <w:color w:val="000000" w:themeColor="text1"/>
                <w:sz w:val="20"/>
                <w:szCs w:val="20"/>
              </w:rPr>
              <w:t>Przedsiębiorcy indywidualni</w:t>
            </w:r>
          </w:p>
        </w:tc>
        <w:tc>
          <w:tcPr>
            <w:tcW w:w="4196" w:type="dxa"/>
            <w:tcBorders>
              <w:top w:val="single" w:sz="2" w:space="0" w:color="000000"/>
              <w:left w:val="single" w:sz="2" w:space="0" w:color="000000"/>
              <w:bottom w:val="single" w:sz="2" w:space="0" w:color="000000"/>
              <w:right w:val="single" w:sz="2" w:space="0" w:color="000000"/>
            </w:tcBorders>
          </w:tcPr>
          <w:p w14:paraId="16129388" w14:textId="70991F5F" w:rsidR="004057D3" w:rsidRPr="004057D3" w:rsidRDefault="004057D3" w:rsidP="004057D3">
            <w:pPr>
              <w:jc w:val="right"/>
              <w:rPr>
                <w:rFonts w:ascii="Times New Roman" w:hAnsi="Times New Roman" w:cs="Times New Roman"/>
                <w:color w:val="000000" w:themeColor="text1"/>
                <w:sz w:val="20"/>
                <w:szCs w:val="20"/>
              </w:rPr>
            </w:pPr>
            <w:r w:rsidRPr="004057D3">
              <w:rPr>
                <w:rFonts w:ascii="Times New Roman" w:hAnsi="Times New Roman" w:cs="Times New Roman"/>
                <w:color w:val="000000" w:themeColor="text1"/>
                <w:sz w:val="20"/>
                <w:szCs w:val="20"/>
              </w:rPr>
              <w:t>589</w:t>
            </w:r>
          </w:p>
        </w:tc>
      </w:tr>
    </w:tbl>
    <w:p w14:paraId="1B4C707A" w14:textId="77777777" w:rsidR="00E76EC1" w:rsidRPr="004057D3" w:rsidRDefault="00E76EC1" w:rsidP="00E76EC1">
      <w:pPr>
        <w:spacing w:after="3" w:line="259" w:lineRule="auto"/>
        <w:ind w:left="-5" w:right="0"/>
        <w:jc w:val="left"/>
        <w:rPr>
          <w:rFonts w:ascii="Times New Roman" w:hAnsi="Times New Roman" w:cs="Times New Roman"/>
          <w:i/>
          <w:color w:val="000000" w:themeColor="text1"/>
          <w:sz w:val="20"/>
          <w:highlight w:val="yellow"/>
        </w:rPr>
      </w:pPr>
    </w:p>
    <w:p w14:paraId="5E83C02D" w14:textId="77777777" w:rsidR="00E76EC1" w:rsidRPr="004057D3" w:rsidRDefault="00E76EC1" w:rsidP="00E76EC1">
      <w:pPr>
        <w:spacing w:after="3" w:line="259" w:lineRule="auto"/>
        <w:ind w:left="-5" w:right="0"/>
        <w:jc w:val="left"/>
        <w:rPr>
          <w:rFonts w:ascii="Times New Roman" w:hAnsi="Times New Roman" w:cs="Times New Roman"/>
          <w:i/>
          <w:color w:val="000000" w:themeColor="text1"/>
          <w:sz w:val="20"/>
        </w:rPr>
      </w:pPr>
    </w:p>
    <w:p w14:paraId="7F705F9A" w14:textId="32B244B0" w:rsidR="00E76EC1" w:rsidRPr="004057D3" w:rsidRDefault="00E76EC1" w:rsidP="00E76EC1">
      <w:pPr>
        <w:spacing w:after="3" w:line="259" w:lineRule="auto"/>
        <w:ind w:left="-5" w:right="0"/>
        <w:jc w:val="left"/>
        <w:rPr>
          <w:rFonts w:ascii="Times New Roman" w:hAnsi="Times New Roman" w:cs="Times New Roman"/>
          <w:color w:val="000000" w:themeColor="text1"/>
        </w:rPr>
      </w:pPr>
      <w:r w:rsidRPr="004057D3">
        <w:rPr>
          <w:rFonts w:ascii="Times New Roman" w:hAnsi="Times New Roman" w:cs="Times New Roman"/>
          <w:i/>
          <w:color w:val="000000" w:themeColor="text1"/>
          <w:sz w:val="20"/>
        </w:rPr>
        <w:t>Tabela – ekspozy</w:t>
      </w:r>
      <w:r w:rsidR="00DA0038" w:rsidRPr="004057D3">
        <w:rPr>
          <w:rFonts w:ascii="Times New Roman" w:hAnsi="Times New Roman" w:cs="Times New Roman"/>
          <w:i/>
          <w:color w:val="000000" w:themeColor="text1"/>
          <w:sz w:val="20"/>
        </w:rPr>
        <w:t>cje przeterminowane – 31.12.20</w:t>
      </w:r>
      <w:r w:rsidR="004057D3" w:rsidRPr="004057D3">
        <w:rPr>
          <w:rFonts w:ascii="Times New Roman" w:hAnsi="Times New Roman" w:cs="Times New Roman"/>
          <w:i/>
          <w:color w:val="000000" w:themeColor="text1"/>
          <w:sz w:val="20"/>
        </w:rPr>
        <w:t>20</w:t>
      </w:r>
      <w:r w:rsidRPr="004057D3">
        <w:rPr>
          <w:rFonts w:ascii="Times New Roman" w:hAnsi="Times New Roman" w:cs="Times New Roman"/>
          <w:i/>
          <w:color w:val="000000" w:themeColor="text1"/>
          <w:sz w:val="20"/>
        </w:rPr>
        <w:t xml:space="preserve"> r. (w tys. zł – wartość bilansowa brutto)</w:t>
      </w:r>
    </w:p>
    <w:tbl>
      <w:tblPr>
        <w:tblStyle w:val="TableGrid"/>
        <w:tblW w:w="9638" w:type="dxa"/>
        <w:tblInd w:w="-2" w:type="dxa"/>
        <w:tblCellMar>
          <w:top w:w="80" w:type="dxa"/>
          <w:left w:w="30" w:type="dxa"/>
          <w:right w:w="24" w:type="dxa"/>
        </w:tblCellMar>
        <w:tblLook w:val="04A0" w:firstRow="1" w:lastRow="0" w:firstColumn="1" w:lastColumn="0" w:noHBand="0" w:noVBand="1"/>
      </w:tblPr>
      <w:tblGrid>
        <w:gridCol w:w="4388"/>
        <w:gridCol w:w="2396"/>
        <w:gridCol w:w="2854"/>
      </w:tblGrid>
      <w:tr w:rsidR="004057D3" w:rsidRPr="004057D3" w14:paraId="7B01514E" w14:textId="77777777" w:rsidTr="000E4871">
        <w:trPr>
          <w:trHeight w:val="282"/>
        </w:trPr>
        <w:tc>
          <w:tcPr>
            <w:tcW w:w="4388" w:type="dxa"/>
            <w:tcBorders>
              <w:top w:val="single" w:sz="2" w:space="0" w:color="000000"/>
              <w:left w:val="single" w:sz="2" w:space="0" w:color="000000"/>
              <w:bottom w:val="single" w:sz="2" w:space="0" w:color="000000"/>
              <w:right w:val="single" w:sz="2" w:space="0" w:color="000000"/>
            </w:tcBorders>
          </w:tcPr>
          <w:p w14:paraId="15108E4F" w14:textId="77777777" w:rsidR="00E76EC1" w:rsidRPr="004057D3" w:rsidRDefault="00E76EC1" w:rsidP="000E4871">
            <w:pPr>
              <w:spacing w:after="0" w:line="259" w:lineRule="auto"/>
              <w:ind w:left="0" w:right="6" w:firstLine="0"/>
              <w:jc w:val="center"/>
              <w:rPr>
                <w:rFonts w:ascii="Times New Roman" w:hAnsi="Times New Roman" w:cs="Times New Roman"/>
                <w:color w:val="000000" w:themeColor="text1"/>
                <w:sz w:val="16"/>
                <w:szCs w:val="16"/>
              </w:rPr>
            </w:pPr>
            <w:r w:rsidRPr="004057D3">
              <w:rPr>
                <w:rFonts w:ascii="Times New Roman" w:hAnsi="Times New Roman" w:cs="Times New Roman"/>
                <w:b/>
                <w:color w:val="000000" w:themeColor="text1"/>
                <w:sz w:val="16"/>
                <w:szCs w:val="16"/>
              </w:rPr>
              <w:t>OKRES PRZETERMINOWANIA</w:t>
            </w:r>
          </w:p>
        </w:tc>
        <w:tc>
          <w:tcPr>
            <w:tcW w:w="2396" w:type="dxa"/>
            <w:tcBorders>
              <w:top w:val="single" w:sz="2" w:space="0" w:color="000000"/>
              <w:left w:val="single" w:sz="2" w:space="0" w:color="000000"/>
              <w:bottom w:val="single" w:sz="2" w:space="0" w:color="000000"/>
              <w:right w:val="single" w:sz="2" w:space="0" w:color="000000"/>
            </w:tcBorders>
          </w:tcPr>
          <w:p w14:paraId="37302DD0" w14:textId="77777777" w:rsidR="00E76EC1" w:rsidRPr="004057D3" w:rsidRDefault="00E76EC1" w:rsidP="000E4871">
            <w:pPr>
              <w:spacing w:after="0" w:line="259" w:lineRule="auto"/>
              <w:ind w:left="118" w:right="0" w:firstLine="0"/>
              <w:jc w:val="left"/>
              <w:rPr>
                <w:rFonts w:ascii="Times New Roman" w:hAnsi="Times New Roman" w:cs="Times New Roman"/>
                <w:color w:val="000000" w:themeColor="text1"/>
                <w:sz w:val="16"/>
                <w:szCs w:val="16"/>
              </w:rPr>
            </w:pPr>
            <w:r w:rsidRPr="004057D3">
              <w:rPr>
                <w:rFonts w:ascii="Times New Roman" w:hAnsi="Times New Roman" w:cs="Times New Roman"/>
                <w:b/>
                <w:color w:val="000000" w:themeColor="text1"/>
                <w:sz w:val="16"/>
                <w:szCs w:val="16"/>
              </w:rPr>
              <w:t>PRZEDSIĘBIORSTWA</w:t>
            </w:r>
          </w:p>
        </w:tc>
        <w:tc>
          <w:tcPr>
            <w:tcW w:w="2854" w:type="dxa"/>
            <w:tcBorders>
              <w:top w:val="single" w:sz="2" w:space="0" w:color="000000"/>
              <w:left w:val="single" w:sz="2" w:space="0" w:color="000000"/>
              <w:bottom w:val="single" w:sz="2" w:space="0" w:color="000000"/>
              <w:right w:val="single" w:sz="2" w:space="0" w:color="000000"/>
            </w:tcBorders>
          </w:tcPr>
          <w:p w14:paraId="4E5A587B" w14:textId="77777777" w:rsidR="00E76EC1" w:rsidRPr="004057D3" w:rsidRDefault="00E76EC1" w:rsidP="000E4871">
            <w:pPr>
              <w:spacing w:after="0" w:line="259" w:lineRule="auto"/>
              <w:ind w:left="4" w:right="0" w:firstLine="0"/>
              <w:rPr>
                <w:rFonts w:ascii="Times New Roman" w:hAnsi="Times New Roman" w:cs="Times New Roman"/>
                <w:color w:val="000000" w:themeColor="text1"/>
                <w:sz w:val="16"/>
                <w:szCs w:val="16"/>
              </w:rPr>
            </w:pPr>
            <w:r w:rsidRPr="004057D3">
              <w:rPr>
                <w:rFonts w:ascii="Times New Roman" w:hAnsi="Times New Roman" w:cs="Times New Roman"/>
                <w:b/>
                <w:color w:val="000000" w:themeColor="text1"/>
                <w:sz w:val="16"/>
                <w:szCs w:val="16"/>
              </w:rPr>
              <w:t>GOSPODARSTWA DOMOWE</w:t>
            </w:r>
          </w:p>
        </w:tc>
      </w:tr>
      <w:tr w:rsidR="004057D3" w:rsidRPr="004057D3" w14:paraId="1A5C0C68" w14:textId="77777777" w:rsidTr="002F0D7B">
        <w:trPr>
          <w:trHeight w:val="284"/>
        </w:trPr>
        <w:tc>
          <w:tcPr>
            <w:tcW w:w="4388" w:type="dxa"/>
            <w:tcBorders>
              <w:top w:val="single" w:sz="2" w:space="0" w:color="000000"/>
              <w:left w:val="single" w:sz="2" w:space="0" w:color="000000"/>
              <w:bottom w:val="single" w:sz="2" w:space="0" w:color="000000"/>
              <w:right w:val="single" w:sz="2" w:space="0" w:color="000000"/>
            </w:tcBorders>
          </w:tcPr>
          <w:p w14:paraId="7C990961" w14:textId="77777777" w:rsidR="004057D3" w:rsidRPr="004057D3" w:rsidRDefault="004057D3" w:rsidP="004057D3">
            <w:pPr>
              <w:spacing w:after="0" w:line="259" w:lineRule="auto"/>
              <w:ind w:left="0" w:right="0" w:firstLine="0"/>
              <w:jc w:val="left"/>
              <w:rPr>
                <w:rFonts w:ascii="Times New Roman" w:hAnsi="Times New Roman" w:cs="Times New Roman"/>
                <w:color w:val="000000" w:themeColor="text1"/>
                <w:sz w:val="16"/>
                <w:szCs w:val="16"/>
              </w:rPr>
            </w:pPr>
            <w:r w:rsidRPr="004057D3">
              <w:rPr>
                <w:rFonts w:ascii="Times New Roman" w:hAnsi="Times New Roman" w:cs="Times New Roman"/>
                <w:color w:val="000000" w:themeColor="text1"/>
                <w:sz w:val="16"/>
                <w:szCs w:val="16"/>
              </w:rPr>
              <w:t>Przeterminowane od 1 dnia &lt;= 30 dni</w:t>
            </w:r>
          </w:p>
        </w:tc>
        <w:tc>
          <w:tcPr>
            <w:tcW w:w="2396" w:type="dxa"/>
            <w:tcBorders>
              <w:top w:val="single" w:sz="2" w:space="0" w:color="000000"/>
              <w:left w:val="single" w:sz="2" w:space="0" w:color="000000"/>
              <w:bottom w:val="single" w:sz="2" w:space="0" w:color="000000"/>
              <w:right w:val="single" w:sz="2" w:space="0" w:color="000000"/>
            </w:tcBorders>
          </w:tcPr>
          <w:p w14:paraId="1609CBBF" w14:textId="0ECE7808" w:rsidR="004057D3" w:rsidRPr="004057D3" w:rsidRDefault="004057D3" w:rsidP="004057D3">
            <w:pPr>
              <w:spacing w:after="0" w:line="259" w:lineRule="auto"/>
              <w:ind w:left="0" w:right="0" w:firstLine="0"/>
              <w:jc w:val="right"/>
              <w:rPr>
                <w:rFonts w:ascii="Times New Roman" w:hAnsi="Times New Roman" w:cs="Times New Roman"/>
                <w:color w:val="000000" w:themeColor="text1"/>
                <w:sz w:val="20"/>
                <w:szCs w:val="20"/>
              </w:rPr>
            </w:pPr>
            <w:r w:rsidRPr="004057D3">
              <w:rPr>
                <w:rFonts w:ascii="Times New Roman" w:hAnsi="Times New Roman" w:cs="Times New Roman"/>
                <w:color w:val="000000" w:themeColor="text1"/>
                <w:sz w:val="20"/>
                <w:szCs w:val="20"/>
              </w:rPr>
              <w:t>0</w:t>
            </w:r>
          </w:p>
        </w:tc>
        <w:tc>
          <w:tcPr>
            <w:tcW w:w="2854" w:type="dxa"/>
            <w:tcBorders>
              <w:top w:val="single" w:sz="2" w:space="0" w:color="000000"/>
              <w:left w:val="single" w:sz="2" w:space="0" w:color="000000"/>
              <w:bottom w:val="single" w:sz="2" w:space="0" w:color="000000"/>
              <w:right w:val="single" w:sz="2" w:space="0" w:color="000000"/>
            </w:tcBorders>
          </w:tcPr>
          <w:p w14:paraId="10DA1B75" w14:textId="18C08797" w:rsidR="004057D3" w:rsidRPr="004057D3" w:rsidRDefault="004057D3" w:rsidP="004057D3">
            <w:pPr>
              <w:jc w:val="right"/>
              <w:rPr>
                <w:rFonts w:ascii="Times New Roman" w:hAnsi="Times New Roman" w:cs="Times New Roman"/>
                <w:color w:val="000000" w:themeColor="text1"/>
                <w:sz w:val="20"/>
                <w:szCs w:val="20"/>
              </w:rPr>
            </w:pPr>
            <w:r w:rsidRPr="004057D3">
              <w:rPr>
                <w:rFonts w:ascii="Times New Roman" w:hAnsi="Times New Roman" w:cs="Times New Roman"/>
                <w:color w:val="000000" w:themeColor="text1"/>
                <w:sz w:val="20"/>
                <w:szCs w:val="20"/>
              </w:rPr>
              <w:t>1 464</w:t>
            </w:r>
          </w:p>
        </w:tc>
      </w:tr>
      <w:tr w:rsidR="004057D3" w:rsidRPr="004057D3" w14:paraId="10B43EA1" w14:textId="77777777" w:rsidTr="002F0D7B">
        <w:trPr>
          <w:trHeight w:val="282"/>
        </w:trPr>
        <w:tc>
          <w:tcPr>
            <w:tcW w:w="4388" w:type="dxa"/>
            <w:tcBorders>
              <w:top w:val="single" w:sz="2" w:space="0" w:color="000000"/>
              <w:left w:val="single" w:sz="2" w:space="0" w:color="000000"/>
              <w:bottom w:val="single" w:sz="2" w:space="0" w:color="000000"/>
              <w:right w:val="single" w:sz="2" w:space="0" w:color="000000"/>
            </w:tcBorders>
          </w:tcPr>
          <w:p w14:paraId="5854AE66" w14:textId="77777777" w:rsidR="004057D3" w:rsidRPr="004057D3" w:rsidRDefault="004057D3" w:rsidP="004057D3">
            <w:pPr>
              <w:spacing w:after="0" w:line="259" w:lineRule="auto"/>
              <w:ind w:left="0" w:right="0" w:firstLine="0"/>
              <w:jc w:val="left"/>
              <w:rPr>
                <w:rFonts w:ascii="Times New Roman" w:hAnsi="Times New Roman" w:cs="Times New Roman"/>
                <w:color w:val="000000" w:themeColor="text1"/>
                <w:sz w:val="16"/>
                <w:szCs w:val="16"/>
              </w:rPr>
            </w:pPr>
            <w:r w:rsidRPr="004057D3">
              <w:rPr>
                <w:rFonts w:ascii="Times New Roman" w:hAnsi="Times New Roman" w:cs="Times New Roman"/>
                <w:color w:val="000000" w:themeColor="text1"/>
                <w:sz w:val="16"/>
                <w:szCs w:val="16"/>
              </w:rPr>
              <w:lastRenderedPageBreak/>
              <w:t>Przeterminowane &gt; 30 dni &lt;= 90 dni</w:t>
            </w:r>
          </w:p>
        </w:tc>
        <w:tc>
          <w:tcPr>
            <w:tcW w:w="2396" w:type="dxa"/>
            <w:tcBorders>
              <w:top w:val="single" w:sz="2" w:space="0" w:color="000000"/>
              <w:left w:val="single" w:sz="2" w:space="0" w:color="000000"/>
              <w:bottom w:val="single" w:sz="2" w:space="0" w:color="000000"/>
              <w:right w:val="single" w:sz="2" w:space="0" w:color="000000"/>
            </w:tcBorders>
          </w:tcPr>
          <w:p w14:paraId="43B356DF" w14:textId="05160532" w:rsidR="004057D3" w:rsidRPr="004057D3" w:rsidRDefault="004057D3" w:rsidP="004057D3">
            <w:pPr>
              <w:spacing w:after="0" w:line="259" w:lineRule="auto"/>
              <w:ind w:left="0" w:right="0" w:firstLine="0"/>
              <w:jc w:val="right"/>
              <w:rPr>
                <w:rFonts w:ascii="Times New Roman" w:hAnsi="Times New Roman" w:cs="Times New Roman"/>
                <w:color w:val="000000" w:themeColor="text1"/>
                <w:sz w:val="20"/>
                <w:szCs w:val="20"/>
              </w:rPr>
            </w:pPr>
            <w:r w:rsidRPr="004057D3">
              <w:rPr>
                <w:rFonts w:ascii="Times New Roman" w:hAnsi="Times New Roman" w:cs="Times New Roman"/>
                <w:color w:val="000000" w:themeColor="text1"/>
                <w:sz w:val="20"/>
                <w:szCs w:val="20"/>
              </w:rPr>
              <w:t>0</w:t>
            </w:r>
          </w:p>
        </w:tc>
        <w:tc>
          <w:tcPr>
            <w:tcW w:w="2854" w:type="dxa"/>
            <w:tcBorders>
              <w:top w:val="single" w:sz="2" w:space="0" w:color="000000"/>
              <w:left w:val="single" w:sz="2" w:space="0" w:color="000000"/>
              <w:bottom w:val="single" w:sz="2" w:space="0" w:color="000000"/>
              <w:right w:val="single" w:sz="2" w:space="0" w:color="000000"/>
            </w:tcBorders>
          </w:tcPr>
          <w:p w14:paraId="52187E5B" w14:textId="6C8DF5CF" w:rsidR="004057D3" w:rsidRPr="004057D3" w:rsidRDefault="004057D3" w:rsidP="004057D3">
            <w:pPr>
              <w:jc w:val="right"/>
              <w:rPr>
                <w:rFonts w:ascii="Times New Roman" w:hAnsi="Times New Roman" w:cs="Times New Roman"/>
                <w:color w:val="000000" w:themeColor="text1"/>
                <w:sz w:val="20"/>
                <w:szCs w:val="20"/>
              </w:rPr>
            </w:pPr>
            <w:r w:rsidRPr="004057D3">
              <w:rPr>
                <w:rFonts w:ascii="Times New Roman" w:hAnsi="Times New Roman" w:cs="Times New Roman"/>
                <w:color w:val="000000" w:themeColor="text1"/>
                <w:sz w:val="20"/>
                <w:szCs w:val="20"/>
              </w:rPr>
              <w:t>392</w:t>
            </w:r>
          </w:p>
        </w:tc>
      </w:tr>
      <w:tr w:rsidR="004057D3" w:rsidRPr="004057D3" w14:paraId="30598271" w14:textId="77777777" w:rsidTr="002F0D7B">
        <w:trPr>
          <w:trHeight w:val="284"/>
        </w:trPr>
        <w:tc>
          <w:tcPr>
            <w:tcW w:w="4388" w:type="dxa"/>
            <w:tcBorders>
              <w:top w:val="single" w:sz="2" w:space="0" w:color="000000"/>
              <w:left w:val="single" w:sz="2" w:space="0" w:color="000000"/>
              <w:bottom w:val="single" w:sz="2" w:space="0" w:color="000000"/>
              <w:right w:val="single" w:sz="2" w:space="0" w:color="000000"/>
            </w:tcBorders>
          </w:tcPr>
          <w:p w14:paraId="6DD36A98" w14:textId="77777777" w:rsidR="004057D3" w:rsidRPr="004057D3" w:rsidRDefault="004057D3" w:rsidP="004057D3">
            <w:pPr>
              <w:spacing w:after="0" w:line="259" w:lineRule="auto"/>
              <w:ind w:left="0" w:right="0" w:firstLine="0"/>
              <w:jc w:val="left"/>
              <w:rPr>
                <w:rFonts w:ascii="Times New Roman" w:hAnsi="Times New Roman" w:cs="Times New Roman"/>
                <w:color w:val="000000" w:themeColor="text1"/>
                <w:sz w:val="16"/>
                <w:szCs w:val="16"/>
              </w:rPr>
            </w:pPr>
            <w:r w:rsidRPr="004057D3">
              <w:rPr>
                <w:rFonts w:ascii="Times New Roman" w:hAnsi="Times New Roman" w:cs="Times New Roman"/>
                <w:color w:val="000000" w:themeColor="text1"/>
                <w:sz w:val="16"/>
                <w:szCs w:val="16"/>
              </w:rPr>
              <w:t>Przeterminowane &gt; 90 dni &lt;= 180 dni</w:t>
            </w:r>
          </w:p>
        </w:tc>
        <w:tc>
          <w:tcPr>
            <w:tcW w:w="2396" w:type="dxa"/>
            <w:tcBorders>
              <w:top w:val="single" w:sz="2" w:space="0" w:color="000000"/>
              <w:left w:val="single" w:sz="2" w:space="0" w:color="000000"/>
              <w:bottom w:val="single" w:sz="2" w:space="0" w:color="000000"/>
              <w:right w:val="single" w:sz="2" w:space="0" w:color="000000"/>
            </w:tcBorders>
          </w:tcPr>
          <w:p w14:paraId="62AD4DB1" w14:textId="524647C1" w:rsidR="004057D3" w:rsidRPr="004057D3" w:rsidRDefault="004057D3" w:rsidP="004057D3">
            <w:pPr>
              <w:spacing w:after="0" w:line="259" w:lineRule="auto"/>
              <w:ind w:left="0" w:right="2" w:firstLine="0"/>
              <w:jc w:val="right"/>
              <w:rPr>
                <w:rFonts w:ascii="Times New Roman" w:hAnsi="Times New Roman" w:cs="Times New Roman"/>
                <w:color w:val="000000" w:themeColor="text1"/>
                <w:sz w:val="20"/>
                <w:szCs w:val="20"/>
              </w:rPr>
            </w:pPr>
            <w:r w:rsidRPr="004057D3">
              <w:rPr>
                <w:rFonts w:ascii="Times New Roman" w:hAnsi="Times New Roman" w:cs="Times New Roman"/>
                <w:color w:val="000000" w:themeColor="text1"/>
                <w:sz w:val="20"/>
                <w:szCs w:val="20"/>
              </w:rPr>
              <w:t>57</w:t>
            </w:r>
          </w:p>
        </w:tc>
        <w:tc>
          <w:tcPr>
            <w:tcW w:w="2854" w:type="dxa"/>
            <w:tcBorders>
              <w:top w:val="single" w:sz="2" w:space="0" w:color="000000"/>
              <w:left w:val="single" w:sz="2" w:space="0" w:color="000000"/>
              <w:bottom w:val="single" w:sz="2" w:space="0" w:color="000000"/>
              <w:right w:val="single" w:sz="2" w:space="0" w:color="000000"/>
            </w:tcBorders>
          </w:tcPr>
          <w:p w14:paraId="2D8A5E89" w14:textId="22E6BEC9" w:rsidR="004057D3" w:rsidRPr="004057D3" w:rsidRDefault="004057D3" w:rsidP="004057D3">
            <w:pPr>
              <w:jc w:val="right"/>
              <w:rPr>
                <w:rFonts w:ascii="Times New Roman" w:hAnsi="Times New Roman" w:cs="Times New Roman"/>
                <w:color w:val="000000" w:themeColor="text1"/>
                <w:sz w:val="20"/>
                <w:szCs w:val="20"/>
              </w:rPr>
            </w:pPr>
            <w:r w:rsidRPr="004057D3">
              <w:rPr>
                <w:rFonts w:ascii="Times New Roman" w:hAnsi="Times New Roman" w:cs="Times New Roman"/>
                <w:color w:val="000000" w:themeColor="text1"/>
                <w:sz w:val="20"/>
                <w:szCs w:val="20"/>
              </w:rPr>
              <w:t>266</w:t>
            </w:r>
          </w:p>
        </w:tc>
      </w:tr>
      <w:tr w:rsidR="004057D3" w:rsidRPr="004057D3" w14:paraId="3721BC99" w14:textId="77777777" w:rsidTr="002F0D7B">
        <w:trPr>
          <w:trHeight w:val="282"/>
        </w:trPr>
        <w:tc>
          <w:tcPr>
            <w:tcW w:w="4388" w:type="dxa"/>
            <w:tcBorders>
              <w:top w:val="single" w:sz="2" w:space="0" w:color="000000"/>
              <w:left w:val="single" w:sz="2" w:space="0" w:color="000000"/>
              <w:bottom w:val="single" w:sz="2" w:space="0" w:color="000000"/>
              <w:right w:val="single" w:sz="2" w:space="0" w:color="000000"/>
            </w:tcBorders>
          </w:tcPr>
          <w:p w14:paraId="74EDE644" w14:textId="77777777" w:rsidR="004057D3" w:rsidRPr="004057D3" w:rsidRDefault="004057D3" w:rsidP="004057D3">
            <w:pPr>
              <w:spacing w:after="0" w:line="259" w:lineRule="auto"/>
              <w:ind w:left="0" w:right="0" w:firstLine="0"/>
              <w:jc w:val="left"/>
              <w:rPr>
                <w:rFonts w:ascii="Times New Roman" w:hAnsi="Times New Roman" w:cs="Times New Roman"/>
                <w:color w:val="000000" w:themeColor="text1"/>
                <w:sz w:val="16"/>
                <w:szCs w:val="16"/>
              </w:rPr>
            </w:pPr>
            <w:r w:rsidRPr="004057D3">
              <w:rPr>
                <w:rFonts w:ascii="Times New Roman" w:hAnsi="Times New Roman" w:cs="Times New Roman"/>
                <w:color w:val="000000" w:themeColor="text1"/>
                <w:sz w:val="16"/>
                <w:szCs w:val="16"/>
              </w:rPr>
              <w:t>Przeterminowane &gt; 180 dni &lt;= 1 roku</w:t>
            </w:r>
          </w:p>
        </w:tc>
        <w:tc>
          <w:tcPr>
            <w:tcW w:w="2396" w:type="dxa"/>
            <w:tcBorders>
              <w:top w:val="single" w:sz="2" w:space="0" w:color="000000"/>
              <w:left w:val="single" w:sz="2" w:space="0" w:color="000000"/>
              <w:bottom w:val="single" w:sz="2" w:space="0" w:color="000000"/>
              <w:right w:val="single" w:sz="2" w:space="0" w:color="000000"/>
            </w:tcBorders>
          </w:tcPr>
          <w:p w14:paraId="65A7A7E7" w14:textId="5CB7DEDA" w:rsidR="004057D3" w:rsidRPr="004057D3" w:rsidRDefault="004057D3" w:rsidP="004057D3">
            <w:pPr>
              <w:spacing w:after="0" w:line="259" w:lineRule="auto"/>
              <w:ind w:left="0" w:right="2" w:firstLine="0"/>
              <w:jc w:val="right"/>
              <w:rPr>
                <w:rFonts w:ascii="Times New Roman" w:hAnsi="Times New Roman" w:cs="Times New Roman"/>
                <w:color w:val="000000" w:themeColor="text1"/>
                <w:sz w:val="20"/>
                <w:szCs w:val="20"/>
              </w:rPr>
            </w:pPr>
            <w:r w:rsidRPr="004057D3">
              <w:rPr>
                <w:rFonts w:ascii="Times New Roman" w:hAnsi="Times New Roman" w:cs="Times New Roman"/>
                <w:color w:val="000000" w:themeColor="text1"/>
                <w:sz w:val="20"/>
                <w:szCs w:val="20"/>
              </w:rPr>
              <w:t>49</w:t>
            </w:r>
          </w:p>
        </w:tc>
        <w:tc>
          <w:tcPr>
            <w:tcW w:w="2854" w:type="dxa"/>
            <w:tcBorders>
              <w:top w:val="single" w:sz="2" w:space="0" w:color="000000"/>
              <w:left w:val="single" w:sz="2" w:space="0" w:color="000000"/>
              <w:bottom w:val="single" w:sz="2" w:space="0" w:color="000000"/>
              <w:right w:val="single" w:sz="2" w:space="0" w:color="000000"/>
            </w:tcBorders>
          </w:tcPr>
          <w:p w14:paraId="6BE123A7" w14:textId="6D6A1DF8" w:rsidR="004057D3" w:rsidRPr="004057D3" w:rsidRDefault="004057D3" w:rsidP="004057D3">
            <w:pPr>
              <w:jc w:val="right"/>
              <w:rPr>
                <w:rFonts w:ascii="Times New Roman" w:hAnsi="Times New Roman" w:cs="Times New Roman"/>
                <w:color w:val="000000" w:themeColor="text1"/>
                <w:sz w:val="20"/>
                <w:szCs w:val="20"/>
              </w:rPr>
            </w:pPr>
            <w:r w:rsidRPr="004057D3">
              <w:rPr>
                <w:rFonts w:ascii="Times New Roman" w:hAnsi="Times New Roman" w:cs="Times New Roman"/>
                <w:color w:val="000000" w:themeColor="text1"/>
                <w:sz w:val="20"/>
                <w:szCs w:val="20"/>
              </w:rPr>
              <w:t>730</w:t>
            </w:r>
          </w:p>
        </w:tc>
      </w:tr>
      <w:tr w:rsidR="004057D3" w:rsidRPr="004057D3" w14:paraId="5F8F5DE3" w14:textId="77777777" w:rsidTr="002F0D7B">
        <w:trPr>
          <w:trHeight w:val="284"/>
        </w:trPr>
        <w:tc>
          <w:tcPr>
            <w:tcW w:w="4388" w:type="dxa"/>
            <w:tcBorders>
              <w:top w:val="single" w:sz="2" w:space="0" w:color="000000"/>
              <w:left w:val="single" w:sz="2" w:space="0" w:color="000000"/>
              <w:bottom w:val="single" w:sz="2" w:space="0" w:color="000000"/>
              <w:right w:val="single" w:sz="2" w:space="0" w:color="000000"/>
            </w:tcBorders>
          </w:tcPr>
          <w:p w14:paraId="244D0809" w14:textId="77777777" w:rsidR="004057D3" w:rsidRPr="004057D3" w:rsidRDefault="004057D3" w:rsidP="004057D3">
            <w:pPr>
              <w:spacing w:after="0" w:line="259" w:lineRule="auto"/>
              <w:ind w:left="0" w:right="0" w:firstLine="0"/>
              <w:jc w:val="left"/>
              <w:rPr>
                <w:rFonts w:ascii="Times New Roman" w:hAnsi="Times New Roman" w:cs="Times New Roman"/>
                <w:color w:val="000000" w:themeColor="text1"/>
                <w:sz w:val="16"/>
                <w:szCs w:val="16"/>
              </w:rPr>
            </w:pPr>
            <w:r w:rsidRPr="004057D3">
              <w:rPr>
                <w:rFonts w:ascii="Times New Roman" w:hAnsi="Times New Roman" w:cs="Times New Roman"/>
                <w:color w:val="000000" w:themeColor="text1"/>
                <w:sz w:val="16"/>
                <w:szCs w:val="16"/>
              </w:rPr>
              <w:t>Przeterminowane &gt; 1 roku</w:t>
            </w:r>
          </w:p>
        </w:tc>
        <w:tc>
          <w:tcPr>
            <w:tcW w:w="2396" w:type="dxa"/>
            <w:tcBorders>
              <w:top w:val="single" w:sz="2" w:space="0" w:color="000000"/>
              <w:left w:val="single" w:sz="2" w:space="0" w:color="000000"/>
              <w:bottom w:val="single" w:sz="2" w:space="0" w:color="000000"/>
              <w:right w:val="single" w:sz="2" w:space="0" w:color="000000"/>
            </w:tcBorders>
          </w:tcPr>
          <w:p w14:paraId="3A39FB90" w14:textId="4E339FCA" w:rsidR="004057D3" w:rsidRPr="004057D3" w:rsidRDefault="004057D3" w:rsidP="004057D3">
            <w:pPr>
              <w:spacing w:after="0" w:line="259" w:lineRule="auto"/>
              <w:ind w:left="0" w:right="0" w:firstLine="0"/>
              <w:jc w:val="right"/>
              <w:rPr>
                <w:rFonts w:ascii="Times New Roman" w:hAnsi="Times New Roman" w:cs="Times New Roman"/>
                <w:color w:val="000000" w:themeColor="text1"/>
                <w:sz w:val="20"/>
                <w:szCs w:val="20"/>
              </w:rPr>
            </w:pPr>
            <w:r w:rsidRPr="004057D3">
              <w:rPr>
                <w:rFonts w:ascii="Times New Roman" w:hAnsi="Times New Roman" w:cs="Times New Roman"/>
                <w:color w:val="000000" w:themeColor="text1"/>
                <w:sz w:val="20"/>
                <w:szCs w:val="20"/>
              </w:rPr>
              <w:t>1208</w:t>
            </w:r>
          </w:p>
        </w:tc>
        <w:tc>
          <w:tcPr>
            <w:tcW w:w="2854" w:type="dxa"/>
            <w:tcBorders>
              <w:top w:val="single" w:sz="2" w:space="0" w:color="000000"/>
              <w:left w:val="single" w:sz="2" w:space="0" w:color="000000"/>
              <w:bottom w:val="single" w:sz="2" w:space="0" w:color="000000"/>
              <w:right w:val="single" w:sz="2" w:space="0" w:color="000000"/>
            </w:tcBorders>
          </w:tcPr>
          <w:p w14:paraId="5D74A94A" w14:textId="07BCAE6C" w:rsidR="004057D3" w:rsidRPr="004057D3" w:rsidRDefault="004057D3" w:rsidP="004057D3">
            <w:pPr>
              <w:jc w:val="right"/>
              <w:rPr>
                <w:rFonts w:ascii="Times New Roman" w:hAnsi="Times New Roman" w:cs="Times New Roman"/>
                <w:color w:val="000000" w:themeColor="text1"/>
                <w:sz w:val="20"/>
                <w:szCs w:val="20"/>
              </w:rPr>
            </w:pPr>
            <w:r w:rsidRPr="004057D3">
              <w:rPr>
                <w:rFonts w:ascii="Times New Roman" w:hAnsi="Times New Roman" w:cs="Times New Roman"/>
                <w:color w:val="000000" w:themeColor="text1"/>
                <w:sz w:val="20"/>
                <w:szCs w:val="20"/>
              </w:rPr>
              <w:t>2 517</w:t>
            </w:r>
          </w:p>
        </w:tc>
      </w:tr>
    </w:tbl>
    <w:p w14:paraId="6B53D64F" w14:textId="77777777" w:rsidR="00604682" w:rsidRPr="00A72D07" w:rsidRDefault="00604682" w:rsidP="00F364C8">
      <w:pPr>
        <w:pStyle w:val="Nagwek2"/>
        <w:spacing w:after="228"/>
        <w:ind w:left="0" w:right="7" w:firstLine="0"/>
        <w:rPr>
          <w:rFonts w:ascii="Times New Roman" w:hAnsi="Times New Roman" w:cs="Times New Roman"/>
          <w:color w:val="auto"/>
        </w:rPr>
      </w:pPr>
    </w:p>
    <w:p w14:paraId="0A518C11" w14:textId="77777777" w:rsidR="002C50F6" w:rsidRPr="00A72D07" w:rsidRDefault="00E81BF6" w:rsidP="00F364C8">
      <w:pPr>
        <w:pStyle w:val="Nagwek2"/>
        <w:spacing w:after="228"/>
        <w:ind w:left="0" w:right="7" w:firstLine="0"/>
        <w:rPr>
          <w:rFonts w:ascii="Times New Roman" w:hAnsi="Times New Roman" w:cs="Times New Roman"/>
          <w:color w:val="auto"/>
        </w:rPr>
      </w:pPr>
      <w:bookmarkStart w:id="47" w:name="_Toc75336276"/>
      <w:r w:rsidRPr="00A72D07">
        <w:rPr>
          <w:rFonts w:ascii="Times New Roman" w:hAnsi="Times New Roman" w:cs="Times New Roman"/>
          <w:color w:val="auto"/>
        </w:rPr>
        <w:t>9.8. Korekty z tytułu szczególnego i ogólnego ryzyka kredytowego</w:t>
      </w:r>
      <w:bookmarkEnd w:id="47"/>
    </w:p>
    <w:p w14:paraId="75770E76" w14:textId="77777777" w:rsidR="0007448C" w:rsidRPr="00A72D07" w:rsidRDefault="0007448C">
      <w:pPr>
        <w:spacing w:after="3" w:line="259" w:lineRule="auto"/>
        <w:ind w:left="-5" w:right="0"/>
        <w:jc w:val="left"/>
        <w:rPr>
          <w:rFonts w:ascii="Times New Roman" w:hAnsi="Times New Roman" w:cs="Times New Roman"/>
          <w:i/>
          <w:color w:val="auto"/>
          <w:sz w:val="20"/>
        </w:rPr>
      </w:pPr>
    </w:p>
    <w:p w14:paraId="2F80795B" w14:textId="66CAB39E" w:rsidR="00E76EC1" w:rsidRPr="00A72D07" w:rsidRDefault="00E76EC1" w:rsidP="00E76EC1">
      <w:pPr>
        <w:spacing w:after="3" w:line="259" w:lineRule="auto"/>
        <w:ind w:left="-5" w:right="0"/>
        <w:jc w:val="left"/>
        <w:rPr>
          <w:rFonts w:ascii="Times New Roman" w:hAnsi="Times New Roman" w:cs="Times New Roman"/>
          <w:i/>
          <w:color w:val="auto"/>
          <w:sz w:val="20"/>
        </w:rPr>
      </w:pPr>
      <w:r w:rsidRPr="00A72D07">
        <w:rPr>
          <w:rFonts w:ascii="Times New Roman" w:hAnsi="Times New Roman" w:cs="Times New Roman"/>
          <w:i/>
          <w:color w:val="auto"/>
          <w:sz w:val="20"/>
        </w:rPr>
        <w:t>Tabela – korekty z tytułu</w:t>
      </w:r>
      <w:r w:rsidR="004057D3" w:rsidRPr="00A72D07">
        <w:rPr>
          <w:rFonts w:ascii="Times New Roman" w:hAnsi="Times New Roman" w:cs="Times New Roman"/>
          <w:i/>
          <w:color w:val="auto"/>
          <w:sz w:val="20"/>
        </w:rPr>
        <w:t xml:space="preserve"> ryzyka kredytowego </w:t>
      </w:r>
      <w:r w:rsidR="00DD24DA" w:rsidRPr="00A72D07">
        <w:rPr>
          <w:rFonts w:ascii="Times New Roman" w:hAnsi="Times New Roman" w:cs="Times New Roman"/>
          <w:i/>
          <w:color w:val="auto"/>
          <w:sz w:val="20"/>
        </w:rPr>
        <w:t xml:space="preserve">na ekspozycje kredytowe </w:t>
      </w:r>
      <w:r w:rsidR="004057D3" w:rsidRPr="00A72D07">
        <w:rPr>
          <w:rFonts w:ascii="Times New Roman" w:hAnsi="Times New Roman" w:cs="Times New Roman"/>
          <w:i/>
          <w:color w:val="auto"/>
          <w:sz w:val="20"/>
        </w:rPr>
        <w:t>– 31.12.2020</w:t>
      </w:r>
      <w:r w:rsidRPr="00A72D07">
        <w:rPr>
          <w:rFonts w:ascii="Times New Roman" w:hAnsi="Times New Roman" w:cs="Times New Roman"/>
          <w:i/>
          <w:color w:val="auto"/>
          <w:sz w:val="20"/>
        </w:rPr>
        <w:t xml:space="preserve"> r. (w tys. zł)</w:t>
      </w:r>
    </w:p>
    <w:tbl>
      <w:tblPr>
        <w:tblStyle w:val="TableGrid"/>
        <w:tblW w:w="6803" w:type="dxa"/>
        <w:tblInd w:w="-2" w:type="dxa"/>
        <w:tblCellMar>
          <w:top w:w="64" w:type="dxa"/>
          <w:left w:w="30" w:type="dxa"/>
          <w:right w:w="24" w:type="dxa"/>
        </w:tblCellMar>
        <w:tblLook w:val="04A0" w:firstRow="1" w:lastRow="0" w:firstColumn="1" w:lastColumn="0" w:noHBand="0" w:noVBand="1"/>
      </w:tblPr>
      <w:tblGrid>
        <w:gridCol w:w="4440"/>
        <w:gridCol w:w="2363"/>
      </w:tblGrid>
      <w:tr w:rsidR="00A447BD" w:rsidRPr="00A72D07" w14:paraId="4F0C391F" w14:textId="77777777" w:rsidTr="00DA0038">
        <w:trPr>
          <w:trHeight w:val="290"/>
        </w:trPr>
        <w:tc>
          <w:tcPr>
            <w:tcW w:w="4440" w:type="dxa"/>
            <w:tcBorders>
              <w:top w:val="single" w:sz="2" w:space="0" w:color="000000"/>
              <w:left w:val="single" w:sz="2" w:space="0" w:color="000000"/>
              <w:bottom w:val="single" w:sz="2" w:space="0" w:color="000000"/>
              <w:right w:val="single" w:sz="2" w:space="0" w:color="000000"/>
            </w:tcBorders>
            <w:vAlign w:val="center"/>
          </w:tcPr>
          <w:p w14:paraId="4F41EC87" w14:textId="77777777" w:rsidR="00DA0038" w:rsidRPr="00A72D07" w:rsidRDefault="00DA0038" w:rsidP="000E4871">
            <w:pPr>
              <w:spacing w:after="0" w:line="259" w:lineRule="auto"/>
              <w:ind w:left="0" w:right="1" w:firstLine="0"/>
              <w:jc w:val="center"/>
              <w:rPr>
                <w:rFonts w:ascii="Times New Roman" w:hAnsi="Times New Roman" w:cs="Times New Roman"/>
                <w:color w:val="auto"/>
                <w:sz w:val="20"/>
                <w:szCs w:val="20"/>
              </w:rPr>
            </w:pPr>
            <w:r w:rsidRPr="00A72D07">
              <w:rPr>
                <w:rFonts w:ascii="Times New Roman" w:hAnsi="Times New Roman" w:cs="Times New Roman"/>
                <w:b/>
                <w:color w:val="auto"/>
                <w:sz w:val="20"/>
                <w:szCs w:val="20"/>
              </w:rPr>
              <w:t>TYP KONTRAHENTA</w:t>
            </w:r>
          </w:p>
        </w:tc>
        <w:tc>
          <w:tcPr>
            <w:tcW w:w="2363" w:type="dxa"/>
            <w:tcBorders>
              <w:top w:val="single" w:sz="2" w:space="0" w:color="000000"/>
              <w:left w:val="single" w:sz="2" w:space="0" w:color="000000"/>
              <w:bottom w:val="single" w:sz="2" w:space="0" w:color="000000"/>
              <w:right w:val="single" w:sz="2" w:space="0" w:color="000000"/>
            </w:tcBorders>
          </w:tcPr>
          <w:p w14:paraId="2F1BCE56" w14:textId="003881A6" w:rsidR="00DA0038" w:rsidRPr="00A72D07" w:rsidRDefault="00DA0038" w:rsidP="000E4871">
            <w:pPr>
              <w:spacing w:after="0" w:line="259" w:lineRule="auto"/>
              <w:ind w:left="108" w:right="0" w:firstLine="0"/>
              <w:jc w:val="center"/>
              <w:rPr>
                <w:rFonts w:ascii="Times New Roman" w:hAnsi="Times New Roman" w:cs="Times New Roman"/>
                <w:color w:val="auto"/>
                <w:sz w:val="20"/>
                <w:szCs w:val="20"/>
              </w:rPr>
            </w:pPr>
            <w:r w:rsidRPr="00A72D07">
              <w:rPr>
                <w:rFonts w:ascii="Times New Roman" w:hAnsi="Times New Roman" w:cs="Times New Roman"/>
                <w:b/>
                <w:color w:val="auto"/>
                <w:sz w:val="20"/>
                <w:szCs w:val="20"/>
              </w:rPr>
              <w:t>REZERWY CELOWE ORAZ ODPISY AKTUALIZUJĄCE NA NALEŻNOŚCI Z ROZPOZNANĄ UTRATĄ WARTOŚCI</w:t>
            </w:r>
          </w:p>
        </w:tc>
      </w:tr>
      <w:tr w:rsidR="00A447BD" w:rsidRPr="00A72D07" w14:paraId="5FCB708F" w14:textId="77777777" w:rsidTr="00DA0038">
        <w:trPr>
          <w:trHeight w:val="290"/>
        </w:trPr>
        <w:tc>
          <w:tcPr>
            <w:tcW w:w="4440" w:type="dxa"/>
            <w:tcBorders>
              <w:top w:val="single" w:sz="2" w:space="0" w:color="000000"/>
              <w:left w:val="single" w:sz="2" w:space="0" w:color="000000"/>
              <w:bottom w:val="single" w:sz="2" w:space="0" w:color="000000"/>
              <w:right w:val="single" w:sz="2" w:space="0" w:color="000000"/>
            </w:tcBorders>
          </w:tcPr>
          <w:p w14:paraId="758AEC4A" w14:textId="2EEC72A1" w:rsidR="004057D3" w:rsidRPr="00A72D07" w:rsidRDefault="004057D3" w:rsidP="004057D3">
            <w:pPr>
              <w:spacing w:after="0" w:line="259" w:lineRule="auto"/>
              <w:ind w:left="0" w:right="0" w:firstLine="0"/>
              <w:jc w:val="left"/>
              <w:rPr>
                <w:rFonts w:ascii="Times New Roman" w:hAnsi="Times New Roman" w:cs="Times New Roman"/>
                <w:color w:val="auto"/>
                <w:sz w:val="20"/>
                <w:szCs w:val="20"/>
              </w:rPr>
            </w:pPr>
            <w:r w:rsidRPr="00A72D07">
              <w:rPr>
                <w:rFonts w:ascii="Times New Roman" w:hAnsi="Times New Roman" w:cs="Times New Roman"/>
                <w:color w:val="auto"/>
                <w:sz w:val="20"/>
                <w:szCs w:val="20"/>
              </w:rPr>
              <w:t>Osoby prywatne</w:t>
            </w:r>
          </w:p>
        </w:tc>
        <w:tc>
          <w:tcPr>
            <w:tcW w:w="2363" w:type="dxa"/>
            <w:tcBorders>
              <w:top w:val="single" w:sz="2" w:space="0" w:color="000000"/>
              <w:left w:val="single" w:sz="2" w:space="0" w:color="000000"/>
              <w:bottom w:val="single" w:sz="2" w:space="0" w:color="000000"/>
              <w:right w:val="single" w:sz="2" w:space="0" w:color="000000"/>
            </w:tcBorders>
          </w:tcPr>
          <w:p w14:paraId="6D97B795" w14:textId="4BE089C3" w:rsidR="004057D3" w:rsidRPr="00A72D07" w:rsidRDefault="004057D3" w:rsidP="00DD24DA">
            <w:pPr>
              <w:spacing w:after="0" w:line="259" w:lineRule="auto"/>
              <w:ind w:left="0" w:right="3" w:firstLine="0"/>
              <w:jc w:val="right"/>
              <w:rPr>
                <w:rFonts w:ascii="Times New Roman" w:hAnsi="Times New Roman" w:cs="Times New Roman"/>
                <w:b/>
                <w:color w:val="auto"/>
                <w:sz w:val="20"/>
                <w:szCs w:val="20"/>
              </w:rPr>
            </w:pPr>
            <w:r w:rsidRPr="00A72D07">
              <w:rPr>
                <w:rFonts w:ascii="Times New Roman" w:hAnsi="Times New Roman" w:cs="Times New Roman"/>
                <w:color w:val="auto"/>
                <w:sz w:val="20"/>
                <w:szCs w:val="20"/>
              </w:rPr>
              <w:t>1 2</w:t>
            </w:r>
            <w:r w:rsidR="00DD24DA" w:rsidRPr="00A72D07">
              <w:rPr>
                <w:rFonts w:ascii="Times New Roman" w:hAnsi="Times New Roman" w:cs="Times New Roman"/>
                <w:color w:val="auto"/>
                <w:sz w:val="20"/>
                <w:szCs w:val="20"/>
              </w:rPr>
              <w:t>42</w:t>
            </w:r>
          </w:p>
        </w:tc>
      </w:tr>
      <w:tr w:rsidR="00A447BD" w:rsidRPr="00A72D07" w14:paraId="5794A884" w14:textId="77777777" w:rsidTr="00DA0038">
        <w:trPr>
          <w:trHeight w:val="290"/>
        </w:trPr>
        <w:tc>
          <w:tcPr>
            <w:tcW w:w="4440" w:type="dxa"/>
            <w:tcBorders>
              <w:top w:val="single" w:sz="2" w:space="0" w:color="000000"/>
              <w:left w:val="single" w:sz="2" w:space="0" w:color="000000"/>
              <w:bottom w:val="single" w:sz="2" w:space="0" w:color="000000"/>
              <w:right w:val="single" w:sz="2" w:space="0" w:color="000000"/>
            </w:tcBorders>
          </w:tcPr>
          <w:p w14:paraId="1AAA0700" w14:textId="2C61CED0" w:rsidR="004057D3" w:rsidRPr="00A72D07" w:rsidRDefault="004057D3" w:rsidP="004057D3">
            <w:pPr>
              <w:spacing w:after="0" w:line="259" w:lineRule="auto"/>
              <w:ind w:left="0" w:right="0" w:firstLine="0"/>
              <w:jc w:val="left"/>
              <w:rPr>
                <w:rFonts w:ascii="Times New Roman" w:hAnsi="Times New Roman" w:cs="Times New Roman"/>
                <w:color w:val="auto"/>
                <w:sz w:val="20"/>
                <w:szCs w:val="20"/>
              </w:rPr>
            </w:pPr>
            <w:r w:rsidRPr="00A72D07">
              <w:rPr>
                <w:rFonts w:ascii="Times New Roman" w:hAnsi="Times New Roman" w:cs="Times New Roman"/>
                <w:color w:val="auto"/>
                <w:sz w:val="20"/>
                <w:szCs w:val="20"/>
              </w:rPr>
              <w:t>MŚP</w:t>
            </w:r>
            <w:r w:rsidR="00A447BD" w:rsidRPr="00A72D07">
              <w:rPr>
                <w:rFonts w:ascii="Times New Roman" w:hAnsi="Times New Roman" w:cs="Times New Roman"/>
                <w:color w:val="auto"/>
                <w:sz w:val="20"/>
                <w:szCs w:val="20"/>
              </w:rPr>
              <w:t xml:space="preserve"> oraz Przedsiębiorcy indywidualni</w:t>
            </w:r>
          </w:p>
        </w:tc>
        <w:tc>
          <w:tcPr>
            <w:tcW w:w="2363" w:type="dxa"/>
            <w:tcBorders>
              <w:top w:val="single" w:sz="2" w:space="0" w:color="000000"/>
              <w:left w:val="single" w:sz="2" w:space="0" w:color="000000"/>
              <w:bottom w:val="single" w:sz="2" w:space="0" w:color="000000"/>
              <w:right w:val="single" w:sz="2" w:space="0" w:color="000000"/>
            </w:tcBorders>
          </w:tcPr>
          <w:p w14:paraId="07DB57CE" w14:textId="4918AE09" w:rsidR="004057D3" w:rsidRPr="00A72D07" w:rsidRDefault="004C4D30" w:rsidP="00DD24DA">
            <w:pPr>
              <w:spacing w:after="0" w:line="259" w:lineRule="auto"/>
              <w:ind w:left="0" w:right="3" w:firstLine="0"/>
              <w:jc w:val="right"/>
              <w:rPr>
                <w:rFonts w:ascii="Times New Roman" w:hAnsi="Times New Roman" w:cs="Times New Roman"/>
                <w:color w:val="auto"/>
                <w:sz w:val="20"/>
                <w:szCs w:val="20"/>
              </w:rPr>
            </w:pPr>
            <w:r w:rsidRPr="00A72D07">
              <w:rPr>
                <w:rFonts w:ascii="Times New Roman" w:hAnsi="Times New Roman" w:cs="Times New Roman"/>
                <w:color w:val="auto"/>
                <w:sz w:val="20"/>
                <w:szCs w:val="20"/>
              </w:rPr>
              <w:t>2 52</w:t>
            </w:r>
            <w:r w:rsidR="00DD24DA" w:rsidRPr="00A72D07">
              <w:rPr>
                <w:rFonts w:ascii="Times New Roman" w:hAnsi="Times New Roman" w:cs="Times New Roman"/>
                <w:color w:val="auto"/>
                <w:sz w:val="20"/>
                <w:szCs w:val="20"/>
              </w:rPr>
              <w:t>4</w:t>
            </w:r>
          </w:p>
        </w:tc>
      </w:tr>
      <w:tr w:rsidR="00A447BD" w:rsidRPr="00A72D07" w14:paraId="6E83E955" w14:textId="77777777" w:rsidTr="00DA0038">
        <w:trPr>
          <w:trHeight w:val="290"/>
        </w:trPr>
        <w:tc>
          <w:tcPr>
            <w:tcW w:w="4440" w:type="dxa"/>
            <w:tcBorders>
              <w:top w:val="single" w:sz="2" w:space="0" w:color="000000"/>
              <w:left w:val="single" w:sz="2" w:space="0" w:color="000000"/>
              <w:bottom w:val="single" w:sz="2" w:space="0" w:color="000000"/>
              <w:right w:val="single" w:sz="2" w:space="0" w:color="000000"/>
            </w:tcBorders>
          </w:tcPr>
          <w:p w14:paraId="7D11C12B" w14:textId="77777777" w:rsidR="004057D3" w:rsidRPr="00A72D07" w:rsidRDefault="004057D3" w:rsidP="004057D3">
            <w:pPr>
              <w:spacing w:after="0" w:line="259" w:lineRule="auto"/>
              <w:ind w:left="0" w:right="0" w:firstLine="0"/>
              <w:jc w:val="left"/>
              <w:rPr>
                <w:rFonts w:ascii="Times New Roman" w:hAnsi="Times New Roman" w:cs="Times New Roman"/>
                <w:color w:val="auto"/>
                <w:sz w:val="20"/>
                <w:szCs w:val="20"/>
              </w:rPr>
            </w:pPr>
            <w:r w:rsidRPr="00A72D07">
              <w:rPr>
                <w:rFonts w:ascii="Times New Roman" w:hAnsi="Times New Roman" w:cs="Times New Roman"/>
                <w:color w:val="auto"/>
                <w:sz w:val="20"/>
                <w:szCs w:val="20"/>
              </w:rPr>
              <w:t>Rolnicy</w:t>
            </w:r>
          </w:p>
        </w:tc>
        <w:tc>
          <w:tcPr>
            <w:tcW w:w="2363" w:type="dxa"/>
            <w:tcBorders>
              <w:top w:val="single" w:sz="2" w:space="0" w:color="000000"/>
              <w:left w:val="single" w:sz="2" w:space="0" w:color="000000"/>
              <w:bottom w:val="single" w:sz="2" w:space="0" w:color="000000"/>
              <w:right w:val="single" w:sz="2" w:space="0" w:color="000000"/>
            </w:tcBorders>
          </w:tcPr>
          <w:p w14:paraId="2D2C7A12" w14:textId="3BB7C25B" w:rsidR="004057D3" w:rsidRPr="00A72D07" w:rsidRDefault="00DD24DA" w:rsidP="004057D3">
            <w:pPr>
              <w:spacing w:after="0" w:line="259" w:lineRule="auto"/>
              <w:ind w:left="0" w:right="3" w:firstLine="0"/>
              <w:jc w:val="right"/>
              <w:rPr>
                <w:rFonts w:ascii="Times New Roman" w:hAnsi="Times New Roman" w:cs="Times New Roman"/>
                <w:b/>
                <w:color w:val="auto"/>
                <w:sz w:val="20"/>
                <w:szCs w:val="20"/>
              </w:rPr>
            </w:pPr>
            <w:r w:rsidRPr="00A72D07">
              <w:rPr>
                <w:rFonts w:ascii="Times New Roman" w:hAnsi="Times New Roman" w:cs="Times New Roman"/>
                <w:color w:val="auto"/>
                <w:sz w:val="20"/>
                <w:szCs w:val="20"/>
              </w:rPr>
              <w:t>1 83</w:t>
            </w:r>
            <w:r w:rsidR="004057D3" w:rsidRPr="00A72D07">
              <w:rPr>
                <w:rFonts w:ascii="Times New Roman" w:hAnsi="Times New Roman" w:cs="Times New Roman"/>
                <w:color w:val="auto"/>
                <w:sz w:val="20"/>
                <w:szCs w:val="20"/>
              </w:rPr>
              <w:t>3</w:t>
            </w:r>
          </w:p>
        </w:tc>
      </w:tr>
      <w:tr w:rsidR="00A447BD" w:rsidRPr="00A72D07" w14:paraId="5D8852F8" w14:textId="77777777" w:rsidTr="00DA0038">
        <w:trPr>
          <w:trHeight w:val="290"/>
        </w:trPr>
        <w:tc>
          <w:tcPr>
            <w:tcW w:w="4440" w:type="dxa"/>
            <w:tcBorders>
              <w:top w:val="single" w:sz="2" w:space="0" w:color="000000"/>
              <w:left w:val="single" w:sz="2" w:space="0" w:color="000000"/>
              <w:bottom w:val="single" w:sz="2" w:space="0" w:color="000000"/>
              <w:right w:val="single" w:sz="2" w:space="0" w:color="000000"/>
            </w:tcBorders>
          </w:tcPr>
          <w:p w14:paraId="559B6527" w14:textId="77777777" w:rsidR="004057D3" w:rsidRPr="00A72D07" w:rsidRDefault="004057D3" w:rsidP="004057D3">
            <w:pPr>
              <w:spacing w:after="0" w:line="259" w:lineRule="auto"/>
              <w:ind w:left="0" w:right="0" w:firstLine="0"/>
              <w:jc w:val="left"/>
              <w:rPr>
                <w:rFonts w:ascii="Times New Roman" w:hAnsi="Times New Roman" w:cs="Times New Roman"/>
                <w:color w:val="auto"/>
                <w:sz w:val="20"/>
                <w:szCs w:val="20"/>
              </w:rPr>
            </w:pPr>
            <w:r w:rsidRPr="00A72D07">
              <w:rPr>
                <w:rFonts w:ascii="Times New Roman" w:hAnsi="Times New Roman" w:cs="Times New Roman"/>
                <w:color w:val="auto"/>
                <w:sz w:val="20"/>
                <w:szCs w:val="20"/>
              </w:rPr>
              <w:t xml:space="preserve">Ogółem </w:t>
            </w:r>
          </w:p>
        </w:tc>
        <w:tc>
          <w:tcPr>
            <w:tcW w:w="2363" w:type="dxa"/>
            <w:tcBorders>
              <w:top w:val="single" w:sz="2" w:space="0" w:color="000000"/>
              <w:left w:val="single" w:sz="2" w:space="0" w:color="000000"/>
              <w:bottom w:val="single" w:sz="2" w:space="0" w:color="000000"/>
              <w:right w:val="single" w:sz="2" w:space="0" w:color="000000"/>
            </w:tcBorders>
          </w:tcPr>
          <w:p w14:paraId="45846C00" w14:textId="7A93AB9D" w:rsidR="004057D3" w:rsidRPr="00A72D07" w:rsidRDefault="004C4D30" w:rsidP="00DD24DA">
            <w:pPr>
              <w:spacing w:after="0" w:line="259" w:lineRule="auto"/>
              <w:ind w:left="0" w:right="3" w:firstLine="0"/>
              <w:jc w:val="right"/>
              <w:rPr>
                <w:rFonts w:ascii="Times New Roman" w:hAnsi="Times New Roman" w:cs="Times New Roman"/>
                <w:b/>
                <w:color w:val="auto"/>
                <w:sz w:val="20"/>
                <w:szCs w:val="20"/>
              </w:rPr>
            </w:pPr>
            <w:r w:rsidRPr="00A72D07">
              <w:rPr>
                <w:rFonts w:ascii="Times New Roman" w:hAnsi="Times New Roman" w:cs="Times New Roman"/>
                <w:color w:val="auto"/>
                <w:sz w:val="20"/>
                <w:szCs w:val="20"/>
              </w:rPr>
              <w:t xml:space="preserve">5 </w:t>
            </w:r>
            <w:r w:rsidR="00DD24DA" w:rsidRPr="00A72D07">
              <w:rPr>
                <w:rFonts w:ascii="Times New Roman" w:hAnsi="Times New Roman" w:cs="Times New Roman"/>
                <w:color w:val="auto"/>
                <w:sz w:val="20"/>
                <w:szCs w:val="20"/>
              </w:rPr>
              <w:t>599</w:t>
            </w:r>
          </w:p>
        </w:tc>
      </w:tr>
    </w:tbl>
    <w:p w14:paraId="51E3E59C" w14:textId="77777777" w:rsidR="00E76EC1" w:rsidRPr="00A72D07" w:rsidRDefault="00E76EC1" w:rsidP="00E76EC1">
      <w:pPr>
        <w:spacing w:after="3" w:line="259" w:lineRule="auto"/>
        <w:ind w:left="-5" w:right="0"/>
        <w:jc w:val="left"/>
        <w:rPr>
          <w:rFonts w:ascii="Times New Roman" w:hAnsi="Times New Roman" w:cs="Times New Roman"/>
          <w:i/>
          <w:color w:val="auto"/>
          <w:sz w:val="20"/>
        </w:rPr>
      </w:pPr>
    </w:p>
    <w:p w14:paraId="5B00E4D4" w14:textId="77777777" w:rsidR="002C50F6" w:rsidRPr="004057D3" w:rsidRDefault="00E81BF6" w:rsidP="00F364C8">
      <w:pPr>
        <w:pStyle w:val="Nagwek2"/>
        <w:spacing w:before="240" w:line="269" w:lineRule="auto"/>
        <w:ind w:left="-6" w:right="6" w:hanging="11"/>
        <w:rPr>
          <w:rFonts w:ascii="Times New Roman" w:hAnsi="Times New Roman" w:cs="Times New Roman"/>
          <w:color w:val="000000" w:themeColor="text1"/>
        </w:rPr>
      </w:pPr>
      <w:bookmarkStart w:id="48" w:name="_Toc75336277"/>
      <w:r w:rsidRPr="004057D3">
        <w:rPr>
          <w:rFonts w:ascii="Times New Roman" w:hAnsi="Times New Roman" w:cs="Times New Roman"/>
          <w:color w:val="000000" w:themeColor="text1"/>
        </w:rPr>
        <w:t>9.9. Kwota ekspozycji o utraconej wartości i ekspozycje przeterminowane, podane oddzielnie, z podziałem na ważne obszary geograficzne, w tym w miarę możliwości kwoty korekty o szczególne i ogólne ryzyko kredytowe związane z każdym obszarem geograficznym</w:t>
      </w:r>
      <w:bookmarkEnd w:id="48"/>
    </w:p>
    <w:p w14:paraId="4C576E35" w14:textId="77777777" w:rsidR="002C50F6" w:rsidRPr="004057D3" w:rsidRDefault="00E81BF6" w:rsidP="00C03332">
      <w:pPr>
        <w:spacing w:after="240" w:line="276" w:lineRule="auto"/>
        <w:ind w:left="-6" w:right="6" w:hanging="11"/>
        <w:rPr>
          <w:rFonts w:ascii="Times New Roman" w:hAnsi="Times New Roman" w:cs="Times New Roman"/>
          <w:color w:val="000000" w:themeColor="text1"/>
        </w:rPr>
      </w:pPr>
      <w:r w:rsidRPr="004057D3">
        <w:rPr>
          <w:rFonts w:ascii="Times New Roman" w:hAnsi="Times New Roman" w:cs="Times New Roman"/>
          <w:color w:val="000000" w:themeColor="text1"/>
        </w:rPr>
        <w:t>Struktura geograficzna ekspozycji nie jest prezentowana, ponieważ Bank prowadzi działalność wyłącznie na terenie Rzeczypos</w:t>
      </w:r>
      <w:r w:rsidR="00780B26" w:rsidRPr="004057D3">
        <w:rPr>
          <w:rFonts w:ascii="Times New Roman" w:hAnsi="Times New Roman" w:cs="Times New Roman"/>
          <w:color w:val="000000" w:themeColor="text1"/>
        </w:rPr>
        <w:t>politej Polskiej.</w:t>
      </w:r>
    </w:p>
    <w:p w14:paraId="512BD53F" w14:textId="77777777" w:rsidR="002C50F6" w:rsidRPr="001E0AC3" w:rsidRDefault="00E81BF6" w:rsidP="00780B26">
      <w:pPr>
        <w:pStyle w:val="Nagwek2"/>
        <w:spacing w:after="224"/>
        <w:ind w:right="7"/>
        <w:rPr>
          <w:rFonts w:ascii="Times New Roman" w:hAnsi="Times New Roman" w:cs="Times New Roman"/>
          <w:color w:val="auto"/>
        </w:rPr>
      </w:pPr>
      <w:bookmarkStart w:id="49" w:name="_Toc75336278"/>
      <w:r w:rsidRPr="001E0AC3">
        <w:rPr>
          <w:rFonts w:ascii="Times New Roman" w:hAnsi="Times New Roman" w:cs="Times New Roman"/>
          <w:color w:val="auto"/>
        </w:rPr>
        <w:t>9.10. Uzgodnienie zmian korekty o szczególn</w:t>
      </w:r>
      <w:r w:rsidR="00F364C8" w:rsidRPr="001E0AC3">
        <w:rPr>
          <w:rFonts w:ascii="Times New Roman" w:hAnsi="Times New Roman" w:cs="Times New Roman"/>
          <w:color w:val="auto"/>
        </w:rPr>
        <w:t>e i ogólne ryzyko kredytowe dla </w:t>
      </w:r>
      <w:r w:rsidRPr="001E0AC3">
        <w:rPr>
          <w:rFonts w:ascii="Times New Roman" w:hAnsi="Times New Roman" w:cs="Times New Roman"/>
          <w:color w:val="auto"/>
        </w:rPr>
        <w:t>ekspozycji o utraconej wartości</w:t>
      </w:r>
      <w:bookmarkEnd w:id="49"/>
    </w:p>
    <w:p w14:paraId="05962C4A" w14:textId="77777777" w:rsidR="001E0AC3" w:rsidRPr="001E0AC3" w:rsidRDefault="001E0AC3" w:rsidP="008C632F">
      <w:pPr>
        <w:spacing w:before="100" w:beforeAutospacing="1" w:after="0" w:line="240" w:lineRule="auto"/>
        <w:ind w:left="0" w:right="0" w:firstLine="0"/>
        <w:jc w:val="left"/>
        <w:rPr>
          <w:rFonts w:ascii="Times New Roman" w:eastAsia="Times New Roman" w:hAnsi="Times New Roman" w:cs="Times New Roman"/>
          <w:i/>
          <w:color w:val="auto"/>
          <w:sz w:val="20"/>
          <w:szCs w:val="20"/>
        </w:rPr>
      </w:pPr>
      <w:r w:rsidRPr="001E0AC3">
        <w:rPr>
          <w:rFonts w:ascii="Times New Roman" w:eastAsia="Times New Roman" w:hAnsi="Times New Roman" w:cs="Times New Roman"/>
          <w:i/>
          <w:color w:val="auto"/>
          <w:sz w:val="20"/>
          <w:szCs w:val="20"/>
          <w:lang w:eastAsia="en-US"/>
        </w:rPr>
        <w:t>Tabela – wartość odpisów oraz rezerw celowych dla kredytów z rozpoznana utratą wartości oraz dla kredytów bez rozpoznanej utraty wartości (w tys. zł)</w:t>
      </w:r>
    </w:p>
    <w:tbl>
      <w:tblPr>
        <w:tblW w:w="0" w:type="auto"/>
        <w:tblCellMar>
          <w:left w:w="0" w:type="dxa"/>
          <w:right w:w="0" w:type="dxa"/>
        </w:tblCellMar>
        <w:tblLook w:val="04A0" w:firstRow="1" w:lastRow="0" w:firstColumn="1" w:lastColumn="0" w:noHBand="0" w:noVBand="1"/>
      </w:tblPr>
      <w:tblGrid>
        <w:gridCol w:w="6164"/>
        <w:gridCol w:w="3173"/>
      </w:tblGrid>
      <w:tr w:rsidR="001E0AC3" w:rsidRPr="001E0AC3" w14:paraId="74EEA141" w14:textId="77777777" w:rsidTr="001E0AC3">
        <w:trPr>
          <w:trHeight w:val="288"/>
        </w:trPr>
        <w:tc>
          <w:tcPr>
            <w:tcW w:w="616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23BF0C9" w14:textId="0AA41631" w:rsidR="001E0AC3" w:rsidRPr="001E0AC3" w:rsidRDefault="001E0AC3" w:rsidP="001E0AC3">
            <w:pPr>
              <w:spacing w:before="100" w:beforeAutospacing="1" w:after="100" w:afterAutospacing="1" w:line="240" w:lineRule="auto"/>
              <w:ind w:left="0" w:right="0" w:firstLine="0"/>
              <w:jc w:val="left"/>
              <w:rPr>
                <w:rFonts w:ascii="Times New Roman" w:eastAsia="Times New Roman" w:hAnsi="Times New Roman" w:cs="Times New Roman"/>
                <w:color w:val="auto"/>
                <w:sz w:val="20"/>
                <w:szCs w:val="20"/>
              </w:rPr>
            </w:pPr>
            <w:r w:rsidRPr="001E0AC3">
              <w:rPr>
                <w:rFonts w:ascii="Times New Roman" w:eastAsia="Times New Roman" w:hAnsi="Times New Roman" w:cs="Times New Roman"/>
                <w:color w:val="auto"/>
                <w:sz w:val="20"/>
                <w:szCs w:val="20"/>
                <w:lang w:eastAsia="en-US"/>
              </w:rPr>
              <w:t> </w:t>
            </w:r>
            <w:r w:rsidRPr="001E0AC3">
              <w:rPr>
                <w:rFonts w:ascii="Times New Roman" w:eastAsia="Times New Roman" w:hAnsi="Times New Roman" w:cs="Times New Roman"/>
                <w:b/>
                <w:bCs/>
                <w:color w:val="auto"/>
                <w:sz w:val="20"/>
                <w:szCs w:val="20"/>
                <w:lang w:eastAsia="en-US"/>
              </w:rPr>
              <w:t>OPIS</w:t>
            </w:r>
          </w:p>
        </w:tc>
        <w:tc>
          <w:tcPr>
            <w:tcW w:w="317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090FAB4" w14:textId="77777777" w:rsidR="001E0AC3" w:rsidRPr="001E0AC3" w:rsidRDefault="001E0AC3" w:rsidP="001E0AC3">
            <w:pPr>
              <w:spacing w:before="100" w:beforeAutospacing="1" w:after="100" w:afterAutospacing="1" w:line="240" w:lineRule="auto"/>
              <w:ind w:left="0" w:right="0" w:firstLine="0"/>
              <w:jc w:val="left"/>
              <w:rPr>
                <w:rFonts w:ascii="Times New Roman" w:eastAsia="Times New Roman" w:hAnsi="Times New Roman" w:cs="Times New Roman"/>
                <w:color w:val="auto"/>
                <w:sz w:val="20"/>
                <w:szCs w:val="20"/>
              </w:rPr>
            </w:pPr>
            <w:r w:rsidRPr="001E0AC3">
              <w:rPr>
                <w:rFonts w:ascii="Times New Roman" w:eastAsia="Times New Roman" w:hAnsi="Times New Roman" w:cs="Times New Roman"/>
                <w:b/>
                <w:bCs/>
                <w:color w:val="auto"/>
                <w:sz w:val="20"/>
                <w:szCs w:val="20"/>
                <w:lang w:eastAsia="en-US"/>
              </w:rPr>
              <w:t>WARTOŚĆ</w:t>
            </w:r>
          </w:p>
        </w:tc>
      </w:tr>
      <w:tr w:rsidR="001E0AC3" w:rsidRPr="001E0AC3" w14:paraId="54C3D2E1" w14:textId="77777777" w:rsidTr="00720A0C">
        <w:trPr>
          <w:trHeight w:val="288"/>
        </w:trPr>
        <w:tc>
          <w:tcPr>
            <w:tcW w:w="616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AD40F7" w14:textId="77777777" w:rsidR="001E0AC3" w:rsidRPr="001E0AC3" w:rsidRDefault="001E0AC3" w:rsidP="001E0AC3">
            <w:pPr>
              <w:spacing w:before="100" w:beforeAutospacing="1" w:after="100" w:afterAutospacing="1" w:line="240" w:lineRule="auto"/>
              <w:ind w:left="0" w:right="0" w:firstLine="0"/>
              <w:jc w:val="left"/>
              <w:rPr>
                <w:rFonts w:ascii="Times New Roman" w:eastAsia="Times New Roman" w:hAnsi="Times New Roman" w:cs="Times New Roman"/>
                <w:color w:val="auto"/>
                <w:sz w:val="20"/>
                <w:szCs w:val="20"/>
              </w:rPr>
            </w:pPr>
            <w:r w:rsidRPr="001E0AC3">
              <w:rPr>
                <w:rFonts w:ascii="Times New Roman" w:eastAsia="Times New Roman" w:hAnsi="Times New Roman" w:cs="Times New Roman"/>
                <w:color w:val="auto"/>
                <w:sz w:val="20"/>
                <w:szCs w:val="20"/>
                <w:lang w:eastAsia="en-US"/>
              </w:rPr>
              <w:t>Stan odpisów aktualizujących na dzień 1 stycznia 2020 roku</w:t>
            </w:r>
          </w:p>
        </w:tc>
        <w:tc>
          <w:tcPr>
            <w:tcW w:w="3173" w:type="dxa"/>
            <w:tcBorders>
              <w:top w:val="nil"/>
              <w:left w:val="nil"/>
              <w:bottom w:val="single" w:sz="8" w:space="0" w:color="auto"/>
              <w:right w:val="single" w:sz="8" w:space="0" w:color="auto"/>
            </w:tcBorders>
            <w:noWrap/>
            <w:tcMar>
              <w:top w:w="0" w:type="dxa"/>
              <w:left w:w="108" w:type="dxa"/>
              <w:bottom w:w="0" w:type="dxa"/>
              <w:right w:w="108" w:type="dxa"/>
            </w:tcMar>
            <w:hideMark/>
          </w:tcPr>
          <w:p w14:paraId="6EA1EB11" w14:textId="77777777" w:rsidR="001E0AC3" w:rsidRPr="001E0AC3" w:rsidRDefault="001E0AC3" w:rsidP="001E0AC3">
            <w:pPr>
              <w:spacing w:before="100" w:beforeAutospacing="1" w:after="100" w:afterAutospacing="1" w:line="240" w:lineRule="auto"/>
              <w:ind w:left="0" w:right="0" w:firstLine="0"/>
              <w:jc w:val="right"/>
              <w:rPr>
                <w:rFonts w:ascii="Times New Roman" w:eastAsia="Times New Roman" w:hAnsi="Times New Roman" w:cs="Times New Roman"/>
                <w:color w:val="auto"/>
                <w:sz w:val="20"/>
                <w:szCs w:val="20"/>
              </w:rPr>
            </w:pPr>
            <w:r w:rsidRPr="001E0AC3">
              <w:rPr>
                <w:rFonts w:ascii="Times New Roman" w:eastAsia="Times New Roman" w:hAnsi="Times New Roman" w:cs="Times New Roman"/>
                <w:color w:val="auto"/>
                <w:sz w:val="20"/>
                <w:szCs w:val="20"/>
                <w:lang w:eastAsia="en-US"/>
              </w:rPr>
              <w:t>6 189,46</w:t>
            </w:r>
          </w:p>
        </w:tc>
      </w:tr>
      <w:tr w:rsidR="001E0AC3" w:rsidRPr="001E0AC3" w14:paraId="111490AB" w14:textId="77777777" w:rsidTr="00720A0C">
        <w:trPr>
          <w:trHeight w:val="288"/>
        </w:trPr>
        <w:tc>
          <w:tcPr>
            <w:tcW w:w="616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77DDB46" w14:textId="77777777" w:rsidR="001E0AC3" w:rsidRPr="001E0AC3" w:rsidRDefault="001E0AC3" w:rsidP="001E0AC3">
            <w:pPr>
              <w:spacing w:before="100" w:beforeAutospacing="1" w:after="100" w:afterAutospacing="1" w:line="240" w:lineRule="auto"/>
              <w:ind w:left="0" w:right="0" w:firstLine="0"/>
              <w:jc w:val="left"/>
              <w:rPr>
                <w:rFonts w:ascii="Times New Roman" w:eastAsia="Times New Roman" w:hAnsi="Times New Roman" w:cs="Times New Roman"/>
                <w:color w:val="auto"/>
                <w:sz w:val="20"/>
                <w:szCs w:val="20"/>
              </w:rPr>
            </w:pPr>
            <w:r w:rsidRPr="001E0AC3">
              <w:rPr>
                <w:rFonts w:ascii="Times New Roman" w:eastAsia="Times New Roman" w:hAnsi="Times New Roman" w:cs="Times New Roman"/>
                <w:color w:val="auto"/>
                <w:sz w:val="20"/>
                <w:szCs w:val="20"/>
                <w:lang w:eastAsia="en-US"/>
              </w:rPr>
              <w:lastRenderedPageBreak/>
              <w:t>Utworzone w okresie</w:t>
            </w:r>
          </w:p>
        </w:tc>
        <w:tc>
          <w:tcPr>
            <w:tcW w:w="317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2520EF5" w14:textId="77777777" w:rsidR="001E0AC3" w:rsidRPr="001E0AC3" w:rsidRDefault="001E0AC3" w:rsidP="001E0AC3">
            <w:pPr>
              <w:spacing w:before="100" w:beforeAutospacing="1" w:after="100" w:afterAutospacing="1" w:line="240" w:lineRule="auto"/>
              <w:ind w:left="0" w:right="0" w:firstLine="0"/>
              <w:jc w:val="right"/>
              <w:rPr>
                <w:rFonts w:ascii="Times New Roman" w:eastAsia="Times New Roman" w:hAnsi="Times New Roman" w:cs="Times New Roman"/>
                <w:color w:val="auto"/>
                <w:sz w:val="20"/>
                <w:szCs w:val="20"/>
              </w:rPr>
            </w:pPr>
            <w:r w:rsidRPr="001E0AC3">
              <w:rPr>
                <w:rFonts w:ascii="Times New Roman" w:eastAsia="Times New Roman" w:hAnsi="Times New Roman" w:cs="Times New Roman"/>
                <w:color w:val="auto"/>
                <w:sz w:val="20"/>
                <w:szCs w:val="20"/>
                <w:lang w:eastAsia="en-US"/>
              </w:rPr>
              <w:t>1 106,62</w:t>
            </w:r>
          </w:p>
        </w:tc>
      </w:tr>
      <w:tr w:rsidR="001E0AC3" w:rsidRPr="001E0AC3" w14:paraId="21B881CD" w14:textId="77777777" w:rsidTr="001E0AC3">
        <w:trPr>
          <w:trHeight w:val="288"/>
        </w:trPr>
        <w:tc>
          <w:tcPr>
            <w:tcW w:w="616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FEA46B" w14:textId="77777777" w:rsidR="001E0AC3" w:rsidRPr="001E0AC3" w:rsidRDefault="001E0AC3" w:rsidP="001E0AC3">
            <w:pPr>
              <w:spacing w:before="100" w:beforeAutospacing="1" w:after="100" w:afterAutospacing="1" w:line="240" w:lineRule="auto"/>
              <w:ind w:left="0" w:right="0" w:firstLine="0"/>
              <w:jc w:val="left"/>
              <w:rPr>
                <w:rFonts w:ascii="Times New Roman" w:eastAsia="Times New Roman" w:hAnsi="Times New Roman" w:cs="Times New Roman"/>
                <w:color w:val="auto"/>
                <w:sz w:val="20"/>
                <w:szCs w:val="20"/>
              </w:rPr>
            </w:pPr>
            <w:r w:rsidRPr="001E0AC3">
              <w:rPr>
                <w:rFonts w:ascii="Times New Roman" w:eastAsia="Times New Roman" w:hAnsi="Times New Roman" w:cs="Times New Roman"/>
                <w:color w:val="auto"/>
                <w:sz w:val="20"/>
                <w:szCs w:val="20"/>
                <w:lang w:eastAsia="en-US"/>
              </w:rPr>
              <w:t>Rozwiązane w okresie</w:t>
            </w:r>
          </w:p>
        </w:tc>
        <w:tc>
          <w:tcPr>
            <w:tcW w:w="3173" w:type="dxa"/>
            <w:tcBorders>
              <w:top w:val="nil"/>
              <w:left w:val="nil"/>
              <w:bottom w:val="single" w:sz="8" w:space="0" w:color="auto"/>
              <w:right w:val="single" w:sz="8" w:space="0" w:color="auto"/>
            </w:tcBorders>
            <w:noWrap/>
            <w:tcMar>
              <w:top w:w="0" w:type="dxa"/>
              <w:left w:w="108" w:type="dxa"/>
              <w:bottom w:w="0" w:type="dxa"/>
              <w:right w:w="108" w:type="dxa"/>
            </w:tcMar>
            <w:hideMark/>
          </w:tcPr>
          <w:p w14:paraId="2FF694D5" w14:textId="77777777" w:rsidR="001E0AC3" w:rsidRPr="001E0AC3" w:rsidRDefault="001E0AC3" w:rsidP="001E0AC3">
            <w:pPr>
              <w:spacing w:before="100" w:beforeAutospacing="1" w:after="100" w:afterAutospacing="1" w:line="240" w:lineRule="auto"/>
              <w:ind w:left="0" w:right="0" w:firstLine="0"/>
              <w:jc w:val="right"/>
              <w:rPr>
                <w:rFonts w:ascii="Times New Roman" w:eastAsia="Times New Roman" w:hAnsi="Times New Roman" w:cs="Times New Roman"/>
                <w:color w:val="auto"/>
                <w:sz w:val="20"/>
                <w:szCs w:val="20"/>
              </w:rPr>
            </w:pPr>
            <w:r w:rsidRPr="001E0AC3">
              <w:rPr>
                <w:rFonts w:ascii="Times New Roman" w:eastAsia="Times New Roman" w:hAnsi="Times New Roman" w:cs="Times New Roman"/>
                <w:color w:val="auto"/>
                <w:sz w:val="20"/>
                <w:szCs w:val="20"/>
                <w:lang w:eastAsia="en-US"/>
              </w:rPr>
              <w:t>773,47</w:t>
            </w:r>
          </w:p>
        </w:tc>
      </w:tr>
      <w:tr w:rsidR="001E0AC3" w:rsidRPr="001E0AC3" w14:paraId="1CA0A59F" w14:textId="77777777" w:rsidTr="001E0AC3">
        <w:trPr>
          <w:trHeight w:val="288"/>
        </w:trPr>
        <w:tc>
          <w:tcPr>
            <w:tcW w:w="616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E5867D2" w14:textId="77777777" w:rsidR="001E0AC3" w:rsidRPr="001E0AC3" w:rsidRDefault="001E0AC3" w:rsidP="001E0AC3">
            <w:pPr>
              <w:spacing w:before="100" w:beforeAutospacing="1" w:after="100" w:afterAutospacing="1" w:line="240" w:lineRule="auto"/>
              <w:ind w:left="0" w:right="0" w:firstLine="0"/>
              <w:jc w:val="left"/>
              <w:rPr>
                <w:rFonts w:ascii="Times New Roman" w:eastAsia="Times New Roman" w:hAnsi="Times New Roman" w:cs="Times New Roman"/>
                <w:color w:val="auto"/>
                <w:sz w:val="20"/>
                <w:szCs w:val="20"/>
              </w:rPr>
            </w:pPr>
            <w:r w:rsidRPr="001E0AC3">
              <w:rPr>
                <w:rFonts w:ascii="Times New Roman" w:eastAsia="Times New Roman" w:hAnsi="Times New Roman" w:cs="Times New Roman"/>
                <w:color w:val="auto"/>
                <w:sz w:val="20"/>
                <w:szCs w:val="20"/>
                <w:lang w:eastAsia="en-US"/>
              </w:rPr>
              <w:t>Odpisy wykorzystane</w:t>
            </w:r>
          </w:p>
        </w:tc>
        <w:tc>
          <w:tcPr>
            <w:tcW w:w="3173" w:type="dxa"/>
            <w:tcBorders>
              <w:top w:val="nil"/>
              <w:left w:val="nil"/>
              <w:bottom w:val="single" w:sz="8" w:space="0" w:color="auto"/>
              <w:right w:val="single" w:sz="8" w:space="0" w:color="auto"/>
            </w:tcBorders>
            <w:noWrap/>
            <w:tcMar>
              <w:top w:w="0" w:type="dxa"/>
              <w:left w:w="108" w:type="dxa"/>
              <w:bottom w:w="0" w:type="dxa"/>
              <w:right w:w="108" w:type="dxa"/>
            </w:tcMar>
            <w:hideMark/>
          </w:tcPr>
          <w:p w14:paraId="6093AEAA" w14:textId="77777777" w:rsidR="001E0AC3" w:rsidRPr="001E0AC3" w:rsidRDefault="001E0AC3" w:rsidP="001E0AC3">
            <w:pPr>
              <w:spacing w:before="100" w:beforeAutospacing="1" w:after="100" w:afterAutospacing="1" w:line="240" w:lineRule="auto"/>
              <w:ind w:left="0" w:right="0" w:firstLine="0"/>
              <w:jc w:val="right"/>
              <w:rPr>
                <w:rFonts w:ascii="Times New Roman" w:eastAsia="Times New Roman" w:hAnsi="Times New Roman" w:cs="Times New Roman"/>
                <w:color w:val="auto"/>
                <w:sz w:val="20"/>
                <w:szCs w:val="20"/>
              </w:rPr>
            </w:pPr>
            <w:r w:rsidRPr="001E0AC3">
              <w:rPr>
                <w:rFonts w:ascii="Times New Roman" w:eastAsia="Times New Roman" w:hAnsi="Times New Roman" w:cs="Times New Roman"/>
                <w:color w:val="auto"/>
                <w:sz w:val="20"/>
                <w:szCs w:val="20"/>
                <w:lang w:eastAsia="en-US"/>
              </w:rPr>
              <w:t>21,14</w:t>
            </w:r>
          </w:p>
        </w:tc>
      </w:tr>
      <w:tr w:rsidR="001E0AC3" w:rsidRPr="001E0AC3" w14:paraId="37679F6D" w14:textId="77777777" w:rsidTr="001E0AC3">
        <w:trPr>
          <w:trHeight w:val="288"/>
        </w:trPr>
        <w:tc>
          <w:tcPr>
            <w:tcW w:w="616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FE93E2" w14:textId="77777777" w:rsidR="001E0AC3" w:rsidRPr="001E0AC3" w:rsidRDefault="001E0AC3" w:rsidP="001E0AC3">
            <w:pPr>
              <w:spacing w:before="100" w:beforeAutospacing="1" w:after="100" w:afterAutospacing="1" w:line="240" w:lineRule="auto"/>
              <w:ind w:left="0" w:right="0" w:firstLine="0"/>
              <w:jc w:val="left"/>
              <w:rPr>
                <w:rFonts w:ascii="Times New Roman" w:eastAsia="Times New Roman" w:hAnsi="Times New Roman" w:cs="Times New Roman"/>
                <w:color w:val="auto"/>
                <w:sz w:val="20"/>
                <w:szCs w:val="20"/>
              </w:rPr>
            </w:pPr>
            <w:r w:rsidRPr="001E0AC3">
              <w:rPr>
                <w:rFonts w:ascii="Times New Roman" w:eastAsia="Times New Roman" w:hAnsi="Times New Roman" w:cs="Times New Roman"/>
                <w:color w:val="auto"/>
                <w:sz w:val="20"/>
                <w:szCs w:val="20"/>
                <w:lang w:eastAsia="en-US"/>
              </w:rPr>
              <w:t>Stan odpisów aktualizujących na dzień 31 grudnia 2020 roku</w:t>
            </w:r>
          </w:p>
        </w:tc>
        <w:tc>
          <w:tcPr>
            <w:tcW w:w="3173" w:type="dxa"/>
            <w:tcBorders>
              <w:top w:val="nil"/>
              <w:left w:val="nil"/>
              <w:bottom w:val="single" w:sz="8" w:space="0" w:color="auto"/>
              <w:right w:val="single" w:sz="8" w:space="0" w:color="auto"/>
            </w:tcBorders>
            <w:noWrap/>
            <w:tcMar>
              <w:top w:w="0" w:type="dxa"/>
              <w:left w:w="108" w:type="dxa"/>
              <w:bottom w:w="0" w:type="dxa"/>
              <w:right w:w="108" w:type="dxa"/>
            </w:tcMar>
            <w:hideMark/>
          </w:tcPr>
          <w:p w14:paraId="167C3E1D" w14:textId="77777777" w:rsidR="001E0AC3" w:rsidRPr="001E0AC3" w:rsidRDefault="001E0AC3" w:rsidP="001E0AC3">
            <w:pPr>
              <w:spacing w:before="100" w:beforeAutospacing="1" w:after="100" w:afterAutospacing="1" w:line="240" w:lineRule="auto"/>
              <w:ind w:left="0" w:right="0" w:firstLine="0"/>
              <w:jc w:val="right"/>
              <w:rPr>
                <w:rFonts w:ascii="Times New Roman" w:eastAsia="Times New Roman" w:hAnsi="Times New Roman" w:cs="Times New Roman"/>
                <w:color w:val="auto"/>
                <w:sz w:val="20"/>
                <w:szCs w:val="20"/>
              </w:rPr>
            </w:pPr>
            <w:r w:rsidRPr="001E0AC3">
              <w:rPr>
                <w:rFonts w:ascii="Times New Roman" w:eastAsia="Times New Roman" w:hAnsi="Times New Roman" w:cs="Times New Roman"/>
                <w:color w:val="auto"/>
                <w:sz w:val="20"/>
                <w:szCs w:val="20"/>
                <w:lang w:eastAsia="en-US"/>
              </w:rPr>
              <w:t>6 501,46</w:t>
            </w:r>
          </w:p>
        </w:tc>
      </w:tr>
    </w:tbl>
    <w:p w14:paraId="5E0C01E1" w14:textId="77777777" w:rsidR="008C632F" w:rsidRDefault="008C632F" w:rsidP="008C632F">
      <w:pPr>
        <w:pStyle w:val="Nagwek1"/>
        <w:spacing w:after="0" w:line="269" w:lineRule="auto"/>
        <w:ind w:left="0" w:right="6" w:firstLine="0"/>
        <w:rPr>
          <w:rFonts w:ascii="Times New Roman" w:hAnsi="Times New Roman" w:cs="Times New Roman"/>
          <w:color w:val="auto"/>
        </w:rPr>
      </w:pPr>
      <w:bookmarkStart w:id="50" w:name="_Toc75336279"/>
    </w:p>
    <w:p w14:paraId="75B83199" w14:textId="61152199" w:rsidR="002C50F6" w:rsidRPr="004210A8" w:rsidRDefault="00E81BF6" w:rsidP="008C632F">
      <w:pPr>
        <w:pStyle w:val="Nagwek1"/>
        <w:spacing w:after="0" w:line="269" w:lineRule="auto"/>
        <w:ind w:left="0" w:right="6" w:firstLine="0"/>
        <w:rPr>
          <w:rFonts w:ascii="Times New Roman" w:hAnsi="Times New Roman" w:cs="Times New Roman"/>
          <w:color w:val="auto"/>
        </w:rPr>
      </w:pPr>
      <w:r w:rsidRPr="004210A8">
        <w:rPr>
          <w:rFonts w:ascii="Times New Roman" w:hAnsi="Times New Roman" w:cs="Times New Roman"/>
          <w:color w:val="auto"/>
        </w:rPr>
        <w:t>10. Aktywa wolne od obciążeń – art. 443 Rozporządzenia CRR</w:t>
      </w:r>
      <w:bookmarkEnd w:id="50"/>
    </w:p>
    <w:p w14:paraId="3653BDB5" w14:textId="77777777" w:rsidR="00593A90" w:rsidRPr="004210A8" w:rsidRDefault="00593A90" w:rsidP="00A67BCC">
      <w:pPr>
        <w:pStyle w:val="Default"/>
        <w:spacing w:before="120" w:line="276" w:lineRule="auto"/>
        <w:jc w:val="both"/>
        <w:rPr>
          <w:color w:val="auto"/>
        </w:rPr>
      </w:pPr>
      <w:r w:rsidRPr="004210A8">
        <w:rPr>
          <w:color w:val="auto"/>
        </w:rPr>
        <w:t>Składnik aktywów był traktowany jako obciążony, jeżeli został zastawiony lub podlegał jakiejkolwiek formie ustaleń, mających na celu zabezpieczenie lub wsparcie jakości kredytowej transakcji bilansowej lub pozabilansowej, z której nie mógł z</w:t>
      </w:r>
      <w:r w:rsidR="00F364C8" w:rsidRPr="004210A8">
        <w:rPr>
          <w:color w:val="auto"/>
        </w:rPr>
        <w:t>ostać swobodnie wycofany (np. w </w:t>
      </w:r>
      <w:r w:rsidRPr="004210A8">
        <w:rPr>
          <w:color w:val="auto"/>
        </w:rPr>
        <w:t>celu zastawiania dla potrzeb finansowania).</w:t>
      </w:r>
    </w:p>
    <w:p w14:paraId="45A19DCC" w14:textId="77777777" w:rsidR="00593A90" w:rsidRPr="004210A8" w:rsidRDefault="00593A90" w:rsidP="00A67BCC">
      <w:pPr>
        <w:pStyle w:val="Default"/>
        <w:spacing w:before="120" w:line="276" w:lineRule="auto"/>
        <w:jc w:val="both"/>
        <w:rPr>
          <w:color w:val="auto"/>
        </w:rPr>
      </w:pPr>
      <w:r w:rsidRPr="004210A8">
        <w:rPr>
          <w:color w:val="auto"/>
        </w:rPr>
        <w:t xml:space="preserve">Wartość bilansową aktywów w podziale na kategorie ekspozycji, jakość aktywów i całkowitą, wolną od obciążeń kwotę wartości bilansowej zawiera </w:t>
      </w:r>
      <w:r w:rsidRPr="004210A8">
        <w:rPr>
          <w:bCs/>
          <w:color w:val="auto"/>
        </w:rPr>
        <w:t>poniższa tabela</w:t>
      </w:r>
      <w:r w:rsidRPr="004210A8">
        <w:rPr>
          <w:color w:val="auto"/>
        </w:rPr>
        <w:t xml:space="preserve">. </w:t>
      </w:r>
    </w:p>
    <w:tbl>
      <w:tblPr>
        <w:tblW w:w="9600" w:type="dxa"/>
        <w:tblCellMar>
          <w:left w:w="70" w:type="dxa"/>
          <w:right w:w="70" w:type="dxa"/>
        </w:tblCellMar>
        <w:tblLook w:val="04A0" w:firstRow="1" w:lastRow="0" w:firstColumn="1" w:lastColumn="0" w:noHBand="0" w:noVBand="1"/>
      </w:tblPr>
      <w:tblGrid>
        <w:gridCol w:w="9600"/>
      </w:tblGrid>
      <w:tr w:rsidR="003D4305" w:rsidRPr="004210A8" w14:paraId="3C432790" w14:textId="77777777" w:rsidTr="00A67BCC">
        <w:trPr>
          <w:trHeight w:val="360"/>
        </w:trPr>
        <w:tc>
          <w:tcPr>
            <w:tcW w:w="9600" w:type="dxa"/>
            <w:tcBorders>
              <w:top w:val="nil"/>
              <w:left w:val="nil"/>
              <w:bottom w:val="nil"/>
              <w:right w:val="nil"/>
            </w:tcBorders>
            <w:shd w:val="clear" w:color="auto" w:fill="auto"/>
            <w:vAlign w:val="bottom"/>
          </w:tcPr>
          <w:p w14:paraId="0DC706FD" w14:textId="77777777" w:rsidR="00C23C62" w:rsidRPr="004210A8" w:rsidRDefault="00C23C62" w:rsidP="004C06A7">
            <w:pPr>
              <w:spacing w:after="3" w:line="259" w:lineRule="auto"/>
              <w:ind w:left="-5" w:right="0"/>
              <w:rPr>
                <w:rFonts w:ascii="Times New Roman" w:hAnsi="Times New Roman" w:cs="Times New Roman"/>
                <w:i/>
                <w:color w:val="auto"/>
                <w:sz w:val="20"/>
              </w:rPr>
            </w:pPr>
          </w:p>
          <w:tbl>
            <w:tblPr>
              <w:tblW w:w="8040" w:type="dxa"/>
              <w:tblCellMar>
                <w:left w:w="70" w:type="dxa"/>
                <w:right w:w="70" w:type="dxa"/>
              </w:tblCellMar>
              <w:tblLook w:val="04A0" w:firstRow="1" w:lastRow="0" w:firstColumn="1" w:lastColumn="0" w:noHBand="0" w:noVBand="1"/>
            </w:tblPr>
            <w:tblGrid>
              <w:gridCol w:w="4520"/>
              <w:gridCol w:w="1760"/>
              <w:gridCol w:w="1760"/>
            </w:tblGrid>
            <w:tr w:rsidR="004210A8" w:rsidRPr="004210A8" w14:paraId="57E651AA" w14:textId="77777777" w:rsidTr="0001194F">
              <w:trPr>
                <w:trHeight w:val="528"/>
              </w:trPr>
              <w:tc>
                <w:tcPr>
                  <w:tcW w:w="8040" w:type="dxa"/>
                  <w:gridSpan w:val="3"/>
                  <w:tcBorders>
                    <w:top w:val="nil"/>
                    <w:left w:val="nil"/>
                    <w:bottom w:val="single" w:sz="8" w:space="0" w:color="366092"/>
                    <w:right w:val="nil"/>
                  </w:tcBorders>
                  <w:shd w:val="clear" w:color="auto" w:fill="auto"/>
                  <w:vAlign w:val="center"/>
                  <w:hideMark/>
                </w:tcPr>
                <w:p w14:paraId="31BDC2C8" w14:textId="77777777" w:rsidR="004210A8" w:rsidRPr="004210A8" w:rsidRDefault="004210A8" w:rsidP="004210A8">
                  <w:pPr>
                    <w:spacing w:after="0" w:line="240" w:lineRule="auto"/>
                    <w:rPr>
                      <w:rFonts w:ascii="Times New Roman" w:eastAsia="Times New Roman" w:hAnsi="Times New Roman" w:cs="Times New Roman"/>
                      <w:i/>
                      <w:iCs/>
                      <w:color w:val="auto"/>
                      <w:sz w:val="20"/>
                      <w:szCs w:val="20"/>
                    </w:rPr>
                  </w:pPr>
                  <w:r w:rsidRPr="004210A8">
                    <w:rPr>
                      <w:rFonts w:ascii="Times New Roman" w:eastAsia="Times New Roman" w:hAnsi="Times New Roman" w:cs="Times New Roman"/>
                      <w:i/>
                      <w:iCs/>
                      <w:color w:val="auto"/>
                      <w:sz w:val="20"/>
                      <w:szCs w:val="20"/>
                    </w:rPr>
                    <w:t>Tabela – aktywa wolne od obciążeń (w tys. zł)</w:t>
                  </w:r>
                </w:p>
              </w:tc>
            </w:tr>
            <w:tr w:rsidR="004210A8" w:rsidRPr="004210A8" w14:paraId="0CD9E7D8" w14:textId="77777777" w:rsidTr="0001194F">
              <w:trPr>
                <w:trHeight w:val="1068"/>
              </w:trPr>
              <w:tc>
                <w:tcPr>
                  <w:tcW w:w="4520" w:type="dxa"/>
                  <w:tcBorders>
                    <w:top w:val="nil"/>
                    <w:left w:val="single" w:sz="8" w:space="0" w:color="366092"/>
                    <w:bottom w:val="single" w:sz="8" w:space="0" w:color="366092"/>
                    <w:right w:val="single" w:sz="8" w:space="0" w:color="366092"/>
                  </w:tcBorders>
                  <w:shd w:val="clear" w:color="auto" w:fill="auto"/>
                  <w:noWrap/>
                  <w:vAlign w:val="center"/>
                  <w:hideMark/>
                </w:tcPr>
                <w:p w14:paraId="39D7CCE3" w14:textId="77777777" w:rsidR="004210A8" w:rsidRPr="004210A8" w:rsidRDefault="004210A8" w:rsidP="004210A8">
                  <w:pPr>
                    <w:spacing w:after="0" w:line="240" w:lineRule="auto"/>
                    <w:rPr>
                      <w:rFonts w:ascii="Times New Roman" w:eastAsia="Times New Roman" w:hAnsi="Times New Roman" w:cs="Times New Roman"/>
                      <w:color w:val="auto"/>
                      <w:sz w:val="20"/>
                      <w:szCs w:val="20"/>
                    </w:rPr>
                  </w:pPr>
                  <w:r w:rsidRPr="004210A8">
                    <w:rPr>
                      <w:rFonts w:ascii="Times New Roman" w:eastAsia="Times New Roman" w:hAnsi="Times New Roman" w:cs="Times New Roman"/>
                      <w:color w:val="auto"/>
                      <w:sz w:val="20"/>
                      <w:szCs w:val="20"/>
                    </w:rPr>
                    <w:t> </w:t>
                  </w:r>
                </w:p>
              </w:tc>
              <w:tc>
                <w:tcPr>
                  <w:tcW w:w="1760" w:type="dxa"/>
                  <w:tcBorders>
                    <w:top w:val="nil"/>
                    <w:left w:val="nil"/>
                    <w:bottom w:val="single" w:sz="8" w:space="0" w:color="366092"/>
                    <w:right w:val="single" w:sz="8" w:space="0" w:color="366092"/>
                  </w:tcBorders>
                  <w:shd w:val="clear" w:color="000000" w:fill="BDD7EE"/>
                  <w:vAlign w:val="center"/>
                  <w:hideMark/>
                </w:tcPr>
                <w:p w14:paraId="26DBEA0C" w14:textId="77777777" w:rsidR="004210A8" w:rsidRPr="004210A8" w:rsidRDefault="004210A8" w:rsidP="004210A8">
                  <w:pPr>
                    <w:spacing w:after="0" w:line="240" w:lineRule="auto"/>
                    <w:jc w:val="center"/>
                    <w:rPr>
                      <w:rFonts w:ascii="Times New Roman" w:eastAsia="Times New Roman" w:hAnsi="Times New Roman" w:cs="Times New Roman"/>
                      <w:b/>
                      <w:bCs/>
                      <w:color w:val="auto"/>
                      <w:sz w:val="20"/>
                      <w:szCs w:val="20"/>
                    </w:rPr>
                  </w:pPr>
                  <w:r w:rsidRPr="004210A8">
                    <w:rPr>
                      <w:rFonts w:ascii="Times New Roman" w:eastAsia="Times New Roman" w:hAnsi="Times New Roman" w:cs="Times New Roman"/>
                      <w:b/>
                      <w:bCs/>
                      <w:color w:val="auto"/>
                      <w:sz w:val="20"/>
                      <w:szCs w:val="20"/>
                    </w:rPr>
                    <w:t xml:space="preserve">Wartość bilansowa aktywów obciążonych </w:t>
                  </w:r>
                </w:p>
              </w:tc>
              <w:tc>
                <w:tcPr>
                  <w:tcW w:w="1760" w:type="dxa"/>
                  <w:tcBorders>
                    <w:top w:val="nil"/>
                    <w:left w:val="nil"/>
                    <w:bottom w:val="single" w:sz="8" w:space="0" w:color="366092"/>
                    <w:right w:val="single" w:sz="8" w:space="0" w:color="366092"/>
                  </w:tcBorders>
                  <w:shd w:val="clear" w:color="000000" w:fill="BDD7EE"/>
                  <w:vAlign w:val="center"/>
                  <w:hideMark/>
                </w:tcPr>
                <w:p w14:paraId="5DAE9012" w14:textId="77777777" w:rsidR="004210A8" w:rsidRPr="004210A8" w:rsidRDefault="004210A8" w:rsidP="004210A8">
                  <w:pPr>
                    <w:spacing w:after="0" w:line="240" w:lineRule="auto"/>
                    <w:jc w:val="center"/>
                    <w:rPr>
                      <w:rFonts w:ascii="Times New Roman" w:eastAsia="Times New Roman" w:hAnsi="Times New Roman" w:cs="Times New Roman"/>
                      <w:b/>
                      <w:bCs/>
                      <w:color w:val="auto"/>
                      <w:sz w:val="20"/>
                      <w:szCs w:val="20"/>
                    </w:rPr>
                  </w:pPr>
                  <w:r w:rsidRPr="004210A8">
                    <w:rPr>
                      <w:rFonts w:ascii="Times New Roman" w:eastAsia="Times New Roman" w:hAnsi="Times New Roman" w:cs="Times New Roman"/>
                      <w:b/>
                      <w:bCs/>
                      <w:color w:val="auto"/>
                      <w:sz w:val="20"/>
                      <w:szCs w:val="20"/>
                    </w:rPr>
                    <w:t xml:space="preserve">Wartość bilansowa aktywów wolnych od obciążeń </w:t>
                  </w:r>
                </w:p>
              </w:tc>
            </w:tr>
            <w:tr w:rsidR="004210A8" w:rsidRPr="004210A8" w14:paraId="109CF86C" w14:textId="77777777" w:rsidTr="0001194F">
              <w:trPr>
                <w:trHeight w:val="300"/>
              </w:trPr>
              <w:tc>
                <w:tcPr>
                  <w:tcW w:w="4520" w:type="dxa"/>
                  <w:tcBorders>
                    <w:top w:val="nil"/>
                    <w:left w:val="single" w:sz="8" w:space="0" w:color="366092"/>
                    <w:bottom w:val="single" w:sz="8" w:space="0" w:color="366092"/>
                    <w:right w:val="single" w:sz="8" w:space="0" w:color="366092"/>
                  </w:tcBorders>
                  <w:shd w:val="clear" w:color="000000" w:fill="BDD7EE"/>
                  <w:vAlign w:val="center"/>
                  <w:hideMark/>
                </w:tcPr>
                <w:p w14:paraId="1EA01320" w14:textId="77777777" w:rsidR="004210A8" w:rsidRPr="004210A8" w:rsidRDefault="004210A8" w:rsidP="004210A8">
                  <w:pPr>
                    <w:spacing w:after="0" w:line="240" w:lineRule="auto"/>
                    <w:rPr>
                      <w:rFonts w:ascii="Times New Roman" w:eastAsia="Times New Roman" w:hAnsi="Times New Roman" w:cs="Times New Roman"/>
                      <w:b/>
                      <w:bCs/>
                      <w:color w:val="auto"/>
                      <w:sz w:val="20"/>
                      <w:szCs w:val="20"/>
                    </w:rPr>
                  </w:pPr>
                  <w:r w:rsidRPr="004210A8">
                    <w:rPr>
                      <w:rFonts w:ascii="Times New Roman" w:eastAsia="Times New Roman" w:hAnsi="Times New Roman" w:cs="Times New Roman"/>
                      <w:b/>
                      <w:bCs/>
                      <w:color w:val="auto"/>
                      <w:sz w:val="20"/>
                      <w:szCs w:val="20"/>
                    </w:rPr>
                    <w:t xml:space="preserve">Aktywa instytucji zgłaszającej </w:t>
                  </w:r>
                </w:p>
              </w:tc>
              <w:tc>
                <w:tcPr>
                  <w:tcW w:w="1760" w:type="dxa"/>
                  <w:tcBorders>
                    <w:top w:val="nil"/>
                    <w:left w:val="nil"/>
                    <w:bottom w:val="single" w:sz="8" w:space="0" w:color="366092"/>
                    <w:right w:val="single" w:sz="8" w:space="0" w:color="366092"/>
                  </w:tcBorders>
                  <w:shd w:val="clear" w:color="auto" w:fill="auto"/>
                  <w:vAlign w:val="center"/>
                  <w:hideMark/>
                </w:tcPr>
                <w:p w14:paraId="7E0A7B4D" w14:textId="77777777" w:rsidR="004210A8" w:rsidRPr="004210A8" w:rsidRDefault="004210A8" w:rsidP="004210A8">
                  <w:pPr>
                    <w:spacing w:after="0" w:line="240" w:lineRule="auto"/>
                    <w:jc w:val="center"/>
                    <w:rPr>
                      <w:rFonts w:ascii="Times New Roman" w:eastAsia="Times New Roman" w:hAnsi="Times New Roman" w:cs="Times New Roman"/>
                      <w:b/>
                      <w:bCs/>
                      <w:color w:val="auto"/>
                      <w:sz w:val="20"/>
                      <w:szCs w:val="20"/>
                    </w:rPr>
                  </w:pPr>
                  <w:r w:rsidRPr="004210A8">
                    <w:rPr>
                      <w:rFonts w:ascii="Times New Roman" w:eastAsia="Times New Roman" w:hAnsi="Times New Roman" w:cs="Times New Roman"/>
                      <w:b/>
                      <w:bCs/>
                      <w:color w:val="auto"/>
                      <w:sz w:val="20"/>
                      <w:szCs w:val="20"/>
                    </w:rPr>
                    <w:t>7 003</w:t>
                  </w:r>
                </w:p>
              </w:tc>
              <w:tc>
                <w:tcPr>
                  <w:tcW w:w="1760" w:type="dxa"/>
                  <w:tcBorders>
                    <w:top w:val="nil"/>
                    <w:left w:val="nil"/>
                    <w:bottom w:val="single" w:sz="8" w:space="0" w:color="366092"/>
                    <w:right w:val="single" w:sz="8" w:space="0" w:color="366092"/>
                  </w:tcBorders>
                  <w:shd w:val="clear" w:color="auto" w:fill="auto"/>
                  <w:vAlign w:val="center"/>
                  <w:hideMark/>
                </w:tcPr>
                <w:p w14:paraId="73294084" w14:textId="77777777" w:rsidR="004210A8" w:rsidRPr="004210A8" w:rsidRDefault="004210A8" w:rsidP="004210A8">
                  <w:pPr>
                    <w:spacing w:after="0" w:line="240" w:lineRule="auto"/>
                    <w:jc w:val="center"/>
                    <w:rPr>
                      <w:rFonts w:ascii="Times New Roman" w:eastAsia="Times New Roman" w:hAnsi="Times New Roman" w:cs="Times New Roman"/>
                      <w:b/>
                      <w:bCs/>
                      <w:color w:val="auto"/>
                      <w:sz w:val="20"/>
                      <w:szCs w:val="20"/>
                    </w:rPr>
                  </w:pPr>
                  <w:r w:rsidRPr="004210A8">
                    <w:rPr>
                      <w:rFonts w:ascii="Times New Roman" w:eastAsia="Times New Roman" w:hAnsi="Times New Roman" w:cs="Times New Roman"/>
                      <w:b/>
                      <w:bCs/>
                      <w:color w:val="auto"/>
                      <w:sz w:val="20"/>
                      <w:szCs w:val="20"/>
                    </w:rPr>
                    <w:t>756 700</w:t>
                  </w:r>
                </w:p>
              </w:tc>
            </w:tr>
            <w:tr w:rsidR="004210A8" w:rsidRPr="004210A8" w14:paraId="4B2BB411" w14:textId="77777777" w:rsidTr="0001194F">
              <w:trPr>
                <w:trHeight w:val="300"/>
              </w:trPr>
              <w:tc>
                <w:tcPr>
                  <w:tcW w:w="4520" w:type="dxa"/>
                  <w:tcBorders>
                    <w:top w:val="nil"/>
                    <w:left w:val="single" w:sz="8" w:space="0" w:color="366092"/>
                    <w:bottom w:val="single" w:sz="8" w:space="0" w:color="366092"/>
                    <w:right w:val="single" w:sz="8" w:space="0" w:color="366092"/>
                  </w:tcBorders>
                  <w:shd w:val="clear" w:color="auto" w:fill="auto"/>
                  <w:vAlign w:val="center"/>
                  <w:hideMark/>
                </w:tcPr>
                <w:p w14:paraId="70F3136F" w14:textId="77777777" w:rsidR="004210A8" w:rsidRPr="004210A8" w:rsidRDefault="004210A8" w:rsidP="004210A8">
                  <w:pPr>
                    <w:spacing w:after="0" w:line="240" w:lineRule="auto"/>
                    <w:rPr>
                      <w:rFonts w:ascii="Times New Roman" w:eastAsia="Times New Roman" w:hAnsi="Times New Roman" w:cs="Times New Roman"/>
                      <w:color w:val="auto"/>
                      <w:sz w:val="20"/>
                      <w:szCs w:val="20"/>
                    </w:rPr>
                  </w:pPr>
                  <w:r w:rsidRPr="004210A8">
                    <w:rPr>
                      <w:rFonts w:ascii="Times New Roman" w:eastAsia="Times New Roman" w:hAnsi="Times New Roman" w:cs="Times New Roman"/>
                      <w:color w:val="auto"/>
                      <w:sz w:val="20"/>
                      <w:szCs w:val="20"/>
                    </w:rPr>
                    <w:t xml:space="preserve">Instrumenty kapitałowe </w:t>
                  </w:r>
                  <w:r w:rsidRPr="004210A8">
                    <w:rPr>
                      <w:rFonts w:ascii="Times New Roman" w:eastAsia="Times New Roman" w:hAnsi="Times New Roman" w:cs="Times New Roman"/>
                      <w:i/>
                      <w:iCs/>
                      <w:color w:val="auto"/>
                      <w:sz w:val="20"/>
                      <w:szCs w:val="20"/>
                    </w:rPr>
                    <w:t xml:space="preserve">(udziałowe) </w:t>
                  </w:r>
                </w:p>
              </w:tc>
              <w:tc>
                <w:tcPr>
                  <w:tcW w:w="1760" w:type="dxa"/>
                  <w:tcBorders>
                    <w:top w:val="nil"/>
                    <w:left w:val="nil"/>
                    <w:bottom w:val="single" w:sz="8" w:space="0" w:color="366092"/>
                    <w:right w:val="single" w:sz="8" w:space="0" w:color="366092"/>
                  </w:tcBorders>
                  <w:shd w:val="clear" w:color="auto" w:fill="auto"/>
                  <w:vAlign w:val="center"/>
                  <w:hideMark/>
                </w:tcPr>
                <w:p w14:paraId="383D7F1D" w14:textId="77777777" w:rsidR="004210A8" w:rsidRPr="004210A8" w:rsidRDefault="004210A8" w:rsidP="004210A8">
                  <w:pPr>
                    <w:spacing w:after="0" w:line="240" w:lineRule="auto"/>
                    <w:jc w:val="center"/>
                    <w:rPr>
                      <w:rFonts w:ascii="Times New Roman" w:eastAsia="Times New Roman" w:hAnsi="Times New Roman" w:cs="Times New Roman"/>
                      <w:color w:val="auto"/>
                      <w:sz w:val="20"/>
                      <w:szCs w:val="20"/>
                    </w:rPr>
                  </w:pPr>
                  <w:r w:rsidRPr="004210A8">
                    <w:rPr>
                      <w:rFonts w:ascii="Times New Roman" w:eastAsia="Times New Roman" w:hAnsi="Times New Roman" w:cs="Times New Roman"/>
                      <w:color w:val="auto"/>
                      <w:sz w:val="20"/>
                      <w:szCs w:val="20"/>
                    </w:rPr>
                    <w:t> </w:t>
                  </w:r>
                </w:p>
              </w:tc>
              <w:tc>
                <w:tcPr>
                  <w:tcW w:w="1760" w:type="dxa"/>
                  <w:tcBorders>
                    <w:top w:val="nil"/>
                    <w:left w:val="nil"/>
                    <w:bottom w:val="single" w:sz="8" w:space="0" w:color="366092"/>
                    <w:right w:val="single" w:sz="8" w:space="0" w:color="366092"/>
                  </w:tcBorders>
                  <w:shd w:val="clear" w:color="auto" w:fill="auto"/>
                  <w:vAlign w:val="center"/>
                  <w:hideMark/>
                </w:tcPr>
                <w:p w14:paraId="2A4243B1" w14:textId="77777777" w:rsidR="004210A8" w:rsidRPr="004210A8" w:rsidRDefault="004210A8" w:rsidP="004210A8">
                  <w:pPr>
                    <w:spacing w:after="0" w:line="240" w:lineRule="auto"/>
                    <w:jc w:val="center"/>
                    <w:rPr>
                      <w:rFonts w:ascii="Times New Roman" w:eastAsia="Times New Roman" w:hAnsi="Times New Roman" w:cs="Times New Roman"/>
                      <w:color w:val="auto"/>
                      <w:sz w:val="20"/>
                      <w:szCs w:val="20"/>
                    </w:rPr>
                  </w:pPr>
                  <w:r w:rsidRPr="004210A8">
                    <w:rPr>
                      <w:rFonts w:ascii="Times New Roman" w:eastAsia="Times New Roman" w:hAnsi="Times New Roman" w:cs="Times New Roman"/>
                      <w:color w:val="auto"/>
                      <w:sz w:val="20"/>
                      <w:szCs w:val="20"/>
                    </w:rPr>
                    <w:t>6 083</w:t>
                  </w:r>
                </w:p>
              </w:tc>
            </w:tr>
            <w:tr w:rsidR="004210A8" w:rsidRPr="004210A8" w14:paraId="5C71D0F5" w14:textId="77777777" w:rsidTr="0001194F">
              <w:trPr>
                <w:trHeight w:val="300"/>
              </w:trPr>
              <w:tc>
                <w:tcPr>
                  <w:tcW w:w="4520" w:type="dxa"/>
                  <w:tcBorders>
                    <w:top w:val="nil"/>
                    <w:left w:val="single" w:sz="8" w:space="0" w:color="366092"/>
                    <w:bottom w:val="single" w:sz="8" w:space="0" w:color="366092"/>
                    <w:right w:val="single" w:sz="8" w:space="0" w:color="366092"/>
                  </w:tcBorders>
                  <w:shd w:val="clear" w:color="auto" w:fill="auto"/>
                  <w:vAlign w:val="center"/>
                  <w:hideMark/>
                </w:tcPr>
                <w:p w14:paraId="66A7D70D" w14:textId="77777777" w:rsidR="004210A8" w:rsidRPr="004210A8" w:rsidRDefault="004210A8" w:rsidP="004210A8">
                  <w:pPr>
                    <w:spacing w:after="0" w:line="240" w:lineRule="auto"/>
                    <w:rPr>
                      <w:rFonts w:ascii="Times New Roman" w:eastAsia="Times New Roman" w:hAnsi="Times New Roman" w:cs="Times New Roman"/>
                      <w:color w:val="auto"/>
                      <w:sz w:val="20"/>
                      <w:szCs w:val="20"/>
                    </w:rPr>
                  </w:pPr>
                  <w:r w:rsidRPr="004210A8">
                    <w:rPr>
                      <w:rFonts w:ascii="Times New Roman" w:eastAsia="Times New Roman" w:hAnsi="Times New Roman" w:cs="Times New Roman"/>
                      <w:color w:val="auto"/>
                      <w:sz w:val="20"/>
                      <w:szCs w:val="20"/>
                    </w:rPr>
                    <w:t>Dłużne papiery wartościowe, w tym:</w:t>
                  </w:r>
                </w:p>
              </w:tc>
              <w:tc>
                <w:tcPr>
                  <w:tcW w:w="1760" w:type="dxa"/>
                  <w:tcBorders>
                    <w:top w:val="nil"/>
                    <w:left w:val="nil"/>
                    <w:bottom w:val="single" w:sz="8" w:space="0" w:color="366092"/>
                    <w:right w:val="single" w:sz="8" w:space="0" w:color="366092"/>
                  </w:tcBorders>
                  <w:shd w:val="clear" w:color="auto" w:fill="auto"/>
                  <w:vAlign w:val="center"/>
                  <w:hideMark/>
                </w:tcPr>
                <w:p w14:paraId="4FF1F69F" w14:textId="77777777" w:rsidR="004210A8" w:rsidRPr="004210A8" w:rsidRDefault="004210A8" w:rsidP="004210A8">
                  <w:pPr>
                    <w:spacing w:after="0" w:line="240" w:lineRule="auto"/>
                    <w:jc w:val="center"/>
                    <w:rPr>
                      <w:rFonts w:ascii="Times New Roman" w:eastAsia="Times New Roman" w:hAnsi="Times New Roman" w:cs="Times New Roman"/>
                      <w:color w:val="auto"/>
                      <w:sz w:val="20"/>
                      <w:szCs w:val="20"/>
                    </w:rPr>
                  </w:pPr>
                  <w:r w:rsidRPr="004210A8">
                    <w:rPr>
                      <w:rFonts w:ascii="Times New Roman" w:eastAsia="Times New Roman" w:hAnsi="Times New Roman" w:cs="Times New Roman"/>
                      <w:color w:val="auto"/>
                      <w:sz w:val="20"/>
                      <w:szCs w:val="20"/>
                    </w:rPr>
                    <w:t> </w:t>
                  </w:r>
                </w:p>
              </w:tc>
              <w:tc>
                <w:tcPr>
                  <w:tcW w:w="1760" w:type="dxa"/>
                  <w:tcBorders>
                    <w:top w:val="nil"/>
                    <w:left w:val="nil"/>
                    <w:bottom w:val="single" w:sz="8" w:space="0" w:color="366092"/>
                    <w:right w:val="single" w:sz="8" w:space="0" w:color="366092"/>
                  </w:tcBorders>
                  <w:shd w:val="clear" w:color="auto" w:fill="auto"/>
                  <w:vAlign w:val="center"/>
                  <w:hideMark/>
                </w:tcPr>
                <w:p w14:paraId="108F16FE" w14:textId="77777777" w:rsidR="004210A8" w:rsidRPr="004210A8" w:rsidRDefault="004210A8" w:rsidP="004210A8">
                  <w:pPr>
                    <w:spacing w:after="0" w:line="240" w:lineRule="auto"/>
                    <w:jc w:val="center"/>
                    <w:rPr>
                      <w:rFonts w:ascii="Times New Roman" w:eastAsia="Times New Roman" w:hAnsi="Times New Roman" w:cs="Times New Roman"/>
                      <w:color w:val="auto"/>
                      <w:sz w:val="20"/>
                      <w:szCs w:val="20"/>
                    </w:rPr>
                  </w:pPr>
                  <w:r w:rsidRPr="004210A8">
                    <w:rPr>
                      <w:rFonts w:ascii="Times New Roman" w:eastAsia="Times New Roman" w:hAnsi="Times New Roman" w:cs="Times New Roman"/>
                      <w:color w:val="auto"/>
                      <w:sz w:val="20"/>
                      <w:szCs w:val="20"/>
                    </w:rPr>
                    <w:t>243 575</w:t>
                  </w:r>
                </w:p>
              </w:tc>
            </w:tr>
            <w:tr w:rsidR="004210A8" w:rsidRPr="004210A8" w14:paraId="37B2845B" w14:textId="77777777" w:rsidTr="0001194F">
              <w:trPr>
                <w:trHeight w:val="540"/>
              </w:trPr>
              <w:tc>
                <w:tcPr>
                  <w:tcW w:w="4520" w:type="dxa"/>
                  <w:tcBorders>
                    <w:top w:val="nil"/>
                    <w:left w:val="single" w:sz="8" w:space="0" w:color="366092"/>
                    <w:bottom w:val="single" w:sz="8" w:space="0" w:color="366092"/>
                    <w:right w:val="single" w:sz="8" w:space="0" w:color="366092"/>
                  </w:tcBorders>
                  <w:shd w:val="clear" w:color="auto" w:fill="auto"/>
                  <w:vAlign w:val="center"/>
                  <w:hideMark/>
                </w:tcPr>
                <w:p w14:paraId="156A3A2C" w14:textId="77777777" w:rsidR="004210A8" w:rsidRPr="004210A8" w:rsidRDefault="004210A8" w:rsidP="004210A8">
                  <w:pPr>
                    <w:spacing w:after="0" w:line="240" w:lineRule="auto"/>
                    <w:rPr>
                      <w:rFonts w:ascii="Times New Roman" w:eastAsia="Times New Roman" w:hAnsi="Times New Roman" w:cs="Times New Roman"/>
                      <w:color w:val="auto"/>
                      <w:sz w:val="20"/>
                      <w:szCs w:val="20"/>
                    </w:rPr>
                  </w:pPr>
                  <w:r w:rsidRPr="004210A8">
                    <w:rPr>
                      <w:rFonts w:ascii="Times New Roman" w:eastAsia="Times New Roman" w:hAnsi="Times New Roman" w:cs="Times New Roman"/>
                      <w:color w:val="auto"/>
                      <w:sz w:val="20"/>
                      <w:szCs w:val="20"/>
                    </w:rPr>
                    <w:t>- Wyemitowane przez sektor instytucji rządowych i samorządowych</w:t>
                  </w:r>
                </w:p>
              </w:tc>
              <w:tc>
                <w:tcPr>
                  <w:tcW w:w="1760" w:type="dxa"/>
                  <w:tcBorders>
                    <w:top w:val="nil"/>
                    <w:left w:val="nil"/>
                    <w:bottom w:val="single" w:sz="8" w:space="0" w:color="366092"/>
                    <w:right w:val="single" w:sz="8" w:space="0" w:color="366092"/>
                  </w:tcBorders>
                  <w:shd w:val="clear" w:color="auto" w:fill="auto"/>
                  <w:vAlign w:val="center"/>
                  <w:hideMark/>
                </w:tcPr>
                <w:p w14:paraId="2746646E" w14:textId="77777777" w:rsidR="004210A8" w:rsidRPr="004210A8" w:rsidRDefault="004210A8" w:rsidP="004210A8">
                  <w:pPr>
                    <w:spacing w:after="0" w:line="240" w:lineRule="auto"/>
                    <w:jc w:val="center"/>
                    <w:rPr>
                      <w:rFonts w:ascii="Times New Roman" w:eastAsia="Times New Roman" w:hAnsi="Times New Roman" w:cs="Times New Roman"/>
                      <w:color w:val="auto"/>
                      <w:sz w:val="20"/>
                      <w:szCs w:val="20"/>
                    </w:rPr>
                  </w:pPr>
                  <w:r w:rsidRPr="004210A8">
                    <w:rPr>
                      <w:rFonts w:ascii="Times New Roman" w:eastAsia="Times New Roman" w:hAnsi="Times New Roman" w:cs="Times New Roman"/>
                      <w:color w:val="auto"/>
                      <w:sz w:val="20"/>
                      <w:szCs w:val="20"/>
                    </w:rPr>
                    <w:t> </w:t>
                  </w:r>
                </w:p>
              </w:tc>
              <w:tc>
                <w:tcPr>
                  <w:tcW w:w="1760" w:type="dxa"/>
                  <w:tcBorders>
                    <w:top w:val="nil"/>
                    <w:left w:val="nil"/>
                    <w:bottom w:val="single" w:sz="8" w:space="0" w:color="366092"/>
                    <w:right w:val="single" w:sz="8" w:space="0" w:color="366092"/>
                  </w:tcBorders>
                  <w:shd w:val="clear" w:color="auto" w:fill="auto"/>
                  <w:vAlign w:val="center"/>
                  <w:hideMark/>
                </w:tcPr>
                <w:p w14:paraId="52879D83" w14:textId="77777777" w:rsidR="004210A8" w:rsidRPr="004210A8" w:rsidRDefault="004210A8" w:rsidP="004210A8">
                  <w:pPr>
                    <w:spacing w:after="0" w:line="240" w:lineRule="auto"/>
                    <w:jc w:val="center"/>
                    <w:rPr>
                      <w:rFonts w:ascii="Times New Roman" w:eastAsia="Times New Roman" w:hAnsi="Times New Roman" w:cs="Times New Roman"/>
                      <w:color w:val="auto"/>
                      <w:sz w:val="20"/>
                      <w:szCs w:val="20"/>
                    </w:rPr>
                  </w:pPr>
                  <w:r w:rsidRPr="004210A8">
                    <w:rPr>
                      <w:rFonts w:ascii="Times New Roman" w:eastAsia="Times New Roman" w:hAnsi="Times New Roman" w:cs="Times New Roman"/>
                      <w:color w:val="auto"/>
                      <w:sz w:val="20"/>
                      <w:szCs w:val="20"/>
                    </w:rPr>
                    <w:t>90 482</w:t>
                  </w:r>
                </w:p>
              </w:tc>
            </w:tr>
            <w:tr w:rsidR="004210A8" w:rsidRPr="004210A8" w14:paraId="7A79D721" w14:textId="77777777" w:rsidTr="0001194F">
              <w:trPr>
                <w:trHeight w:val="300"/>
              </w:trPr>
              <w:tc>
                <w:tcPr>
                  <w:tcW w:w="4520" w:type="dxa"/>
                  <w:tcBorders>
                    <w:top w:val="nil"/>
                    <w:left w:val="single" w:sz="8" w:space="0" w:color="366092"/>
                    <w:bottom w:val="single" w:sz="8" w:space="0" w:color="366092"/>
                    <w:right w:val="single" w:sz="8" w:space="0" w:color="366092"/>
                  </w:tcBorders>
                  <w:shd w:val="clear" w:color="auto" w:fill="auto"/>
                  <w:vAlign w:val="center"/>
                  <w:hideMark/>
                </w:tcPr>
                <w:p w14:paraId="568C61C3" w14:textId="77777777" w:rsidR="004210A8" w:rsidRPr="004210A8" w:rsidRDefault="004210A8" w:rsidP="004210A8">
                  <w:pPr>
                    <w:spacing w:after="0" w:line="240" w:lineRule="auto"/>
                    <w:rPr>
                      <w:rFonts w:ascii="Times New Roman" w:eastAsia="Times New Roman" w:hAnsi="Times New Roman" w:cs="Times New Roman"/>
                      <w:color w:val="auto"/>
                      <w:sz w:val="20"/>
                      <w:szCs w:val="20"/>
                    </w:rPr>
                  </w:pPr>
                  <w:r w:rsidRPr="004210A8">
                    <w:rPr>
                      <w:rFonts w:ascii="Times New Roman" w:eastAsia="Times New Roman" w:hAnsi="Times New Roman" w:cs="Times New Roman"/>
                      <w:color w:val="auto"/>
                      <w:sz w:val="20"/>
                      <w:szCs w:val="20"/>
                    </w:rPr>
                    <w:t>- Wyemitowane przez instytucje finansowe</w:t>
                  </w:r>
                </w:p>
              </w:tc>
              <w:tc>
                <w:tcPr>
                  <w:tcW w:w="1760" w:type="dxa"/>
                  <w:tcBorders>
                    <w:top w:val="nil"/>
                    <w:left w:val="nil"/>
                    <w:bottom w:val="single" w:sz="8" w:space="0" w:color="366092"/>
                    <w:right w:val="single" w:sz="8" w:space="0" w:color="366092"/>
                  </w:tcBorders>
                  <w:shd w:val="clear" w:color="auto" w:fill="auto"/>
                  <w:vAlign w:val="center"/>
                  <w:hideMark/>
                </w:tcPr>
                <w:p w14:paraId="628F5359" w14:textId="77777777" w:rsidR="004210A8" w:rsidRPr="004210A8" w:rsidRDefault="004210A8" w:rsidP="004210A8">
                  <w:pPr>
                    <w:spacing w:after="0" w:line="240" w:lineRule="auto"/>
                    <w:jc w:val="center"/>
                    <w:rPr>
                      <w:rFonts w:ascii="Times New Roman" w:eastAsia="Times New Roman" w:hAnsi="Times New Roman" w:cs="Times New Roman"/>
                      <w:color w:val="auto"/>
                      <w:sz w:val="20"/>
                      <w:szCs w:val="20"/>
                    </w:rPr>
                  </w:pPr>
                  <w:r w:rsidRPr="004210A8">
                    <w:rPr>
                      <w:rFonts w:ascii="Times New Roman" w:eastAsia="Times New Roman" w:hAnsi="Times New Roman" w:cs="Times New Roman"/>
                      <w:color w:val="auto"/>
                      <w:sz w:val="20"/>
                      <w:szCs w:val="20"/>
                    </w:rPr>
                    <w:t> </w:t>
                  </w:r>
                </w:p>
              </w:tc>
              <w:tc>
                <w:tcPr>
                  <w:tcW w:w="1760" w:type="dxa"/>
                  <w:tcBorders>
                    <w:top w:val="nil"/>
                    <w:left w:val="nil"/>
                    <w:bottom w:val="single" w:sz="8" w:space="0" w:color="366092"/>
                    <w:right w:val="single" w:sz="8" w:space="0" w:color="366092"/>
                  </w:tcBorders>
                  <w:shd w:val="clear" w:color="auto" w:fill="auto"/>
                  <w:vAlign w:val="center"/>
                  <w:hideMark/>
                </w:tcPr>
                <w:p w14:paraId="2F7D718C" w14:textId="77777777" w:rsidR="004210A8" w:rsidRPr="004210A8" w:rsidRDefault="004210A8" w:rsidP="004210A8">
                  <w:pPr>
                    <w:spacing w:after="0" w:line="240" w:lineRule="auto"/>
                    <w:jc w:val="center"/>
                    <w:rPr>
                      <w:rFonts w:ascii="Times New Roman" w:eastAsia="Times New Roman" w:hAnsi="Times New Roman" w:cs="Times New Roman"/>
                      <w:color w:val="auto"/>
                      <w:sz w:val="20"/>
                      <w:szCs w:val="20"/>
                    </w:rPr>
                  </w:pPr>
                  <w:r w:rsidRPr="004210A8">
                    <w:rPr>
                      <w:rFonts w:ascii="Times New Roman" w:eastAsia="Times New Roman" w:hAnsi="Times New Roman" w:cs="Times New Roman"/>
                      <w:color w:val="auto"/>
                      <w:sz w:val="20"/>
                      <w:szCs w:val="20"/>
                    </w:rPr>
                    <w:t>115 654</w:t>
                  </w:r>
                </w:p>
              </w:tc>
            </w:tr>
            <w:tr w:rsidR="004210A8" w:rsidRPr="004210A8" w14:paraId="473461B2" w14:textId="77777777" w:rsidTr="0001194F">
              <w:trPr>
                <w:trHeight w:val="540"/>
              </w:trPr>
              <w:tc>
                <w:tcPr>
                  <w:tcW w:w="4520" w:type="dxa"/>
                  <w:tcBorders>
                    <w:top w:val="nil"/>
                    <w:left w:val="single" w:sz="8" w:space="0" w:color="366092"/>
                    <w:bottom w:val="single" w:sz="8" w:space="0" w:color="366092"/>
                    <w:right w:val="single" w:sz="8" w:space="0" w:color="366092"/>
                  </w:tcBorders>
                  <w:shd w:val="clear" w:color="auto" w:fill="auto"/>
                  <w:vAlign w:val="center"/>
                  <w:hideMark/>
                </w:tcPr>
                <w:p w14:paraId="2F3F13EF" w14:textId="77777777" w:rsidR="004210A8" w:rsidRPr="004210A8" w:rsidRDefault="004210A8" w:rsidP="004210A8">
                  <w:pPr>
                    <w:spacing w:after="0" w:line="240" w:lineRule="auto"/>
                    <w:rPr>
                      <w:rFonts w:ascii="Times New Roman" w:eastAsia="Times New Roman" w:hAnsi="Times New Roman" w:cs="Times New Roman"/>
                      <w:color w:val="auto"/>
                      <w:sz w:val="20"/>
                      <w:szCs w:val="20"/>
                    </w:rPr>
                  </w:pPr>
                  <w:r w:rsidRPr="004210A8">
                    <w:rPr>
                      <w:rFonts w:ascii="Times New Roman" w:eastAsia="Times New Roman" w:hAnsi="Times New Roman" w:cs="Times New Roman"/>
                      <w:color w:val="auto"/>
                      <w:sz w:val="20"/>
                      <w:szCs w:val="20"/>
                    </w:rPr>
                    <w:t>- Wyemitowane przez przedsiębiorstwa niefinansowe</w:t>
                  </w:r>
                </w:p>
              </w:tc>
              <w:tc>
                <w:tcPr>
                  <w:tcW w:w="1760" w:type="dxa"/>
                  <w:tcBorders>
                    <w:top w:val="nil"/>
                    <w:left w:val="nil"/>
                    <w:bottom w:val="single" w:sz="8" w:space="0" w:color="366092"/>
                    <w:right w:val="single" w:sz="8" w:space="0" w:color="366092"/>
                  </w:tcBorders>
                  <w:shd w:val="clear" w:color="auto" w:fill="auto"/>
                  <w:vAlign w:val="center"/>
                  <w:hideMark/>
                </w:tcPr>
                <w:p w14:paraId="21EC96E9" w14:textId="77777777" w:rsidR="004210A8" w:rsidRPr="004210A8" w:rsidRDefault="004210A8" w:rsidP="004210A8">
                  <w:pPr>
                    <w:spacing w:after="0" w:line="240" w:lineRule="auto"/>
                    <w:jc w:val="center"/>
                    <w:rPr>
                      <w:rFonts w:ascii="Times New Roman" w:eastAsia="Times New Roman" w:hAnsi="Times New Roman" w:cs="Times New Roman"/>
                      <w:color w:val="auto"/>
                      <w:sz w:val="20"/>
                      <w:szCs w:val="20"/>
                    </w:rPr>
                  </w:pPr>
                  <w:r w:rsidRPr="004210A8">
                    <w:rPr>
                      <w:rFonts w:ascii="Times New Roman" w:eastAsia="Times New Roman" w:hAnsi="Times New Roman" w:cs="Times New Roman"/>
                      <w:color w:val="auto"/>
                      <w:sz w:val="20"/>
                      <w:szCs w:val="20"/>
                    </w:rPr>
                    <w:t> </w:t>
                  </w:r>
                </w:p>
              </w:tc>
              <w:tc>
                <w:tcPr>
                  <w:tcW w:w="1760" w:type="dxa"/>
                  <w:tcBorders>
                    <w:top w:val="nil"/>
                    <w:left w:val="nil"/>
                    <w:bottom w:val="single" w:sz="8" w:space="0" w:color="366092"/>
                    <w:right w:val="single" w:sz="8" w:space="0" w:color="366092"/>
                  </w:tcBorders>
                  <w:shd w:val="clear" w:color="auto" w:fill="auto"/>
                  <w:vAlign w:val="center"/>
                  <w:hideMark/>
                </w:tcPr>
                <w:p w14:paraId="0C662F61" w14:textId="77777777" w:rsidR="004210A8" w:rsidRPr="004210A8" w:rsidRDefault="004210A8" w:rsidP="004210A8">
                  <w:pPr>
                    <w:spacing w:after="0" w:line="240" w:lineRule="auto"/>
                    <w:jc w:val="center"/>
                    <w:rPr>
                      <w:rFonts w:ascii="Times New Roman" w:eastAsia="Times New Roman" w:hAnsi="Times New Roman" w:cs="Times New Roman"/>
                      <w:color w:val="auto"/>
                      <w:sz w:val="20"/>
                      <w:szCs w:val="20"/>
                    </w:rPr>
                  </w:pPr>
                  <w:r w:rsidRPr="004210A8">
                    <w:rPr>
                      <w:rFonts w:ascii="Times New Roman" w:eastAsia="Times New Roman" w:hAnsi="Times New Roman" w:cs="Times New Roman"/>
                      <w:color w:val="auto"/>
                      <w:sz w:val="20"/>
                      <w:szCs w:val="20"/>
                    </w:rPr>
                    <w:t>37 439</w:t>
                  </w:r>
                </w:p>
              </w:tc>
            </w:tr>
            <w:tr w:rsidR="004210A8" w:rsidRPr="004210A8" w14:paraId="7F45ECA8" w14:textId="77777777" w:rsidTr="0001194F">
              <w:trPr>
                <w:trHeight w:val="300"/>
              </w:trPr>
              <w:tc>
                <w:tcPr>
                  <w:tcW w:w="4520" w:type="dxa"/>
                  <w:tcBorders>
                    <w:top w:val="nil"/>
                    <w:left w:val="single" w:sz="8" w:space="0" w:color="366092"/>
                    <w:bottom w:val="single" w:sz="8" w:space="0" w:color="366092"/>
                    <w:right w:val="single" w:sz="8" w:space="0" w:color="366092"/>
                  </w:tcBorders>
                  <w:shd w:val="clear" w:color="auto" w:fill="auto"/>
                  <w:vAlign w:val="center"/>
                  <w:hideMark/>
                </w:tcPr>
                <w:p w14:paraId="3F94D21D" w14:textId="77777777" w:rsidR="004210A8" w:rsidRPr="004210A8" w:rsidRDefault="004210A8" w:rsidP="004210A8">
                  <w:pPr>
                    <w:spacing w:after="0" w:line="240" w:lineRule="auto"/>
                    <w:rPr>
                      <w:rFonts w:ascii="Times New Roman" w:eastAsia="Times New Roman" w:hAnsi="Times New Roman" w:cs="Times New Roman"/>
                      <w:color w:val="auto"/>
                      <w:sz w:val="20"/>
                      <w:szCs w:val="20"/>
                    </w:rPr>
                  </w:pPr>
                  <w:r w:rsidRPr="004210A8">
                    <w:rPr>
                      <w:rFonts w:ascii="Times New Roman" w:eastAsia="Times New Roman" w:hAnsi="Times New Roman" w:cs="Times New Roman"/>
                      <w:color w:val="auto"/>
                      <w:sz w:val="20"/>
                      <w:szCs w:val="20"/>
                    </w:rPr>
                    <w:t>Kredyty i zaliczki inne niż kredyty na żądanie</w:t>
                  </w:r>
                </w:p>
              </w:tc>
              <w:tc>
                <w:tcPr>
                  <w:tcW w:w="1760" w:type="dxa"/>
                  <w:tcBorders>
                    <w:top w:val="nil"/>
                    <w:left w:val="nil"/>
                    <w:bottom w:val="single" w:sz="8" w:space="0" w:color="366092"/>
                    <w:right w:val="single" w:sz="8" w:space="0" w:color="366092"/>
                  </w:tcBorders>
                  <w:shd w:val="clear" w:color="auto" w:fill="auto"/>
                  <w:vAlign w:val="center"/>
                  <w:hideMark/>
                </w:tcPr>
                <w:p w14:paraId="4B4D8451" w14:textId="77777777" w:rsidR="004210A8" w:rsidRPr="004210A8" w:rsidRDefault="004210A8" w:rsidP="004210A8">
                  <w:pPr>
                    <w:spacing w:after="0" w:line="240" w:lineRule="auto"/>
                    <w:jc w:val="center"/>
                    <w:rPr>
                      <w:rFonts w:ascii="Times New Roman" w:eastAsia="Times New Roman" w:hAnsi="Times New Roman" w:cs="Times New Roman"/>
                      <w:color w:val="auto"/>
                      <w:sz w:val="20"/>
                      <w:szCs w:val="20"/>
                    </w:rPr>
                  </w:pPr>
                  <w:r w:rsidRPr="004210A8">
                    <w:rPr>
                      <w:rFonts w:ascii="Times New Roman" w:eastAsia="Times New Roman" w:hAnsi="Times New Roman" w:cs="Times New Roman"/>
                      <w:color w:val="auto"/>
                      <w:sz w:val="20"/>
                      <w:szCs w:val="20"/>
                    </w:rPr>
                    <w:t> </w:t>
                  </w:r>
                </w:p>
              </w:tc>
              <w:tc>
                <w:tcPr>
                  <w:tcW w:w="1760" w:type="dxa"/>
                  <w:tcBorders>
                    <w:top w:val="nil"/>
                    <w:left w:val="nil"/>
                    <w:bottom w:val="single" w:sz="8" w:space="0" w:color="366092"/>
                    <w:right w:val="single" w:sz="8" w:space="0" w:color="366092"/>
                  </w:tcBorders>
                  <w:shd w:val="clear" w:color="auto" w:fill="auto"/>
                  <w:vAlign w:val="center"/>
                  <w:hideMark/>
                </w:tcPr>
                <w:p w14:paraId="77D9F2D6" w14:textId="77777777" w:rsidR="004210A8" w:rsidRPr="004210A8" w:rsidRDefault="004210A8" w:rsidP="004210A8">
                  <w:pPr>
                    <w:spacing w:after="0" w:line="240" w:lineRule="auto"/>
                    <w:jc w:val="center"/>
                    <w:rPr>
                      <w:rFonts w:ascii="Times New Roman" w:eastAsia="Times New Roman" w:hAnsi="Times New Roman" w:cs="Times New Roman"/>
                      <w:color w:val="auto"/>
                      <w:sz w:val="20"/>
                      <w:szCs w:val="20"/>
                    </w:rPr>
                  </w:pPr>
                  <w:r w:rsidRPr="004210A8">
                    <w:rPr>
                      <w:rFonts w:ascii="Times New Roman" w:eastAsia="Times New Roman" w:hAnsi="Times New Roman" w:cs="Times New Roman"/>
                      <w:color w:val="auto"/>
                      <w:sz w:val="20"/>
                      <w:szCs w:val="20"/>
                    </w:rPr>
                    <w:t>457 908</w:t>
                  </w:r>
                </w:p>
              </w:tc>
            </w:tr>
            <w:tr w:rsidR="004210A8" w:rsidRPr="004210A8" w14:paraId="017C7817" w14:textId="77777777" w:rsidTr="0001194F">
              <w:trPr>
                <w:trHeight w:val="300"/>
              </w:trPr>
              <w:tc>
                <w:tcPr>
                  <w:tcW w:w="4520" w:type="dxa"/>
                  <w:tcBorders>
                    <w:top w:val="nil"/>
                    <w:left w:val="single" w:sz="8" w:space="0" w:color="366092"/>
                    <w:bottom w:val="single" w:sz="8" w:space="0" w:color="366092"/>
                    <w:right w:val="single" w:sz="8" w:space="0" w:color="366092"/>
                  </w:tcBorders>
                  <w:shd w:val="clear" w:color="auto" w:fill="auto"/>
                  <w:vAlign w:val="center"/>
                  <w:hideMark/>
                </w:tcPr>
                <w:p w14:paraId="3894DF0B" w14:textId="77777777" w:rsidR="004210A8" w:rsidRPr="004210A8" w:rsidRDefault="004210A8" w:rsidP="004210A8">
                  <w:pPr>
                    <w:spacing w:after="0" w:line="240" w:lineRule="auto"/>
                    <w:rPr>
                      <w:rFonts w:ascii="Times New Roman" w:eastAsia="Times New Roman" w:hAnsi="Times New Roman" w:cs="Times New Roman"/>
                      <w:color w:val="auto"/>
                      <w:sz w:val="20"/>
                      <w:szCs w:val="20"/>
                    </w:rPr>
                  </w:pPr>
                  <w:r w:rsidRPr="004210A8">
                    <w:rPr>
                      <w:rFonts w:ascii="Times New Roman" w:eastAsia="Times New Roman" w:hAnsi="Times New Roman" w:cs="Times New Roman"/>
                      <w:color w:val="auto"/>
                      <w:sz w:val="20"/>
                      <w:szCs w:val="20"/>
                    </w:rPr>
                    <w:t xml:space="preserve">Inne aktywa </w:t>
                  </w:r>
                </w:p>
              </w:tc>
              <w:tc>
                <w:tcPr>
                  <w:tcW w:w="1760" w:type="dxa"/>
                  <w:tcBorders>
                    <w:top w:val="nil"/>
                    <w:left w:val="nil"/>
                    <w:bottom w:val="single" w:sz="8" w:space="0" w:color="366092"/>
                    <w:right w:val="single" w:sz="8" w:space="0" w:color="366092"/>
                  </w:tcBorders>
                  <w:shd w:val="clear" w:color="auto" w:fill="auto"/>
                  <w:vAlign w:val="center"/>
                  <w:hideMark/>
                </w:tcPr>
                <w:p w14:paraId="423D8622" w14:textId="77777777" w:rsidR="004210A8" w:rsidRPr="004210A8" w:rsidRDefault="004210A8" w:rsidP="004210A8">
                  <w:pPr>
                    <w:spacing w:after="0" w:line="240" w:lineRule="auto"/>
                    <w:jc w:val="center"/>
                    <w:rPr>
                      <w:rFonts w:ascii="Times New Roman" w:eastAsia="Times New Roman" w:hAnsi="Times New Roman" w:cs="Times New Roman"/>
                      <w:color w:val="auto"/>
                      <w:sz w:val="20"/>
                      <w:szCs w:val="20"/>
                    </w:rPr>
                  </w:pPr>
                  <w:r w:rsidRPr="004210A8">
                    <w:rPr>
                      <w:rFonts w:ascii="Times New Roman" w:eastAsia="Times New Roman" w:hAnsi="Times New Roman" w:cs="Times New Roman"/>
                      <w:color w:val="auto"/>
                      <w:sz w:val="20"/>
                      <w:szCs w:val="20"/>
                    </w:rPr>
                    <w:t>7 003</w:t>
                  </w:r>
                </w:p>
              </w:tc>
              <w:tc>
                <w:tcPr>
                  <w:tcW w:w="1760" w:type="dxa"/>
                  <w:tcBorders>
                    <w:top w:val="nil"/>
                    <w:left w:val="nil"/>
                    <w:bottom w:val="single" w:sz="8" w:space="0" w:color="366092"/>
                    <w:right w:val="single" w:sz="8" w:space="0" w:color="366092"/>
                  </w:tcBorders>
                  <w:shd w:val="clear" w:color="auto" w:fill="auto"/>
                  <w:vAlign w:val="center"/>
                  <w:hideMark/>
                </w:tcPr>
                <w:p w14:paraId="4D4F97B9" w14:textId="77777777" w:rsidR="004210A8" w:rsidRPr="004210A8" w:rsidRDefault="004210A8" w:rsidP="004210A8">
                  <w:pPr>
                    <w:spacing w:after="0" w:line="240" w:lineRule="auto"/>
                    <w:jc w:val="center"/>
                    <w:rPr>
                      <w:rFonts w:ascii="Times New Roman" w:eastAsia="Times New Roman" w:hAnsi="Times New Roman" w:cs="Times New Roman"/>
                      <w:color w:val="auto"/>
                      <w:sz w:val="20"/>
                      <w:szCs w:val="20"/>
                    </w:rPr>
                  </w:pPr>
                  <w:r w:rsidRPr="004210A8">
                    <w:rPr>
                      <w:rFonts w:ascii="Times New Roman" w:eastAsia="Times New Roman" w:hAnsi="Times New Roman" w:cs="Times New Roman"/>
                      <w:color w:val="auto"/>
                      <w:sz w:val="20"/>
                      <w:szCs w:val="20"/>
                    </w:rPr>
                    <w:t>49 134</w:t>
                  </w:r>
                </w:p>
              </w:tc>
            </w:tr>
          </w:tbl>
          <w:p w14:paraId="120A9D59" w14:textId="77777777" w:rsidR="00C03332" w:rsidRPr="004210A8" w:rsidRDefault="00C03332" w:rsidP="00F364C8">
            <w:pPr>
              <w:ind w:left="0" w:firstLine="0"/>
              <w:rPr>
                <w:rFonts w:ascii="Times New Roman" w:hAnsi="Times New Roman" w:cs="Times New Roman"/>
                <w:i/>
                <w:iCs/>
                <w:color w:val="auto"/>
              </w:rPr>
            </w:pPr>
          </w:p>
        </w:tc>
      </w:tr>
    </w:tbl>
    <w:p w14:paraId="1102B81E" w14:textId="77777777" w:rsidR="002C50F6" w:rsidRPr="004210A8" w:rsidRDefault="00E81BF6" w:rsidP="00EB0BB2">
      <w:pPr>
        <w:pStyle w:val="Nagwek1"/>
        <w:ind w:left="0" w:right="7" w:firstLine="0"/>
        <w:rPr>
          <w:rFonts w:ascii="Times New Roman" w:hAnsi="Times New Roman" w:cs="Times New Roman"/>
          <w:color w:val="auto"/>
        </w:rPr>
      </w:pPr>
      <w:bookmarkStart w:id="51" w:name="_Toc75336280"/>
      <w:r w:rsidRPr="004210A8">
        <w:rPr>
          <w:rFonts w:ascii="Times New Roman" w:hAnsi="Times New Roman" w:cs="Times New Roman"/>
          <w:color w:val="auto"/>
        </w:rPr>
        <w:t>11. Korzystanie z ECAI – art. 444 Rozporządzenia CRR</w:t>
      </w:r>
      <w:bookmarkEnd w:id="51"/>
    </w:p>
    <w:p w14:paraId="21B6FB54" w14:textId="5666B767" w:rsidR="005B0BB2" w:rsidRPr="004210A8" w:rsidRDefault="003D4305" w:rsidP="008C632F">
      <w:pPr>
        <w:spacing w:after="0" w:line="276" w:lineRule="auto"/>
        <w:ind w:left="-6" w:right="6" w:hanging="11"/>
        <w:rPr>
          <w:rFonts w:ascii="Times New Roman" w:hAnsi="Times New Roman" w:cs="Times New Roman"/>
          <w:color w:val="auto"/>
        </w:rPr>
      </w:pPr>
      <w:r w:rsidRPr="004210A8">
        <w:rPr>
          <w:rFonts w:ascii="Times New Roman" w:hAnsi="Times New Roman" w:cs="Times New Roman"/>
          <w:color w:val="auto"/>
        </w:rPr>
        <w:t>Na dzień 31.12.20</w:t>
      </w:r>
      <w:r w:rsidR="004210A8" w:rsidRPr="004210A8">
        <w:rPr>
          <w:rFonts w:ascii="Times New Roman" w:hAnsi="Times New Roman" w:cs="Times New Roman"/>
          <w:color w:val="auto"/>
        </w:rPr>
        <w:t>20</w:t>
      </w:r>
      <w:r w:rsidR="005B0BB2" w:rsidRPr="004210A8">
        <w:rPr>
          <w:rFonts w:ascii="Times New Roman" w:hAnsi="Times New Roman" w:cs="Times New Roman"/>
          <w:color w:val="auto"/>
        </w:rPr>
        <w:t xml:space="preserve"> r. Bank posiadał ekspozycje, którym przypisano wagi ryzyka według ocen wiarygodności kredytowej nadawanych przez zewnętrzne instytucje oceny wiarygodności kredytowej. </w:t>
      </w:r>
    </w:p>
    <w:p w14:paraId="74606C7E" w14:textId="77777777" w:rsidR="002C50F6" w:rsidRPr="004210A8" w:rsidRDefault="00E81BF6">
      <w:pPr>
        <w:pStyle w:val="Nagwek1"/>
        <w:spacing w:after="298"/>
        <w:ind w:left="-5" w:right="7"/>
        <w:rPr>
          <w:rFonts w:ascii="Times New Roman" w:hAnsi="Times New Roman" w:cs="Times New Roman"/>
          <w:color w:val="auto"/>
        </w:rPr>
      </w:pPr>
      <w:bookmarkStart w:id="52" w:name="_Toc75336281"/>
      <w:r w:rsidRPr="004210A8">
        <w:rPr>
          <w:rFonts w:ascii="Times New Roman" w:hAnsi="Times New Roman" w:cs="Times New Roman"/>
          <w:color w:val="auto"/>
        </w:rPr>
        <w:t>12. Ekspozycje na ryzyko rynkowe – art. 445 Rozporządzenia CRR</w:t>
      </w:r>
      <w:bookmarkEnd w:id="52"/>
    </w:p>
    <w:p w14:paraId="322F0B9F" w14:textId="77777777" w:rsidR="002C50F6" w:rsidRPr="004210A8" w:rsidRDefault="00E81BF6">
      <w:pPr>
        <w:pStyle w:val="Nagwek2"/>
        <w:ind w:left="-5" w:right="7"/>
        <w:rPr>
          <w:rFonts w:ascii="Times New Roman" w:hAnsi="Times New Roman" w:cs="Times New Roman"/>
          <w:color w:val="auto"/>
        </w:rPr>
      </w:pPr>
      <w:bookmarkStart w:id="53" w:name="_Toc75336282"/>
      <w:r w:rsidRPr="004210A8">
        <w:rPr>
          <w:rFonts w:ascii="Times New Roman" w:hAnsi="Times New Roman" w:cs="Times New Roman"/>
          <w:color w:val="auto"/>
        </w:rPr>
        <w:t>12.1</w:t>
      </w:r>
      <w:r w:rsidR="00F364C8" w:rsidRPr="004210A8">
        <w:rPr>
          <w:rFonts w:ascii="Times New Roman" w:hAnsi="Times New Roman" w:cs="Times New Roman"/>
          <w:color w:val="auto"/>
        </w:rPr>
        <w:t>.</w:t>
      </w:r>
      <w:r w:rsidRPr="004210A8">
        <w:rPr>
          <w:rFonts w:ascii="Times New Roman" w:hAnsi="Times New Roman" w:cs="Times New Roman"/>
          <w:color w:val="auto"/>
        </w:rPr>
        <w:t xml:space="preserve"> Wymogi zgodnie z art. 92 ust. 3 lit. b)</w:t>
      </w:r>
      <w:bookmarkEnd w:id="53"/>
    </w:p>
    <w:p w14:paraId="51DD9153" w14:textId="77777777" w:rsidR="002C50F6" w:rsidRPr="004210A8" w:rsidRDefault="00E81BF6">
      <w:pPr>
        <w:spacing w:line="259" w:lineRule="auto"/>
        <w:ind w:left="-5" w:right="8"/>
        <w:rPr>
          <w:rFonts w:ascii="Times New Roman" w:hAnsi="Times New Roman" w:cs="Times New Roman"/>
          <w:color w:val="auto"/>
        </w:rPr>
      </w:pPr>
      <w:r w:rsidRPr="004210A8">
        <w:rPr>
          <w:rFonts w:ascii="Times New Roman" w:hAnsi="Times New Roman" w:cs="Times New Roman"/>
          <w:color w:val="auto"/>
        </w:rPr>
        <w:t>Nie dotyczy.</w:t>
      </w:r>
    </w:p>
    <w:p w14:paraId="3C1D10B1" w14:textId="77777777" w:rsidR="002C50F6" w:rsidRPr="006C50C5" w:rsidRDefault="00E81BF6">
      <w:pPr>
        <w:pStyle w:val="Nagwek2"/>
        <w:ind w:left="-5" w:right="7"/>
        <w:rPr>
          <w:rFonts w:ascii="Times New Roman" w:hAnsi="Times New Roman" w:cs="Times New Roman"/>
          <w:color w:val="auto"/>
        </w:rPr>
      </w:pPr>
      <w:bookmarkStart w:id="54" w:name="_Toc75336283"/>
      <w:r w:rsidRPr="006C50C5">
        <w:rPr>
          <w:rFonts w:ascii="Times New Roman" w:hAnsi="Times New Roman" w:cs="Times New Roman"/>
          <w:color w:val="auto"/>
        </w:rPr>
        <w:lastRenderedPageBreak/>
        <w:t>12.2</w:t>
      </w:r>
      <w:r w:rsidR="00F364C8" w:rsidRPr="006C50C5">
        <w:rPr>
          <w:rFonts w:ascii="Times New Roman" w:hAnsi="Times New Roman" w:cs="Times New Roman"/>
          <w:color w:val="auto"/>
        </w:rPr>
        <w:t>.</w:t>
      </w:r>
      <w:r w:rsidRPr="006C50C5">
        <w:rPr>
          <w:rFonts w:ascii="Times New Roman" w:hAnsi="Times New Roman" w:cs="Times New Roman"/>
          <w:color w:val="auto"/>
        </w:rPr>
        <w:t xml:space="preserve"> Wymogi zgodnie z art. 92 ust. 3 lit. c)</w:t>
      </w:r>
      <w:bookmarkEnd w:id="54"/>
    </w:p>
    <w:p w14:paraId="42163396" w14:textId="5E8BE64E" w:rsidR="002C50F6" w:rsidRPr="006C50C5" w:rsidRDefault="003D4305" w:rsidP="00C03332">
      <w:pPr>
        <w:spacing w:after="47" w:line="276" w:lineRule="auto"/>
        <w:ind w:left="-6" w:right="6" w:hanging="11"/>
        <w:rPr>
          <w:rFonts w:ascii="Times New Roman" w:hAnsi="Times New Roman" w:cs="Times New Roman"/>
          <w:color w:val="auto"/>
        </w:rPr>
      </w:pPr>
      <w:r w:rsidRPr="006C50C5">
        <w:rPr>
          <w:rFonts w:ascii="Times New Roman" w:hAnsi="Times New Roman" w:cs="Times New Roman"/>
          <w:color w:val="auto"/>
        </w:rPr>
        <w:t>W 20</w:t>
      </w:r>
      <w:r w:rsidR="006C50C5" w:rsidRPr="006C50C5">
        <w:rPr>
          <w:rFonts w:ascii="Times New Roman" w:hAnsi="Times New Roman" w:cs="Times New Roman"/>
          <w:color w:val="auto"/>
        </w:rPr>
        <w:t>20</w:t>
      </w:r>
      <w:r w:rsidR="00E81BF6" w:rsidRPr="006C50C5">
        <w:rPr>
          <w:rFonts w:ascii="Times New Roman" w:hAnsi="Times New Roman" w:cs="Times New Roman"/>
          <w:color w:val="auto"/>
        </w:rPr>
        <w:t xml:space="preserve"> roku Bank wyznaczał wymóg w zakresie funduszy własnych z tytułu ryzyka walutowego zgodnie z metodą, o której mowa w art. 351 </w:t>
      </w:r>
      <w:r w:rsidR="00E81BF6" w:rsidRPr="006C50C5">
        <w:rPr>
          <w:rFonts w:ascii="Times New Roman" w:hAnsi="Times New Roman" w:cs="Times New Roman"/>
          <w:i/>
          <w:color w:val="auto"/>
        </w:rPr>
        <w:t>Rozporządzenia CRR</w:t>
      </w:r>
      <w:r w:rsidR="00E81BF6" w:rsidRPr="006C50C5">
        <w:rPr>
          <w:rFonts w:ascii="Times New Roman" w:hAnsi="Times New Roman" w:cs="Times New Roman"/>
          <w:color w:val="auto"/>
        </w:rPr>
        <w:t xml:space="preserve">. </w:t>
      </w:r>
    </w:p>
    <w:p w14:paraId="68C5E0CC" w14:textId="5B69B59F" w:rsidR="002D6324" w:rsidRPr="006C50C5" w:rsidRDefault="003D4305" w:rsidP="00C03332">
      <w:pPr>
        <w:spacing w:line="276" w:lineRule="auto"/>
        <w:ind w:left="-6" w:right="6" w:hanging="11"/>
        <w:rPr>
          <w:rFonts w:ascii="Times New Roman" w:hAnsi="Times New Roman" w:cs="Times New Roman"/>
          <w:color w:val="auto"/>
        </w:rPr>
      </w:pPr>
      <w:r w:rsidRPr="006C50C5">
        <w:rPr>
          <w:rFonts w:ascii="Times New Roman" w:hAnsi="Times New Roman" w:cs="Times New Roman"/>
          <w:color w:val="auto"/>
        </w:rPr>
        <w:t>Na dzień 31 grudnia 20</w:t>
      </w:r>
      <w:r w:rsidR="006C50C5" w:rsidRPr="006C50C5">
        <w:rPr>
          <w:rFonts w:ascii="Times New Roman" w:hAnsi="Times New Roman" w:cs="Times New Roman"/>
          <w:color w:val="auto"/>
        </w:rPr>
        <w:t>20</w:t>
      </w:r>
      <w:r w:rsidRPr="006C50C5">
        <w:rPr>
          <w:rFonts w:ascii="Times New Roman" w:hAnsi="Times New Roman" w:cs="Times New Roman"/>
          <w:color w:val="auto"/>
        </w:rPr>
        <w:t xml:space="preserve"> roku , jak i w całym 20</w:t>
      </w:r>
      <w:r w:rsidR="006C50C5" w:rsidRPr="006C50C5">
        <w:rPr>
          <w:rFonts w:ascii="Times New Roman" w:hAnsi="Times New Roman" w:cs="Times New Roman"/>
          <w:color w:val="auto"/>
        </w:rPr>
        <w:t>20</w:t>
      </w:r>
      <w:r w:rsidR="002D6324" w:rsidRPr="006C50C5">
        <w:rPr>
          <w:rFonts w:ascii="Times New Roman" w:hAnsi="Times New Roman" w:cs="Times New Roman"/>
          <w:color w:val="auto"/>
        </w:rPr>
        <w:t xml:space="preserve"> roku</w:t>
      </w:r>
      <w:r w:rsidR="00544652" w:rsidRPr="006C50C5">
        <w:rPr>
          <w:rFonts w:ascii="Times New Roman" w:hAnsi="Times New Roman" w:cs="Times New Roman"/>
          <w:color w:val="auto"/>
        </w:rPr>
        <w:t>,</w:t>
      </w:r>
      <w:r w:rsidR="002D6324" w:rsidRPr="006C50C5">
        <w:rPr>
          <w:rFonts w:ascii="Times New Roman" w:hAnsi="Times New Roman" w:cs="Times New Roman"/>
          <w:color w:val="auto"/>
        </w:rPr>
        <w:t xml:space="preserve"> całkowita pozycja walutowa netto nie przekroczyła 2% łącznych funduszy własnych Banku – nie wystąpiła konieczność wyznaczenia wymogu w zakresie funduszy własnych z tytułu ryzyka walutowego.</w:t>
      </w:r>
    </w:p>
    <w:p w14:paraId="0A4DF41D" w14:textId="77777777" w:rsidR="002C50F6" w:rsidRPr="006C50C5" w:rsidRDefault="00E81BF6">
      <w:pPr>
        <w:pStyle w:val="Nagwek1"/>
        <w:ind w:left="-5" w:right="7"/>
        <w:rPr>
          <w:rFonts w:ascii="Times New Roman" w:hAnsi="Times New Roman" w:cs="Times New Roman"/>
          <w:color w:val="auto"/>
        </w:rPr>
      </w:pPr>
      <w:bookmarkStart w:id="55" w:name="_Toc75336284"/>
      <w:r w:rsidRPr="006C50C5">
        <w:rPr>
          <w:rFonts w:ascii="Times New Roman" w:hAnsi="Times New Roman" w:cs="Times New Roman"/>
          <w:color w:val="auto"/>
        </w:rPr>
        <w:t>13. Ekspozycja na ryzyko operacyjne – art. 446 Rozporządzenia CRR</w:t>
      </w:r>
      <w:bookmarkEnd w:id="55"/>
    </w:p>
    <w:p w14:paraId="6B9AB5A1" w14:textId="5B743C23" w:rsidR="009E1CCD" w:rsidRPr="006C50C5" w:rsidRDefault="009E1CCD" w:rsidP="00C03332">
      <w:pPr>
        <w:spacing w:after="0" w:line="276" w:lineRule="auto"/>
        <w:ind w:firstLine="360"/>
        <w:rPr>
          <w:rFonts w:ascii="Times New Roman" w:hAnsi="Times New Roman" w:cs="Times New Roman"/>
          <w:color w:val="auto"/>
        </w:rPr>
      </w:pPr>
      <w:r w:rsidRPr="006C50C5">
        <w:rPr>
          <w:rFonts w:ascii="Times New Roman" w:hAnsi="Times New Roman" w:cs="Times New Roman"/>
          <w:color w:val="auto"/>
        </w:rPr>
        <w:t>Warmińsko-Mazurski Bank Spółdzielczy wyznacza wielkość wymogu kapitałowego z tytułu ryzyka operacyjnego zgodnie z metodą wskaźnika bazowego, o której mowa w Rozporządzeniu Parlamentu Europejskiego i Rady (UE) 575/13 (CRR). Zgodnie z art. 315 powyższego rozporządzenia wymóg w zakresie</w:t>
      </w:r>
      <w:r w:rsidR="00977E61">
        <w:rPr>
          <w:rFonts w:ascii="Times New Roman" w:hAnsi="Times New Roman" w:cs="Times New Roman"/>
          <w:color w:val="auto"/>
        </w:rPr>
        <w:t xml:space="preserve"> funduszy</w:t>
      </w:r>
      <w:r w:rsidRPr="006C50C5">
        <w:rPr>
          <w:rFonts w:ascii="Times New Roman" w:hAnsi="Times New Roman" w:cs="Times New Roman"/>
          <w:color w:val="auto"/>
        </w:rPr>
        <w:t xml:space="preserve"> własnych z tytułu ryzyka operacyjnego liczony metodą wskaźnika bazowego jest równy 15% średniej z trzech lat dla odpowiedniego wskaźnika określonego w art. 316. </w:t>
      </w:r>
    </w:p>
    <w:p w14:paraId="2936CB10" w14:textId="781598F0" w:rsidR="002C50F6" w:rsidRPr="006C50C5" w:rsidRDefault="003D4305" w:rsidP="00C03332">
      <w:pPr>
        <w:spacing w:after="272" w:line="276" w:lineRule="auto"/>
        <w:ind w:left="-6" w:right="6" w:hanging="11"/>
        <w:rPr>
          <w:rFonts w:ascii="Times New Roman" w:hAnsi="Times New Roman" w:cs="Times New Roman"/>
          <w:color w:val="auto"/>
        </w:rPr>
      </w:pPr>
      <w:r w:rsidRPr="006C50C5">
        <w:rPr>
          <w:rFonts w:ascii="Times New Roman" w:hAnsi="Times New Roman" w:cs="Times New Roman"/>
          <w:color w:val="auto"/>
        </w:rPr>
        <w:t>Na dzień 31 grudnia 20</w:t>
      </w:r>
      <w:r w:rsidR="006C50C5" w:rsidRPr="006C50C5">
        <w:rPr>
          <w:rFonts w:ascii="Times New Roman" w:hAnsi="Times New Roman" w:cs="Times New Roman"/>
          <w:color w:val="auto"/>
        </w:rPr>
        <w:t>20</w:t>
      </w:r>
      <w:r w:rsidR="00E81BF6" w:rsidRPr="006C50C5">
        <w:rPr>
          <w:rFonts w:ascii="Times New Roman" w:hAnsi="Times New Roman" w:cs="Times New Roman"/>
          <w:color w:val="auto"/>
        </w:rPr>
        <w:t xml:space="preserve"> roku kwota ekspozycji na ryzyko operacyjne wyniosła </w:t>
      </w:r>
      <w:r w:rsidR="006C50C5" w:rsidRPr="006C50C5">
        <w:rPr>
          <w:rFonts w:ascii="Times New Roman" w:hAnsi="Times New Roman" w:cs="Times New Roman"/>
          <w:color w:val="auto"/>
        </w:rPr>
        <w:t>38 603</w:t>
      </w:r>
      <w:r w:rsidR="00FD0FF9" w:rsidRPr="006C50C5">
        <w:rPr>
          <w:rFonts w:ascii="Times New Roman" w:hAnsi="Times New Roman" w:cs="Times New Roman"/>
          <w:color w:val="auto"/>
        </w:rPr>
        <w:t xml:space="preserve"> </w:t>
      </w:r>
      <w:r w:rsidR="00604682" w:rsidRPr="006C50C5">
        <w:rPr>
          <w:rFonts w:ascii="Times New Roman" w:hAnsi="Times New Roman" w:cs="Times New Roman"/>
          <w:color w:val="auto"/>
        </w:rPr>
        <w:t>tys. zł</w:t>
      </w:r>
      <w:r w:rsidR="00E81BF6" w:rsidRPr="006C50C5">
        <w:rPr>
          <w:rFonts w:ascii="Times New Roman" w:hAnsi="Times New Roman" w:cs="Times New Roman"/>
          <w:color w:val="auto"/>
        </w:rPr>
        <w:t xml:space="preserve">. </w:t>
      </w:r>
    </w:p>
    <w:p w14:paraId="3618FC1B" w14:textId="77777777" w:rsidR="002C50F6" w:rsidRPr="006C50C5" w:rsidRDefault="00E81BF6">
      <w:pPr>
        <w:pStyle w:val="Nagwek2"/>
        <w:ind w:left="-5" w:right="7"/>
        <w:rPr>
          <w:rFonts w:ascii="Times New Roman" w:hAnsi="Times New Roman" w:cs="Times New Roman"/>
          <w:color w:val="auto"/>
        </w:rPr>
      </w:pPr>
      <w:bookmarkStart w:id="56" w:name="_Toc75336285"/>
      <w:r w:rsidRPr="006C50C5">
        <w:rPr>
          <w:rFonts w:ascii="Times New Roman" w:hAnsi="Times New Roman" w:cs="Times New Roman"/>
          <w:color w:val="auto"/>
        </w:rPr>
        <w:t>13.1</w:t>
      </w:r>
      <w:r w:rsidR="00F364C8" w:rsidRPr="006C50C5">
        <w:rPr>
          <w:rFonts w:ascii="Times New Roman" w:hAnsi="Times New Roman" w:cs="Times New Roman"/>
          <w:color w:val="auto"/>
        </w:rPr>
        <w:t>.</w:t>
      </w:r>
      <w:r w:rsidRPr="006C50C5">
        <w:rPr>
          <w:rFonts w:ascii="Times New Roman" w:hAnsi="Times New Roman" w:cs="Times New Roman"/>
          <w:color w:val="auto"/>
        </w:rPr>
        <w:t xml:space="preserve"> Wymogi informacyjne na temat podejścia do ryzyka operacyjnego zgodnie z</w:t>
      </w:r>
      <w:r w:rsidR="00F364C8" w:rsidRPr="006C50C5">
        <w:rPr>
          <w:rFonts w:ascii="Times New Roman" w:hAnsi="Times New Roman" w:cs="Times New Roman"/>
          <w:color w:val="auto"/>
        </w:rPr>
        <w:t> </w:t>
      </w:r>
      <w:r w:rsidRPr="006C50C5">
        <w:rPr>
          <w:rFonts w:ascii="Times New Roman" w:hAnsi="Times New Roman" w:cs="Times New Roman"/>
          <w:color w:val="auto"/>
        </w:rPr>
        <w:t>Rekomendacją 17 Rekomendacji M</w:t>
      </w:r>
      <w:bookmarkEnd w:id="56"/>
    </w:p>
    <w:p w14:paraId="778C62BC" w14:textId="77777777" w:rsidR="002C50F6" w:rsidRPr="006C50C5" w:rsidRDefault="00E81BF6" w:rsidP="00C03332">
      <w:pPr>
        <w:spacing w:after="295" w:line="276" w:lineRule="auto"/>
        <w:ind w:left="-6" w:right="6" w:hanging="11"/>
        <w:rPr>
          <w:rFonts w:ascii="Times New Roman" w:hAnsi="Times New Roman" w:cs="Times New Roman"/>
          <w:color w:val="auto"/>
        </w:rPr>
      </w:pPr>
      <w:r w:rsidRPr="006C50C5">
        <w:rPr>
          <w:rFonts w:ascii="Times New Roman" w:hAnsi="Times New Roman" w:cs="Times New Roman"/>
          <w:color w:val="auto"/>
        </w:rPr>
        <w:t xml:space="preserve">W procesie zarządzania ryzykiem operacyjnym Bank stosuje dobre praktyki rynkowe oraz zalecenia nadzorcze, w tym w szczególności wytyczne wynikające z zapisów </w:t>
      </w:r>
      <w:r w:rsidRPr="006C50C5">
        <w:rPr>
          <w:rFonts w:ascii="Times New Roman" w:hAnsi="Times New Roman" w:cs="Times New Roman"/>
          <w:i/>
          <w:color w:val="auto"/>
        </w:rPr>
        <w:t>Rekomendacji M dotyczącej zarządzania ryzykiem operacyjnym w bankach</w:t>
      </w:r>
      <w:r w:rsidRPr="006C50C5">
        <w:rPr>
          <w:rFonts w:ascii="Times New Roman" w:hAnsi="Times New Roman" w:cs="Times New Roman"/>
          <w:color w:val="auto"/>
        </w:rPr>
        <w:t xml:space="preserve">. </w:t>
      </w:r>
    </w:p>
    <w:p w14:paraId="5FB4B8B6" w14:textId="77777777" w:rsidR="002C50F6" w:rsidRPr="001A0FC2" w:rsidRDefault="00E81BF6">
      <w:pPr>
        <w:pStyle w:val="Nagwek3"/>
        <w:ind w:left="-5" w:right="7"/>
        <w:rPr>
          <w:rFonts w:ascii="Times New Roman" w:hAnsi="Times New Roman" w:cs="Times New Roman"/>
          <w:color w:val="000000" w:themeColor="text1"/>
        </w:rPr>
      </w:pPr>
      <w:bookmarkStart w:id="57" w:name="_Toc75336286"/>
      <w:r w:rsidRPr="001A0FC2">
        <w:rPr>
          <w:rFonts w:ascii="Times New Roman" w:hAnsi="Times New Roman" w:cs="Times New Roman"/>
          <w:color w:val="000000" w:themeColor="text1"/>
        </w:rPr>
        <w:t>13.1.1</w:t>
      </w:r>
      <w:r w:rsidR="002E4D58" w:rsidRPr="001A0FC2">
        <w:rPr>
          <w:rFonts w:ascii="Times New Roman" w:hAnsi="Times New Roman" w:cs="Times New Roman"/>
          <w:color w:val="000000" w:themeColor="text1"/>
        </w:rPr>
        <w:t>.</w:t>
      </w:r>
      <w:r w:rsidRPr="001A0FC2">
        <w:rPr>
          <w:rFonts w:ascii="Times New Roman" w:hAnsi="Times New Roman" w:cs="Times New Roman"/>
          <w:color w:val="000000" w:themeColor="text1"/>
        </w:rPr>
        <w:t xml:space="preserve"> Informacja o stratach operacyjnych w podziale na klasy zdarzeń</w:t>
      </w:r>
      <w:bookmarkEnd w:id="57"/>
    </w:p>
    <w:p w14:paraId="61EA1B3F" w14:textId="77777777" w:rsidR="001A0FC2" w:rsidRPr="001A0FC2" w:rsidRDefault="001A0FC2" w:rsidP="001A0FC2">
      <w:pPr>
        <w:spacing w:after="47" w:line="276" w:lineRule="auto"/>
        <w:ind w:left="-5" w:right="6" w:firstLine="572"/>
        <w:rPr>
          <w:rFonts w:ascii="Times New Roman" w:eastAsia="Times New Roman" w:hAnsi="Times New Roman" w:cs="Times New Roman"/>
          <w:color w:val="auto"/>
          <w:szCs w:val="24"/>
        </w:rPr>
      </w:pPr>
      <w:r w:rsidRPr="001A0FC2">
        <w:rPr>
          <w:rFonts w:ascii="Times New Roman" w:eastAsia="Times New Roman" w:hAnsi="Times New Roman" w:cs="Times New Roman"/>
          <w:color w:val="000000" w:themeColor="text1"/>
          <w:szCs w:val="24"/>
        </w:rPr>
        <w:t xml:space="preserve">W 2020 roku, na podstawie informacji zarejestrowanych w systemie AZRO, stwierdzono </w:t>
      </w:r>
      <w:r w:rsidRPr="001A0FC2">
        <w:rPr>
          <w:rFonts w:ascii="Times New Roman" w:eastAsia="Times New Roman" w:hAnsi="Times New Roman" w:cs="Times New Roman"/>
          <w:color w:val="auto"/>
          <w:szCs w:val="24"/>
        </w:rPr>
        <w:t>wystąpienie 160 zdarzeń operacyjnych (145 incydenty i 15 zdarzeń rzeczywistych).</w:t>
      </w:r>
    </w:p>
    <w:p w14:paraId="6D241959" w14:textId="77777777" w:rsidR="001A0FC2" w:rsidRDefault="001A0FC2" w:rsidP="001A0FC2">
      <w:pPr>
        <w:spacing w:after="47" w:line="276" w:lineRule="auto"/>
        <w:ind w:left="-15" w:right="6" w:firstLine="582"/>
        <w:rPr>
          <w:rFonts w:ascii="Times New Roman" w:hAnsi="Times New Roman" w:cs="Times New Roman"/>
          <w:color w:val="auto"/>
          <w:szCs w:val="24"/>
        </w:rPr>
      </w:pPr>
      <w:r w:rsidRPr="001A0FC2">
        <w:rPr>
          <w:rFonts w:ascii="Times New Roman" w:eastAsia="Times New Roman" w:hAnsi="Times New Roman" w:cs="Times New Roman"/>
          <w:color w:val="auto"/>
          <w:szCs w:val="24"/>
        </w:rPr>
        <w:t xml:space="preserve">Łączna kwota strat z tytułu ryzyka operacyjnego w 2020 roku wyniosła 50 129,66 </w:t>
      </w:r>
      <w:r w:rsidRPr="001A0FC2">
        <w:rPr>
          <w:rStyle w:val="Odwoaniedokomentarza"/>
          <w:rFonts w:ascii="Times New Roman" w:hAnsi="Times New Roman" w:cs="Times New Roman"/>
          <w:snapToGrid w:val="0"/>
          <w:color w:val="auto"/>
          <w:sz w:val="24"/>
          <w:szCs w:val="24"/>
          <w:lang w:val="x-none" w:eastAsia="x-none"/>
        </w:rPr>
        <w:t>z</w:t>
      </w:r>
      <w:r w:rsidRPr="001A0FC2">
        <w:rPr>
          <w:rFonts w:ascii="Times New Roman" w:eastAsia="Times New Roman" w:hAnsi="Times New Roman" w:cs="Times New Roman"/>
          <w:color w:val="auto"/>
          <w:szCs w:val="24"/>
        </w:rPr>
        <w:t xml:space="preserve">ł. </w:t>
      </w:r>
      <w:r w:rsidRPr="001A0FC2">
        <w:rPr>
          <w:rFonts w:ascii="Times New Roman" w:hAnsi="Times New Roman" w:cs="Times New Roman"/>
          <w:color w:val="auto"/>
          <w:szCs w:val="24"/>
        </w:rPr>
        <w:t>Liczbę zdarzeń operacyjnych i wielkość strat w podziale na kategorie zdarzeń za 2020 rok zaprezentowano w poniższej tabeli:</w:t>
      </w:r>
    </w:p>
    <w:p w14:paraId="14EEA79D" w14:textId="77777777" w:rsidR="008C632F" w:rsidRDefault="008C632F" w:rsidP="001A0FC2">
      <w:pPr>
        <w:spacing w:after="47" w:line="276" w:lineRule="auto"/>
        <w:ind w:left="-15" w:right="6" w:firstLine="582"/>
        <w:rPr>
          <w:rFonts w:ascii="Times New Roman" w:hAnsi="Times New Roman" w:cs="Times New Roman"/>
          <w:color w:val="auto"/>
          <w:szCs w:val="24"/>
        </w:rPr>
      </w:pPr>
    </w:p>
    <w:p w14:paraId="5A910089" w14:textId="0361DD61" w:rsidR="001A0FC2" w:rsidRPr="00D804D0" w:rsidRDefault="001A0FC2" w:rsidP="001A0FC2">
      <w:pPr>
        <w:spacing w:after="3" w:line="259" w:lineRule="auto"/>
        <w:ind w:left="-5" w:right="0"/>
        <w:jc w:val="left"/>
        <w:rPr>
          <w:rFonts w:ascii="Times New Roman" w:hAnsi="Times New Roman" w:cs="Times New Roman"/>
          <w:color w:val="000000" w:themeColor="text1"/>
        </w:rPr>
      </w:pPr>
      <w:r w:rsidRPr="00D804D0">
        <w:rPr>
          <w:rFonts w:ascii="Times New Roman" w:hAnsi="Times New Roman" w:cs="Times New Roman"/>
          <w:i/>
          <w:color w:val="000000" w:themeColor="text1"/>
          <w:sz w:val="20"/>
        </w:rPr>
        <w:t>Tabela – zdarzenia i straty operacyjne w podziale na kategorie za 2020 r. (</w:t>
      </w:r>
      <w:r w:rsidR="006F0D80">
        <w:rPr>
          <w:rFonts w:ascii="Times New Roman" w:hAnsi="Times New Roman" w:cs="Times New Roman"/>
          <w:i/>
          <w:color w:val="000000" w:themeColor="text1"/>
          <w:sz w:val="20"/>
        </w:rPr>
        <w:t>w zł</w:t>
      </w:r>
      <w:r w:rsidRPr="00D804D0">
        <w:rPr>
          <w:rFonts w:ascii="Times New Roman" w:hAnsi="Times New Roman" w:cs="Times New Roman"/>
          <w:i/>
          <w:color w:val="000000" w:themeColor="text1"/>
          <w:sz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129"/>
        <w:gridCol w:w="3118"/>
      </w:tblGrid>
      <w:tr w:rsidR="001A0FC2" w:rsidRPr="00065790" w14:paraId="5E1BC201" w14:textId="77777777" w:rsidTr="00F03B83">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7CE5B18" w14:textId="77777777" w:rsidR="001A0FC2" w:rsidRPr="00D804D0" w:rsidRDefault="001A0FC2" w:rsidP="00F03B83">
            <w:pPr>
              <w:spacing w:after="0" w:line="240" w:lineRule="auto"/>
              <w:jc w:val="center"/>
              <w:rPr>
                <w:rFonts w:ascii="Times New Roman" w:eastAsia="Times New Roman" w:hAnsi="Times New Roman" w:cs="Times New Roman"/>
                <w:b/>
                <w:color w:val="000000" w:themeColor="text1"/>
              </w:rPr>
            </w:pPr>
            <w:r w:rsidRPr="00D804D0">
              <w:rPr>
                <w:rFonts w:ascii="Times New Roman" w:eastAsia="Times New Roman" w:hAnsi="Times New Roman" w:cs="Times New Roman"/>
                <w:b/>
                <w:color w:val="000000" w:themeColor="text1"/>
              </w:rPr>
              <w:t>Rodzaje zdarzeń</w:t>
            </w:r>
          </w:p>
        </w:tc>
        <w:tc>
          <w:tcPr>
            <w:tcW w:w="1129" w:type="dxa"/>
            <w:vAlign w:val="center"/>
          </w:tcPr>
          <w:p w14:paraId="12895A99" w14:textId="77777777" w:rsidR="001A0FC2" w:rsidRPr="00D804D0" w:rsidRDefault="001A0FC2" w:rsidP="00F03B83">
            <w:pPr>
              <w:spacing w:after="0" w:line="240" w:lineRule="auto"/>
              <w:jc w:val="center"/>
              <w:rPr>
                <w:rFonts w:ascii="Times New Roman" w:eastAsia="Times New Roman" w:hAnsi="Times New Roman" w:cs="Times New Roman"/>
                <w:b/>
                <w:color w:val="000000" w:themeColor="text1"/>
              </w:rPr>
            </w:pPr>
            <w:r w:rsidRPr="00D804D0">
              <w:rPr>
                <w:rFonts w:ascii="Times New Roman" w:eastAsia="Times New Roman" w:hAnsi="Times New Roman" w:cs="Times New Roman"/>
                <w:b/>
                <w:color w:val="000000" w:themeColor="text1"/>
              </w:rPr>
              <w:t xml:space="preserve">Liczba zdarzeń </w:t>
            </w:r>
          </w:p>
        </w:tc>
        <w:tc>
          <w:tcPr>
            <w:tcW w:w="3118" w:type="dxa"/>
            <w:shd w:val="clear" w:color="auto" w:fill="auto"/>
            <w:vAlign w:val="center"/>
          </w:tcPr>
          <w:p w14:paraId="3A655FDF" w14:textId="77777777" w:rsidR="001A0FC2" w:rsidRPr="00D804D0" w:rsidRDefault="001A0FC2" w:rsidP="00F03B83">
            <w:pPr>
              <w:spacing w:after="0" w:line="240" w:lineRule="auto"/>
              <w:jc w:val="center"/>
              <w:rPr>
                <w:rFonts w:ascii="Times New Roman" w:eastAsia="Times New Roman" w:hAnsi="Times New Roman" w:cs="Times New Roman"/>
                <w:b/>
                <w:color w:val="000000" w:themeColor="text1"/>
              </w:rPr>
            </w:pPr>
            <w:r w:rsidRPr="00D804D0">
              <w:rPr>
                <w:rFonts w:ascii="Times New Roman" w:eastAsia="Times New Roman" w:hAnsi="Times New Roman" w:cs="Times New Roman"/>
                <w:b/>
                <w:color w:val="000000" w:themeColor="text1"/>
              </w:rPr>
              <w:t>Strata</w:t>
            </w:r>
          </w:p>
        </w:tc>
      </w:tr>
      <w:tr w:rsidR="001A0FC2" w:rsidRPr="00065790" w14:paraId="75A98EE4" w14:textId="77777777" w:rsidTr="00F03B83">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9EE91F4" w14:textId="77777777" w:rsidR="001A0FC2" w:rsidRPr="00D804D0" w:rsidRDefault="001A0FC2" w:rsidP="00F03B83">
            <w:pPr>
              <w:spacing w:after="0" w:line="240" w:lineRule="auto"/>
              <w:jc w:val="center"/>
              <w:rPr>
                <w:rFonts w:ascii="Times New Roman" w:eastAsia="Times New Roman" w:hAnsi="Times New Roman" w:cs="Times New Roman"/>
                <w:color w:val="000000" w:themeColor="text1"/>
              </w:rPr>
            </w:pPr>
            <w:r w:rsidRPr="00D804D0">
              <w:rPr>
                <w:rFonts w:ascii="Times New Roman" w:eastAsia="Times New Roman" w:hAnsi="Times New Roman" w:cs="Times New Roman"/>
                <w:color w:val="000000" w:themeColor="text1"/>
              </w:rPr>
              <w:t>Oszustwa wewnętrzne</w:t>
            </w:r>
          </w:p>
        </w:tc>
        <w:tc>
          <w:tcPr>
            <w:tcW w:w="1129" w:type="dxa"/>
            <w:vAlign w:val="center"/>
          </w:tcPr>
          <w:p w14:paraId="00622592" w14:textId="77777777" w:rsidR="001A0FC2" w:rsidRPr="00D804D0" w:rsidRDefault="001A0FC2" w:rsidP="00F03B83">
            <w:pPr>
              <w:spacing w:after="0" w:line="240" w:lineRule="auto"/>
              <w:jc w:val="center"/>
              <w:rPr>
                <w:rFonts w:ascii="Times New Roman" w:eastAsia="Times New Roman" w:hAnsi="Times New Roman" w:cs="Times New Roman"/>
                <w:color w:val="000000" w:themeColor="text1"/>
              </w:rPr>
            </w:pPr>
            <w:r w:rsidRPr="00D804D0">
              <w:rPr>
                <w:rFonts w:ascii="Times New Roman" w:eastAsia="Times New Roman" w:hAnsi="Times New Roman" w:cs="Times New Roman"/>
                <w:color w:val="000000" w:themeColor="text1"/>
              </w:rPr>
              <w:t>0</w:t>
            </w:r>
          </w:p>
        </w:tc>
        <w:tc>
          <w:tcPr>
            <w:tcW w:w="3118" w:type="dxa"/>
            <w:shd w:val="clear" w:color="auto" w:fill="auto"/>
            <w:vAlign w:val="center"/>
          </w:tcPr>
          <w:p w14:paraId="5048030B" w14:textId="77777777" w:rsidR="001A0FC2" w:rsidRPr="00D804D0" w:rsidRDefault="001A0FC2" w:rsidP="00F03B83">
            <w:pPr>
              <w:spacing w:after="0" w:line="240" w:lineRule="auto"/>
              <w:jc w:val="center"/>
              <w:rPr>
                <w:rFonts w:ascii="Times New Roman" w:eastAsia="Times New Roman" w:hAnsi="Times New Roman" w:cs="Times New Roman"/>
                <w:color w:val="000000" w:themeColor="text1"/>
              </w:rPr>
            </w:pPr>
            <w:r w:rsidRPr="00D804D0">
              <w:rPr>
                <w:rFonts w:ascii="Times New Roman" w:eastAsia="Times New Roman" w:hAnsi="Times New Roman" w:cs="Times New Roman"/>
                <w:color w:val="000000" w:themeColor="text1"/>
              </w:rPr>
              <w:t>0</w:t>
            </w:r>
          </w:p>
        </w:tc>
      </w:tr>
      <w:tr w:rsidR="001A0FC2" w:rsidRPr="00065790" w14:paraId="7BDB875F" w14:textId="77777777" w:rsidTr="00F03B83">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4DBBD83" w14:textId="77777777" w:rsidR="001A0FC2" w:rsidRPr="00D804D0" w:rsidRDefault="001A0FC2" w:rsidP="00F03B83">
            <w:pPr>
              <w:spacing w:after="0" w:line="240" w:lineRule="auto"/>
              <w:jc w:val="center"/>
              <w:rPr>
                <w:rFonts w:ascii="Times New Roman" w:eastAsia="Times New Roman" w:hAnsi="Times New Roman" w:cs="Times New Roman"/>
                <w:color w:val="000000" w:themeColor="text1"/>
              </w:rPr>
            </w:pPr>
            <w:r w:rsidRPr="00D804D0">
              <w:rPr>
                <w:rFonts w:ascii="Times New Roman" w:eastAsia="Times New Roman" w:hAnsi="Times New Roman" w:cs="Times New Roman"/>
                <w:color w:val="000000" w:themeColor="text1"/>
              </w:rPr>
              <w:t>Oszustwa zewnętrzne</w:t>
            </w:r>
          </w:p>
        </w:tc>
        <w:tc>
          <w:tcPr>
            <w:tcW w:w="1129" w:type="dxa"/>
            <w:vAlign w:val="center"/>
          </w:tcPr>
          <w:p w14:paraId="7D0207A7" w14:textId="77777777" w:rsidR="001A0FC2" w:rsidRPr="00D804D0" w:rsidRDefault="001A0FC2" w:rsidP="00F03B83">
            <w:pPr>
              <w:spacing w:after="0" w:line="240" w:lineRule="auto"/>
              <w:jc w:val="center"/>
              <w:rPr>
                <w:rFonts w:ascii="Times New Roman" w:eastAsia="Times New Roman" w:hAnsi="Times New Roman" w:cs="Times New Roman"/>
                <w:color w:val="000000" w:themeColor="text1"/>
              </w:rPr>
            </w:pPr>
            <w:r w:rsidRPr="00D804D0">
              <w:rPr>
                <w:rFonts w:ascii="Times New Roman" w:eastAsia="Times New Roman" w:hAnsi="Times New Roman" w:cs="Times New Roman"/>
                <w:color w:val="000000" w:themeColor="text1"/>
              </w:rPr>
              <w:t>14</w:t>
            </w:r>
          </w:p>
        </w:tc>
        <w:tc>
          <w:tcPr>
            <w:tcW w:w="3118" w:type="dxa"/>
            <w:shd w:val="clear" w:color="auto" w:fill="auto"/>
            <w:vAlign w:val="center"/>
          </w:tcPr>
          <w:p w14:paraId="51EC934B" w14:textId="77777777" w:rsidR="001A0FC2" w:rsidRPr="00D804D0" w:rsidRDefault="001A0FC2" w:rsidP="00F03B83">
            <w:pPr>
              <w:spacing w:after="0" w:line="240" w:lineRule="auto"/>
              <w:jc w:val="center"/>
              <w:rPr>
                <w:rFonts w:ascii="Times New Roman" w:eastAsia="Times New Roman" w:hAnsi="Times New Roman" w:cs="Times New Roman"/>
                <w:color w:val="000000" w:themeColor="text1"/>
              </w:rPr>
            </w:pPr>
            <w:r w:rsidRPr="00D804D0">
              <w:rPr>
                <w:rFonts w:ascii="Times New Roman" w:eastAsia="Times New Roman" w:hAnsi="Times New Roman" w:cs="Times New Roman"/>
                <w:color w:val="000000" w:themeColor="text1"/>
              </w:rPr>
              <w:t>49 949,66</w:t>
            </w:r>
          </w:p>
        </w:tc>
      </w:tr>
      <w:tr w:rsidR="001A0FC2" w:rsidRPr="00065790" w14:paraId="7E763E31" w14:textId="77777777" w:rsidTr="00F03B83">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FE553A1" w14:textId="77777777" w:rsidR="001A0FC2" w:rsidRPr="00D804D0" w:rsidRDefault="001A0FC2" w:rsidP="00F03B83">
            <w:pPr>
              <w:spacing w:after="0" w:line="240" w:lineRule="auto"/>
              <w:jc w:val="center"/>
              <w:rPr>
                <w:rFonts w:ascii="Times New Roman" w:eastAsia="Times New Roman" w:hAnsi="Times New Roman" w:cs="Times New Roman"/>
                <w:color w:val="000000" w:themeColor="text1"/>
              </w:rPr>
            </w:pPr>
            <w:r w:rsidRPr="00D804D0">
              <w:rPr>
                <w:rFonts w:ascii="Times New Roman" w:eastAsia="Times New Roman" w:hAnsi="Times New Roman" w:cs="Times New Roman"/>
                <w:color w:val="000000" w:themeColor="text1"/>
              </w:rPr>
              <w:t>Zasady dotyczące zatrudnienia oraz bezpieczeństwo w miejscu pracy</w:t>
            </w:r>
          </w:p>
        </w:tc>
        <w:tc>
          <w:tcPr>
            <w:tcW w:w="1129" w:type="dxa"/>
            <w:vAlign w:val="center"/>
          </w:tcPr>
          <w:p w14:paraId="0BC614BE" w14:textId="77777777" w:rsidR="001A0FC2" w:rsidRPr="00D804D0" w:rsidRDefault="001A0FC2" w:rsidP="00F03B83">
            <w:pPr>
              <w:spacing w:after="0" w:line="240" w:lineRule="auto"/>
              <w:jc w:val="center"/>
              <w:rPr>
                <w:rFonts w:ascii="Times New Roman" w:eastAsia="Times New Roman" w:hAnsi="Times New Roman" w:cs="Times New Roman"/>
                <w:color w:val="000000" w:themeColor="text1"/>
              </w:rPr>
            </w:pPr>
            <w:r w:rsidRPr="00D804D0">
              <w:rPr>
                <w:rFonts w:ascii="Times New Roman" w:eastAsia="Times New Roman" w:hAnsi="Times New Roman" w:cs="Times New Roman"/>
                <w:color w:val="000000" w:themeColor="text1"/>
              </w:rPr>
              <w:t>0</w:t>
            </w:r>
          </w:p>
        </w:tc>
        <w:tc>
          <w:tcPr>
            <w:tcW w:w="3118" w:type="dxa"/>
            <w:shd w:val="clear" w:color="auto" w:fill="auto"/>
            <w:vAlign w:val="center"/>
          </w:tcPr>
          <w:p w14:paraId="49167AEA" w14:textId="77777777" w:rsidR="001A0FC2" w:rsidRPr="00D804D0" w:rsidRDefault="001A0FC2" w:rsidP="00F03B83">
            <w:pPr>
              <w:spacing w:after="0" w:line="240" w:lineRule="auto"/>
              <w:jc w:val="center"/>
              <w:rPr>
                <w:rFonts w:ascii="Times New Roman" w:eastAsia="Times New Roman" w:hAnsi="Times New Roman" w:cs="Times New Roman"/>
                <w:color w:val="000000" w:themeColor="text1"/>
              </w:rPr>
            </w:pPr>
            <w:r w:rsidRPr="00D804D0">
              <w:rPr>
                <w:rFonts w:ascii="Times New Roman" w:eastAsia="Times New Roman" w:hAnsi="Times New Roman" w:cs="Times New Roman"/>
                <w:color w:val="000000" w:themeColor="text1"/>
              </w:rPr>
              <w:t>0</w:t>
            </w:r>
          </w:p>
        </w:tc>
      </w:tr>
      <w:tr w:rsidR="001A0FC2" w:rsidRPr="00065790" w14:paraId="48466F80" w14:textId="77777777" w:rsidTr="00F03B83">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93CE02E" w14:textId="77777777" w:rsidR="001A0FC2" w:rsidRPr="00D804D0" w:rsidRDefault="001A0FC2" w:rsidP="00F03B83">
            <w:pPr>
              <w:spacing w:after="0" w:line="240" w:lineRule="auto"/>
              <w:jc w:val="center"/>
              <w:rPr>
                <w:rFonts w:ascii="Times New Roman" w:eastAsia="Times New Roman" w:hAnsi="Times New Roman" w:cs="Times New Roman"/>
                <w:color w:val="000000" w:themeColor="text1"/>
              </w:rPr>
            </w:pPr>
            <w:r w:rsidRPr="00D804D0">
              <w:rPr>
                <w:rFonts w:ascii="Times New Roman" w:eastAsia="Times New Roman" w:hAnsi="Times New Roman" w:cs="Times New Roman"/>
                <w:color w:val="000000" w:themeColor="text1"/>
              </w:rPr>
              <w:lastRenderedPageBreak/>
              <w:t>Klienci, produkty i praktyki operacyjne</w:t>
            </w:r>
          </w:p>
        </w:tc>
        <w:tc>
          <w:tcPr>
            <w:tcW w:w="1129" w:type="dxa"/>
            <w:vAlign w:val="center"/>
          </w:tcPr>
          <w:p w14:paraId="4F70FA49" w14:textId="77777777" w:rsidR="001A0FC2" w:rsidRPr="00D804D0" w:rsidRDefault="001A0FC2" w:rsidP="00F03B83">
            <w:pPr>
              <w:spacing w:after="0" w:line="240" w:lineRule="auto"/>
              <w:jc w:val="center"/>
              <w:rPr>
                <w:rFonts w:ascii="Times New Roman" w:eastAsia="Times New Roman" w:hAnsi="Times New Roman" w:cs="Times New Roman"/>
                <w:color w:val="000000" w:themeColor="text1"/>
              </w:rPr>
            </w:pPr>
            <w:r w:rsidRPr="00D804D0">
              <w:rPr>
                <w:rFonts w:ascii="Times New Roman" w:eastAsia="Times New Roman" w:hAnsi="Times New Roman" w:cs="Times New Roman"/>
                <w:color w:val="000000" w:themeColor="text1"/>
              </w:rPr>
              <w:t>0</w:t>
            </w:r>
          </w:p>
        </w:tc>
        <w:tc>
          <w:tcPr>
            <w:tcW w:w="3118" w:type="dxa"/>
            <w:shd w:val="clear" w:color="auto" w:fill="auto"/>
            <w:vAlign w:val="center"/>
          </w:tcPr>
          <w:p w14:paraId="3C3E977D" w14:textId="77777777" w:rsidR="001A0FC2" w:rsidRPr="00D804D0" w:rsidRDefault="001A0FC2" w:rsidP="00F03B83">
            <w:pPr>
              <w:spacing w:after="0" w:line="240" w:lineRule="auto"/>
              <w:jc w:val="center"/>
              <w:rPr>
                <w:rFonts w:ascii="Times New Roman" w:eastAsia="Times New Roman" w:hAnsi="Times New Roman" w:cs="Times New Roman"/>
                <w:color w:val="000000" w:themeColor="text1"/>
              </w:rPr>
            </w:pPr>
            <w:r w:rsidRPr="00D804D0">
              <w:rPr>
                <w:rFonts w:ascii="Times New Roman" w:eastAsia="Times New Roman" w:hAnsi="Times New Roman" w:cs="Times New Roman"/>
                <w:color w:val="000000" w:themeColor="text1"/>
              </w:rPr>
              <w:t>0</w:t>
            </w:r>
          </w:p>
        </w:tc>
      </w:tr>
      <w:tr w:rsidR="001A0FC2" w:rsidRPr="00065790" w14:paraId="5EB74942" w14:textId="77777777" w:rsidTr="00F03B83">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1305A37" w14:textId="77777777" w:rsidR="001A0FC2" w:rsidRPr="00D804D0" w:rsidRDefault="001A0FC2" w:rsidP="00F03B83">
            <w:pPr>
              <w:spacing w:after="0" w:line="240" w:lineRule="auto"/>
              <w:jc w:val="center"/>
              <w:rPr>
                <w:rFonts w:ascii="Times New Roman" w:eastAsia="Times New Roman" w:hAnsi="Times New Roman" w:cs="Times New Roman"/>
                <w:color w:val="000000" w:themeColor="text1"/>
              </w:rPr>
            </w:pPr>
            <w:r w:rsidRPr="00D804D0">
              <w:rPr>
                <w:rFonts w:ascii="Times New Roman" w:eastAsia="Times New Roman" w:hAnsi="Times New Roman" w:cs="Times New Roman"/>
                <w:color w:val="000000" w:themeColor="text1"/>
              </w:rPr>
              <w:t>Szkody związane z aktywami rzeczowymi</w:t>
            </w:r>
          </w:p>
        </w:tc>
        <w:tc>
          <w:tcPr>
            <w:tcW w:w="1129" w:type="dxa"/>
            <w:vAlign w:val="center"/>
          </w:tcPr>
          <w:p w14:paraId="4701CC38" w14:textId="77777777" w:rsidR="001A0FC2" w:rsidRPr="00D804D0" w:rsidRDefault="001A0FC2" w:rsidP="00F03B83">
            <w:pPr>
              <w:spacing w:after="0" w:line="240" w:lineRule="auto"/>
              <w:jc w:val="center"/>
              <w:rPr>
                <w:rFonts w:ascii="Times New Roman" w:eastAsia="Times New Roman" w:hAnsi="Times New Roman" w:cs="Times New Roman"/>
                <w:color w:val="000000" w:themeColor="text1"/>
              </w:rPr>
            </w:pPr>
            <w:r w:rsidRPr="00D804D0">
              <w:rPr>
                <w:rFonts w:ascii="Times New Roman" w:eastAsia="Times New Roman" w:hAnsi="Times New Roman" w:cs="Times New Roman"/>
                <w:color w:val="000000" w:themeColor="text1"/>
              </w:rPr>
              <w:t>0</w:t>
            </w:r>
          </w:p>
        </w:tc>
        <w:tc>
          <w:tcPr>
            <w:tcW w:w="3118" w:type="dxa"/>
            <w:shd w:val="clear" w:color="auto" w:fill="auto"/>
            <w:vAlign w:val="center"/>
          </w:tcPr>
          <w:p w14:paraId="2B044AD3" w14:textId="77777777" w:rsidR="001A0FC2" w:rsidRPr="00D804D0" w:rsidRDefault="001A0FC2" w:rsidP="00F03B83">
            <w:pPr>
              <w:spacing w:after="0" w:line="240" w:lineRule="auto"/>
              <w:jc w:val="center"/>
              <w:rPr>
                <w:rFonts w:ascii="Times New Roman" w:eastAsia="Times New Roman" w:hAnsi="Times New Roman" w:cs="Times New Roman"/>
                <w:color w:val="000000" w:themeColor="text1"/>
              </w:rPr>
            </w:pPr>
            <w:r w:rsidRPr="00D804D0">
              <w:rPr>
                <w:rFonts w:ascii="Times New Roman" w:eastAsia="Times New Roman" w:hAnsi="Times New Roman" w:cs="Times New Roman"/>
                <w:color w:val="000000" w:themeColor="text1"/>
              </w:rPr>
              <w:t>0</w:t>
            </w:r>
          </w:p>
        </w:tc>
      </w:tr>
      <w:tr w:rsidR="001A0FC2" w:rsidRPr="00065790" w14:paraId="23AC62D9" w14:textId="77777777" w:rsidTr="00F03B83">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8824331" w14:textId="77777777" w:rsidR="001A0FC2" w:rsidRPr="00D804D0" w:rsidRDefault="001A0FC2" w:rsidP="00F03B83">
            <w:pPr>
              <w:spacing w:after="0" w:line="240" w:lineRule="auto"/>
              <w:jc w:val="center"/>
              <w:rPr>
                <w:rFonts w:ascii="Times New Roman" w:eastAsia="Times New Roman" w:hAnsi="Times New Roman" w:cs="Times New Roman"/>
                <w:color w:val="000000" w:themeColor="text1"/>
              </w:rPr>
            </w:pPr>
            <w:r w:rsidRPr="00D804D0">
              <w:rPr>
                <w:rFonts w:ascii="Times New Roman" w:eastAsia="Times New Roman" w:hAnsi="Times New Roman" w:cs="Times New Roman"/>
                <w:color w:val="000000" w:themeColor="text1"/>
              </w:rPr>
              <w:t>Zakłócenia działalności banku i awarie systemów</w:t>
            </w:r>
          </w:p>
        </w:tc>
        <w:tc>
          <w:tcPr>
            <w:tcW w:w="1129" w:type="dxa"/>
            <w:vAlign w:val="center"/>
          </w:tcPr>
          <w:p w14:paraId="78587CF3" w14:textId="77777777" w:rsidR="001A0FC2" w:rsidRPr="00D804D0" w:rsidRDefault="001A0FC2" w:rsidP="00F03B83">
            <w:pPr>
              <w:spacing w:after="0" w:line="240" w:lineRule="auto"/>
              <w:jc w:val="center"/>
              <w:rPr>
                <w:rFonts w:ascii="Times New Roman" w:eastAsia="Times New Roman" w:hAnsi="Times New Roman" w:cs="Times New Roman"/>
                <w:color w:val="000000" w:themeColor="text1"/>
              </w:rPr>
            </w:pPr>
            <w:r w:rsidRPr="00D804D0">
              <w:rPr>
                <w:rFonts w:ascii="Times New Roman" w:eastAsia="Times New Roman" w:hAnsi="Times New Roman" w:cs="Times New Roman"/>
                <w:color w:val="000000" w:themeColor="text1"/>
              </w:rPr>
              <w:t>24</w:t>
            </w:r>
          </w:p>
        </w:tc>
        <w:tc>
          <w:tcPr>
            <w:tcW w:w="3118" w:type="dxa"/>
            <w:shd w:val="clear" w:color="auto" w:fill="auto"/>
            <w:vAlign w:val="center"/>
          </w:tcPr>
          <w:p w14:paraId="75BE616C" w14:textId="77777777" w:rsidR="001A0FC2" w:rsidRPr="00D804D0" w:rsidRDefault="001A0FC2" w:rsidP="00F03B83">
            <w:pPr>
              <w:spacing w:after="0" w:line="240" w:lineRule="auto"/>
              <w:jc w:val="center"/>
              <w:rPr>
                <w:rFonts w:ascii="Times New Roman" w:eastAsia="Times New Roman" w:hAnsi="Times New Roman" w:cs="Times New Roman"/>
                <w:color w:val="000000" w:themeColor="text1"/>
              </w:rPr>
            </w:pPr>
            <w:r w:rsidRPr="00D804D0">
              <w:rPr>
                <w:rFonts w:ascii="Times New Roman" w:eastAsia="Times New Roman" w:hAnsi="Times New Roman" w:cs="Times New Roman"/>
                <w:color w:val="000000" w:themeColor="text1"/>
              </w:rPr>
              <w:t>0</w:t>
            </w:r>
          </w:p>
        </w:tc>
      </w:tr>
      <w:tr w:rsidR="001A0FC2" w:rsidRPr="00065790" w14:paraId="189A871C" w14:textId="77777777" w:rsidTr="00F03B83">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758E6FD" w14:textId="77777777" w:rsidR="001A0FC2" w:rsidRPr="00D804D0" w:rsidRDefault="001A0FC2" w:rsidP="00F03B83">
            <w:pPr>
              <w:spacing w:after="0" w:line="240" w:lineRule="auto"/>
              <w:jc w:val="center"/>
              <w:rPr>
                <w:rFonts w:ascii="Times New Roman" w:eastAsia="Times New Roman" w:hAnsi="Times New Roman" w:cs="Times New Roman"/>
                <w:color w:val="auto"/>
              </w:rPr>
            </w:pPr>
            <w:r w:rsidRPr="00D804D0">
              <w:rPr>
                <w:rFonts w:ascii="Times New Roman" w:eastAsia="Times New Roman" w:hAnsi="Times New Roman" w:cs="Times New Roman"/>
                <w:color w:val="auto"/>
              </w:rPr>
              <w:t>Wykonanie transakcji, dostawa i zarządzanie procesami operacyjnymi</w:t>
            </w:r>
          </w:p>
        </w:tc>
        <w:tc>
          <w:tcPr>
            <w:tcW w:w="1129" w:type="dxa"/>
            <w:vAlign w:val="center"/>
          </w:tcPr>
          <w:p w14:paraId="18A24EAE" w14:textId="77777777" w:rsidR="001A0FC2" w:rsidRPr="00D804D0" w:rsidRDefault="001A0FC2" w:rsidP="00F03B83">
            <w:pPr>
              <w:spacing w:after="0" w:line="240" w:lineRule="auto"/>
              <w:jc w:val="center"/>
              <w:rPr>
                <w:rFonts w:ascii="Times New Roman" w:eastAsia="Times New Roman" w:hAnsi="Times New Roman" w:cs="Times New Roman"/>
                <w:color w:val="auto"/>
              </w:rPr>
            </w:pPr>
            <w:r w:rsidRPr="00D804D0">
              <w:rPr>
                <w:rFonts w:ascii="Times New Roman" w:eastAsia="Times New Roman" w:hAnsi="Times New Roman" w:cs="Times New Roman"/>
                <w:color w:val="auto"/>
              </w:rPr>
              <w:t>122</w:t>
            </w:r>
          </w:p>
        </w:tc>
        <w:tc>
          <w:tcPr>
            <w:tcW w:w="3118" w:type="dxa"/>
            <w:shd w:val="clear" w:color="auto" w:fill="auto"/>
            <w:vAlign w:val="center"/>
          </w:tcPr>
          <w:p w14:paraId="25B129BA" w14:textId="77777777" w:rsidR="001A0FC2" w:rsidRPr="00D804D0" w:rsidRDefault="001A0FC2" w:rsidP="00F03B83">
            <w:pPr>
              <w:spacing w:after="0" w:line="240" w:lineRule="auto"/>
              <w:jc w:val="center"/>
              <w:rPr>
                <w:rFonts w:ascii="Times New Roman" w:eastAsia="Times New Roman" w:hAnsi="Times New Roman" w:cs="Times New Roman"/>
                <w:color w:val="auto"/>
              </w:rPr>
            </w:pPr>
            <w:r w:rsidRPr="00D804D0">
              <w:rPr>
                <w:rFonts w:ascii="Times New Roman" w:eastAsia="Times New Roman" w:hAnsi="Times New Roman" w:cs="Times New Roman"/>
                <w:color w:val="auto"/>
              </w:rPr>
              <w:t>180</w:t>
            </w:r>
          </w:p>
        </w:tc>
      </w:tr>
      <w:tr w:rsidR="001A0FC2" w:rsidRPr="00D804D0" w14:paraId="388BFD68" w14:textId="77777777" w:rsidTr="00F03B83">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B3DFC09" w14:textId="77777777" w:rsidR="001A0FC2" w:rsidRPr="00D804D0" w:rsidRDefault="001A0FC2" w:rsidP="00F03B83">
            <w:pPr>
              <w:spacing w:after="0" w:line="240" w:lineRule="auto"/>
              <w:jc w:val="center"/>
              <w:rPr>
                <w:rFonts w:ascii="Times New Roman" w:eastAsia="Times New Roman" w:hAnsi="Times New Roman" w:cs="Times New Roman"/>
                <w:b/>
                <w:color w:val="000000" w:themeColor="text1"/>
              </w:rPr>
            </w:pPr>
            <w:r w:rsidRPr="00D804D0">
              <w:rPr>
                <w:rFonts w:ascii="Times New Roman" w:eastAsia="Times New Roman" w:hAnsi="Times New Roman" w:cs="Times New Roman"/>
                <w:b/>
                <w:color w:val="000000" w:themeColor="text1"/>
              </w:rPr>
              <w:t>Razem</w:t>
            </w:r>
          </w:p>
        </w:tc>
        <w:tc>
          <w:tcPr>
            <w:tcW w:w="1129" w:type="dxa"/>
            <w:vAlign w:val="center"/>
          </w:tcPr>
          <w:p w14:paraId="13FACE52" w14:textId="77777777" w:rsidR="001A0FC2" w:rsidRPr="00D804D0" w:rsidRDefault="001A0FC2" w:rsidP="00F03B83">
            <w:pPr>
              <w:spacing w:after="0" w:line="240" w:lineRule="auto"/>
              <w:jc w:val="center"/>
              <w:rPr>
                <w:rFonts w:ascii="Times New Roman" w:eastAsia="Times New Roman" w:hAnsi="Times New Roman" w:cs="Times New Roman"/>
                <w:b/>
                <w:color w:val="000000" w:themeColor="text1"/>
              </w:rPr>
            </w:pPr>
            <w:r w:rsidRPr="00D804D0">
              <w:rPr>
                <w:rFonts w:ascii="Times New Roman" w:eastAsia="Times New Roman" w:hAnsi="Times New Roman" w:cs="Times New Roman"/>
                <w:b/>
                <w:color w:val="000000" w:themeColor="text1"/>
              </w:rPr>
              <w:t>160</w:t>
            </w:r>
          </w:p>
        </w:tc>
        <w:tc>
          <w:tcPr>
            <w:tcW w:w="3118" w:type="dxa"/>
            <w:shd w:val="clear" w:color="auto" w:fill="auto"/>
            <w:vAlign w:val="center"/>
          </w:tcPr>
          <w:p w14:paraId="17C9ECBE" w14:textId="77777777" w:rsidR="001A0FC2" w:rsidRPr="00D804D0" w:rsidRDefault="001A0FC2" w:rsidP="00F03B83">
            <w:pPr>
              <w:spacing w:after="0" w:line="24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50 129,66</w:t>
            </w:r>
          </w:p>
        </w:tc>
      </w:tr>
    </w:tbl>
    <w:p w14:paraId="6D854416" w14:textId="77777777" w:rsidR="001A0FC2" w:rsidRPr="00D804D0" w:rsidRDefault="001A0FC2" w:rsidP="001A0FC2">
      <w:pPr>
        <w:pStyle w:val="Nagwek1"/>
        <w:spacing w:after="240" w:line="269" w:lineRule="auto"/>
        <w:ind w:left="-6" w:right="6" w:hanging="11"/>
        <w:rPr>
          <w:rFonts w:ascii="Times New Roman" w:hAnsi="Times New Roman" w:cs="Times New Roman"/>
          <w:color w:val="000000" w:themeColor="text1"/>
        </w:rPr>
      </w:pPr>
    </w:p>
    <w:p w14:paraId="02E9843B" w14:textId="77777777" w:rsidR="00F12A7A" w:rsidRPr="00012543" w:rsidRDefault="00E81BF6" w:rsidP="00DE05EC">
      <w:pPr>
        <w:pStyle w:val="Nagwek1"/>
        <w:spacing w:after="240" w:line="269" w:lineRule="auto"/>
        <w:ind w:left="-6" w:right="6" w:hanging="11"/>
        <w:rPr>
          <w:rFonts w:ascii="Times New Roman" w:hAnsi="Times New Roman" w:cs="Times New Roman"/>
          <w:color w:val="auto"/>
        </w:rPr>
      </w:pPr>
      <w:bookmarkStart w:id="58" w:name="_Toc75336287"/>
      <w:r w:rsidRPr="00012543">
        <w:rPr>
          <w:rFonts w:ascii="Times New Roman" w:hAnsi="Times New Roman" w:cs="Times New Roman"/>
          <w:color w:val="auto"/>
        </w:rPr>
        <w:t>14. Ekspozycje w papierach kapitałowych nieuwzględnionych w portfelu handlowym – art. 447 Rozporządzenia CRR</w:t>
      </w:r>
      <w:bookmarkEnd w:id="58"/>
    </w:p>
    <w:p w14:paraId="26DCA14C" w14:textId="77777777" w:rsidR="00012543" w:rsidRPr="007F07EA" w:rsidRDefault="00012543" w:rsidP="00012543">
      <w:pPr>
        <w:pStyle w:val="Akapitzlist"/>
        <w:numPr>
          <w:ilvl w:val="0"/>
          <w:numId w:val="63"/>
        </w:numPr>
        <w:spacing w:line="276" w:lineRule="auto"/>
        <w:ind w:left="567" w:hanging="283"/>
        <w:jc w:val="both"/>
        <w:rPr>
          <w:rFonts w:eastAsia="Calibri"/>
          <w:sz w:val="24"/>
          <w:szCs w:val="24"/>
        </w:rPr>
      </w:pPr>
      <w:r w:rsidRPr="007F07EA">
        <w:rPr>
          <w:rFonts w:eastAsia="Calibri"/>
          <w:sz w:val="24"/>
          <w:szCs w:val="24"/>
        </w:rPr>
        <w:t>Na dzień 31.12.2</w:t>
      </w:r>
      <w:r>
        <w:rPr>
          <w:rFonts w:eastAsia="Calibri"/>
          <w:sz w:val="24"/>
          <w:szCs w:val="24"/>
        </w:rPr>
        <w:t>020</w:t>
      </w:r>
      <w:r w:rsidRPr="007F07EA">
        <w:rPr>
          <w:rFonts w:eastAsia="Calibri"/>
          <w:sz w:val="24"/>
          <w:szCs w:val="24"/>
        </w:rPr>
        <w:t xml:space="preserve"> r. Warmińsko-Mazurski Bank Spółdzielczy posiadał następujące aktywa finansowe:</w:t>
      </w:r>
    </w:p>
    <w:p w14:paraId="79249AAD" w14:textId="77777777" w:rsidR="00012543" w:rsidRPr="007F07EA" w:rsidRDefault="00012543" w:rsidP="00012543">
      <w:pPr>
        <w:pStyle w:val="Akapitzlist"/>
        <w:spacing w:line="276" w:lineRule="auto"/>
        <w:ind w:left="709" w:hanging="142"/>
        <w:jc w:val="both"/>
        <w:rPr>
          <w:sz w:val="24"/>
          <w:szCs w:val="24"/>
        </w:rPr>
      </w:pPr>
      <w:r w:rsidRPr="007F07EA">
        <w:rPr>
          <w:sz w:val="24"/>
          <w:szCs w:val="24"/>
        </w:rPr>
        <w:t>a) aktywa finansowe wycenione według wartości godziwej przez wynik finansowy w 20</w:t>
      </w:r>
      <w:r>
        <w:rPr>
          <w:sz w:val="24"/>
          <w:szCs w:val="24"/>
        </w:rPr>
        <w:t>20</w:t>
      </w:r>
      <w:r w:rsidRPr="007F07EA">
        <w:rPr>
          <w:sz w:val="24"/>
          <w:szCs w:val="24"/>
        </w:rPr>
        <w:t> r. - nie wystąpiły;</w:t>
      </w:r>
    </w:p>
    <w:p w14:paraId="0C4ED649" w14:textId="77777777" w:rsidR="00012543" w:rsidRPr="007F07EA" w:rsidRDefault="00012543" w:rsidP="00012543">
      <w:pPr>
        <w:pStyle w:val="Akapitzlist"/>
        <w:spacing w:line="276" w:lineRule="auto"/>
        <w:ind w:left="709" w:hanging="142"/>
        <w:jc w:val="both"/>
        <w:rPr>
          <w:sz w:val="24"/>
          <w:szCs w:val="24"/>
        </w:rPr>
      </w:pPr>
      <w:r w:rsidRPr="007F07EA">
        <w:rPr>
          <w:sz w:val="24"/>
          <w:szCs w:val="24"/>
        </w:rPr>
        <w:t>b) aktywa finansowe przeznaczone do obrotu w Banku – nie występują;</w:t>
      </w:r>
    </w:p>
    <w:p w14:paraId="477F76AD" w14:textId="77777777" w:rsidR="00012543" w:rsidRPr="007F07EA" w:rsidRDefault="00012543" w:rsidP="00012543">
      <w:pPr>
        <w:pStyle w:val="Akapitzlist"/>
        <w:spacing w:line="276" w:lineRule="auto"/>
        <w:ind w:left="709" w:hanging="142"/>
        <w:jc w:val="both"/>
        <w:rPr>
          <w:sz w:val="24"/>
          <w:szCs w:val="24"/>
        </w:rPr>
      </w:pPr>
      <w:r w:rsidRPr="007F07EA">
        <w:rPr>
          <w:sz w:val="24"/>
          <w:szCs w:val="24"/>
        </w:rPr>
        <w:t>c) aktywa finansowe utrzymywane do terminu zapadalności – nie występują;</w:t>
      </w:r>
    </w:p>
    <w:p w14:paraId="7FF8A19C" w14:textId="77777777" w:rsidR="00012543" w:rsidRPr="007F07EA" w:rsidRDefault="00012543" w:rsidP="00012543">
      <w:pPr>
        <w:spacing w:after="0" w:line="276" w:lineRule="auto"/>
        <w:ind w:left="850" w:right="6" w:hanging="283"/>
        <w:rPr>
          <w:rFonts w:ascii="Times New Roman" w:hAnsi="Times New Roman" w:cs="Times New Roman"/>
          <w:color w:val="auto"/>
          <w:szCs w:val="24"/>
        </w:rPr>
      </w:pPr>
      <w:r w:rsidRPr="007F07EA">
        <w:rPr>
          <w:rFonts w:ascii="Times New Roman" w:hAnsi="Times New Roman" w:cs="Times New Roman"/>
          <w:color w:val="auto"/>
          <w:szCs w:val="24"/>
        </w:rPr>
        <w:t>d) aktywa finansowe dostępne do sprzedaży:</w:t>
      </w:r>
      <w:r w:rsidRPr="007F07EA">
        <w:rPr>
          <w:rFonts w:ascii="Times New Roman" w:hAnsi="Times New Roman" w:cs="Times New Roman"/>
          <w:color w:val="auto"/>
          <w:szCs w:val="24"/>
        </w:rPr>
        <w:tab/>
      </w:r>
    </w:p>
    <w:p w14:paraId="005CEAEA" w14:textId="77777777" w:rsidR="00012543" w:rsidRPr="007F07EA" w:rsidRDefault="00012543" w:rsidP="00012543">
      <w:pPr>
        <w:spacing w:after="0" w:line="276" w:lineRule="auto"/>
        <w:ind w:left="850" w:right="6" w:hanging="283"/>
        <w:rPr>
          <w:rFonts w:ascii="Times New Roman" w:hAnsi="Times New Roman" w:cs="Times New Roman"/>
          <w:color w:val="auto"/>
          <w:szCs w:val="24"/>
        </w:rPr>
      </w:pPr>
    </w:p>
    <w:tbl>
      <w:tblPr>
        <w:tblW w:w="8600" w:type="dxa"/>
        <w:jc w:val="center"/>
        <w:tblCellMar>
          <w:left w:w="70" w:type="dxa"/>
          <w:right w:w="70" w:type="dxa"/>
        </w:tblCellMar>
        <w:tblLook w:val="04A0" w:firstRow="1" w:lastRow="0" w:firstColumn="1" w:lastColumn="0" w:noHBand="0" w:noVBand="1"/>
      </w:tblPr>
      <w:tblGrid>
        <w:gridCol w:w="520"/>
        <w:gridCol w:w="3940"/>
        <w:gridCol w:w="1920"/>
        <w:gridCol w:w="2220"/>
      </w:tblGrid>
      <w:tr w:rsidR="00012543" w:rsidRPr="00226C81" w14:paraId="77AECC52" w14:textId="77777777" w:rsidTr="0001194F">
        <w:trPr>
          <w:trHeight w:val="552"/>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07ACD59F" w14:textId="77777777" w:rsidR="00012543" w:rsidRPr="00226C81" w:rsidRDefault="00012543" w:rsidP="0001194F">
            <w:pPr>
              <w:spacing w:after="0" w:line="240" w:lineRule="auto"/>
              <w:ind w:left="0" w:right="0" w:firstLine="0"/>
              <w:jc w:val="center"/>
              <w:rPr>
                <w:rFonts w:ascii="Times New Roman" w:eastAsia="Times New Roman" w:hAnsi="Times New Roman" w:cs="Times New Roman"/>
                <w:b/>
                <w:bCs/>
                <w:color w:val="auto"/>
                <w:sz w:val="22"/>
              </w:rPr>
            </w:pPr>
            <w:r w:rsidRPr="00226C81">
              <w:rPr>
                <w:rFonts w:ascii="Times New Roman" w:eastAsia="Times New Roman" w:hAnsi="Times New Roman" w:cs="Times New Roman"/>
                <w:b/>
                <w:bCs/>
                <w:color w:val="auto"/>
                <w:sz w:val="22"/>
              </w:rPr>
              <w:t>Lp.</w:t>
            </w:r>
          </w:p>
        </w:tc>
        <w:tc>
          <w:tcPr>
            <w:tcW w:w="394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0C8BFA9A" w14:textId="77777777" w:rsidR="00012543" w:rsidRPr="00226C81" w:rsidRDefault="00012543" w:rsidP="0001194F">
            <w:pPr>
              <w:spacing w:after="0" w:line="240" w:lineRule="auto"/>
              <w:ind w:left="0" w:right="0" w:firstLine="0"/>
              <w:jc w:val="center"/>
              <w:rPr>
                <w:rFonts w:ascii="Times New Roman" w:eastAsia="Times New Roman" w:hAnsi="Times New Roman" w:cs="Times New Roman"/>
                <w:b/>
                <w:bCs/>
                <w:color w:val="auto"/>
                <w:sz w:val="22"/>
              </w:rPr>
            </w:pPr>
            <w:r w:rsidRPr="00226C81">
              <w:rPr>
                <w:rFonts w:ascii="Times New Roman" w:eastAsia="Times New Roman" w:hAnsi="Times New Roman" w:cs="Times New Roman"/>
                <w:b/>
                <w:bCs/>
                <w:color w:val="auto"/>
                <w:sz w:val="22"/>
              </w:rPr>
              <w:t>Wyszczególnienie</w:t>
            </w:r>
          </w:p>
        </w:tc>
        <w:tc>
          <w:tcPr>
            <w:tcW w:w="1920" w:type="dxa"/>
            <w:tcBorders>
              <w:top w:val="single" w:sz="4" w:space="0" w:color="auto"/>
              <w:left w:val="single" w:sz="4" w:space="0" w:color="auto"/>
              <w:bottom w:val="nil"/>
              <w:right w:val="single" w:sz="4" w:space="0" w:color="auto"/>
            </w:tcBorders>
            <w:shd w:val="clear" w:color="000000" w:fill="BDD7EE"/>
            <w:vAlign w:val="center"/>
            <w:hideMark/>
          </w:tcPr>
          <w:p w14:paraId="71198C85" w14:textId="77777777" w:rsidR="00012543" w:rsidRPr="00226C81" w:rsidRDefault="00012543" w:rsidP="0001194F">
            <w:pPr>
              <w:spacing w:after="0" w:line="240" w:lineRule="auto"/>
              <w:ind w:left="0" w:right="0" w:firstLine="0"/>
              <w:jc w:val="center"/>
              <w:rPr>
                <w:rFonts w:ascii="Times New Roman" w:eastAsia="Times New Roman" w:hAnsi="Times New Roman" w:cs="Times New Roman"/>
                <w:b/>
                <w:bCs/>
                <w:color w:val="auto"/>
                <w:sz w:val="22"/>
              </w:rPr>
            </w:pPr>
            <w:r w:rsidRPr="00226C81">
              <w:rPr>
                <w:rFonts w:ascii="Times New Roman" w:eastAsia="Times New Roman" w:hAnsi="Times New Roman" w:cs="Times New Roman"/>
                <w:b/>
                <w:bCs/>
                <w:color w:val="auto"/>
                <w:sz w:val="22"/>
              </w:rPr>
              <w:t>Wartość bilansowa</w:t>
            </w:r>
            <w:r w:rsidRPr="00226C81">
              <w:rPr>
                <w:rFonts w:ascii="Times New Roman" w:eastAsia="Times New Roman" w:hAnsi="Times New Roman" w:cs="Times New Roman"/>
                <w:b/>
                <w:bCs/>
                <w:color w:val="auto"/>
                <w:sz w:val="22"/>
              </w:rPr>
              <w:br/>
              <w:t xml:space="preserve">(w tys. zł) na dzień </w:t>
            </w:r>
          </w:p>
        </w:tc>
        <w:tc>
          <w:tcPr>
            <w:tcW w:w="2220" w:type="dxa"/>
            <w:tcBorders>
              <w:top w:val="single" w:sz="4" w:space="0" w:color="auto"/>
              <w:left w:val="nil"/>
              <w:bottom w:val="nil"/>
              <w:right w:val="single" w:sz="4" w:space="0" w:color="auto"/>
            </w:tcBorders>
            <w:shd w:val="clear" w:color="000000" w:fill="BDD7EE"/>
            <w:vAlign w:val="center"/>
            <w:hideMark/>
          </w:tcPr>
          <w:p w14:paraId="7C30D02A" w14:textId="77777777" w:rsidR="00012543" w:rsidRPr="00226C81" w:rsidRDefault="00012543" w:rsidP="0001194F">
            <w:pPr>
              <w:spacing w:after="0" w:line="240" w:lineRule="auto"/>
              <w:ind w:left="0" w:right="0" w:firstLine="0"/>
              <w:jc w:val="center"/>
              <w:rPr>
                <w:rFonts w:ascii="Times New Roman" w:eastAsia="Times New Roman" w:hAnsi="Times New Roman" w:cs="Times New Roman"/>
                <w:b/>
                <w:bCs/>
                <w:color w:val="auto"/>
                <w:sz w:val="22"/>
              </w:rPr>
            </w:pPr>
            <w:r w:rsidRPr="00226C81">
              <w:rPr>
                <w:rFonts w:ascii="Times New Roman" w:eastAsia="Times New Roman" w:hAnsi="Times New Roman" w:cs="Times New Roman"/>
                <w:b/>
                <w:bCs/>
                <w:color w:val="auto"/>
                <w:sz w:val="22"/>
              </w:rPr>
              <w:t xml:space="preserve">Wartość bilansowa </w:t>
            </w:r>
            <w:r w:rsidRPr="00226C81">
              <w:rPr>
                <w:rFonts w:ascii="Times New Roman" w:eastAsia="Times New Roman" w:hAnsi="Times New Roman" w:cs="Times New Roman"/>
                <w:b/>
                <w:bCs/>
                <w:color w:val="auto"/>
                <w:sz w:val="22"/>
              </w:rPr>
              <w:br/>
              <w:t xml:space="preserve">(w tys. zł) na dzień </w:t>
            </w:r>
          </w:p>
        </w:tc>
      </w:tr>
      <w:tr w:rsidR="00012543" w:rsidRPr="00226C81" w14:paraId="1CD825B8" w14:textId="77777777" w:rsidTr="0001194F">
        <w:trPr>
          <w:trHeight w:val="288"/>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07E169BE" w14:textId="77777777" w:rsidR="00012543" w:rsidRPr="00226C81" w:rsidRDefault="00012543" w:rsidP="0001194F">
            <w:pPr>
              <w:spacing w:after="0" w:line="240" w:lineRule="auto"/>
              <w:ind w:left="0" w:right="0" w:firstLine="0"/>
              <w:jc w:val="left"/>
              <w:rPr>
                <w:rFonts w:ascii="Times New Roman" w:eastAsia="Times New Roman" w:hAnsi="Times New Roman" w:cs="Times New Roman"/>
                <w:b/>
                <w:bCs/>
                <w:color w:val="auto"/>
                <w:sz w:val="22"/>
              </w:rPr>
            </w:pPr>
          </w:p>
        </w:tc>
        <w:tc>
          <w:tcPr>
            <w:tcW w:w="3940" w:type="dxa"/>
            <w:vMerge/>
            <w:tcBorders>
              <w:top w:val="single" w:sz="4" w:space="0" w:color="auto"/>
              <w:left w:val="single" w:sz="4" w:space="0" w:color="auto"/>
              <w:bottom w:val="single" w:sz="4" w:space="0" w:color="000000"/>
              <w:right w:val="single" w:sz="4" w:space="0" w:color="auto"/>
            </w:tcBorders>
            <w:vAlign w:val="center"/>
            <w:hideMark/>
          </w:tcPr>
          <w:p w14:paraId="6DA24C8D" w14:textId="77777777" w:rsidR="00012543" w:rsidRPr="00226C81" w:rsidRDefault="00012543" w:rsidP="0001194F">
            <w:pPr>
              <w:spacing w:after="0" w:line="240" w:lineRule="auto"/>
              <w:ind w:left="0" w:right="0" w:firstLine="0"/>
              <w:jc w:val="left"/>
              <w:rPr>
                <w:rFonts w:ascii="Times New Roman" w:eastAsia="Times New Roman" w:hAnsi="Times New Roman" w:cs="Times New Roman"/>
                <w:b/>
                <w:bCs/>
                <w:color w:val="auto"/>
                <w:sz w:val="22"/>
              </w:rPr>
            </w:pPr>
          </w:p>
        </w:tc>
        <w:tc>
          <w:tcPr>
            <w:tcW w:w="1920" w:type="dxa"/>
            <w:tcBorders>
              <w:top w:val="nil"/>
              <w:left w:val="nil"/>
              <w:bottom w:val="single" w:sz="4" w:space="0" w:color="auto"/>
              <w:right w:val="single" w:sz="4" w:space="0" w:color="auto"/>
            </w:tcBorders>
            <w:shd w:val="clear" w:color="000000" w:fill="BDD7EE"/>
            <w:vAlign w:val="center"/>
            <w:hideMark/>
          </w:tcPr>
          <w:p w14:paraId="065FB5B6" w14:textId="77777777" w:rsidR="00012543" w:rsidRPr="00226C81" w:rsidRDefault="00012543" w:rsidP="0001194F">
            <w:pPr>
              <w:spacing w:after="0" w:line="240" w:lineRule="auto"/>
              <w:ind w:left="0" w:right="0" w:firstLine="0"/>
              <w:jc w:val="center"/>
              <w:rPr>
                <w:rFonts w:ascii="Times New Roman" w:eastAsia="Times New Roman" w:hAnsi="Times New Roman" w:cs="Times New Roman"/>
                <w:b/>
                <w:bCs/>
                <w:color w:val="auto"/>
                <w:sz w:val="22"/>
              </w:rPr>
            </w:pPr>
            <w:r w:rsidRPr="00226C81">
              <w:rPr>
                <w:rFonts w:ascii="Times New Roman" w:eastAsia="Times New Roman" w:hAnsi="Times New Roman" w:cs="Times New Roman"/>
                <w:b/>
                <w:bCs/>
                <w:color w:val="auto"/>
                <w:sz w:val="22"/>
              </w:rPr>
              <w:t>31.12.2020</w:t>
            </w:r>
          </w:p>
        </w:tc>
        <w:tc>
          <w:tcPr>
            <w:tcW w:w="2220" w:type="dxa"/>
            <w:tcBorders>
              <w:top w:val="nil"/>
              <w:left w:val="nil"/>
              <w:bottom w:val="single" w:sz="4" w:space="0" w:color="auto"/>
              <w:right w:val="single" w:sz="4" w:space="0" w:color="auto"/>
            </w:tcBorders>
            <w:shd w:val="clear" w:color="000000" w:fill="BDD7EE"/>
            <w:vAlign w:val="center"/>
            <w:hideMark/>
          </w:tcPr>
          <w:p w14:paraId="20CABD98" w14:textId="77777777" w:rsidR="00012543" w:rsidRPr="00226C81" w:rsidRDefault="00012543" w:rsidP="0001194F">
            <w:pPr>
              <w:spacing w:after="0" w:line="240" w:lineRule="auto"/>
              <w:ind w:left="0" w:right="0" w:firstLine="0"/>
              <w:jc w:val="center"/>
              <w:rPr>
                <w:rFonts w:ascii="Times New Roman" w:eastAsia="Times New Roman" w:hAnsi="Times New Roman" w:cs="Times New Roman"/>
                <w:b/>
                <w:bCs/>
                <w:color w:val="auto"/>
                <w:sz w:val="22"/>
              </w:rPr>
            </w:pPr>
            <w:r w:rsidRPr="00226C81">
              <w:rPr>
                <w:rFonts w:ascii="Times New Roman" w:eastAsia="Times New Roman" w:hAnsi="Times New Roman" w:cs="Times New Roman"/>
                <w:b/>
                <w:bCs/>
                <w:color w:val="auto"/>
                <w:sz w:val="22"/>
              </w:rPr>
              <w:t>31.12.2019</w:t>
            </w:r>
          </w:p>
        </w:tc>
      </w:tr>
      <w:tr w:rsidR="00012543" w:rsidRPr="00226C81" w14:paraId="6370C744" w14:textId="77777777" w:rsidTr="0001194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B2BD1D8" w14:textId="77777777" w:rsidR="00012543" w:rsidRPr="00226C81" w:rsidRDefault="00012543" w:rsidP="0001194F">
            <w:pPr>
              <w:spacing w:after="0" w:line="240" w:lineRule="auto"/>
              <w:ind w:left="0" w:right="0" w:firstLine="0"/>
              <w:jc w:val="center"/>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1.</w:t>
            </w:r>
          </w:p>
        </w:tc>
        <w:tc>
          <w:tcPr>
            <w:tcW w:w="3940" w:type="dxa"/>
            <w:tcBorders>
              <w:top w:val="nil"/>
              <w:left w:val="nil"/>
              <w:bottom w:val="single" w:sz="4" w:space="0" w:color="auto"/>
              <w:right w:val="single" w:sz="4" w:space="0" w:color="auto"/>
            </w:tcBorders>
            <w:shd w:val="clear" w:color="auto" w:fill="auto"/>
            <w:vAlign w:val="center"/>
            <w:hideMark/>
          </w:tcPr>
          <w:p w14:paraId="4B1E28AE" w14:textId="77777777" w:rsidR="00012543" w:rsidRPr="00226C81" w:rsidRDefault="00012543" w:rsidP="0001194F">
            <w:pPr>
              <w:spacing w:after="0" w:line="240" w:lineRule="auto"/>
              <w:ind w:left="0" w:right="0" w:firstLine="0"/>
              <w:jc w:val="lef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 xml:space="preserve"> Bony pieniężne</w:t>
            </w:r>
          </w:p>
        </w:tc>
        <w:tc>
          <w:tcPr>
            <w:tcW w:w="1920" w:type="dxa"/>
            <w:tcBorders>
              <w:top w:val="nil"/>
              <w:left w:val="nil"/>
              <w:bottom w:val="single" w:sz="4" w:space="0" w:color="auto"/>
              <w:right w:val="single" w:sz="4" w:space="0" w:color="auto"/>
            </w:tcBorders>
            <w:shd w:val="clear" w:color="auto" w:fill="auto"/>
            <w:vAlign w:val="center"/>
            <w:hideMark/>
          </w:tcPr>
          <w:p w14:paraId="5F0B738D"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73 099</w:t>
            </w:r>
          </w:p>
        </w:tc>
        <w:tc>
          <w:tcPr>
            <w:tcW w:w="2220" w:type="dxa"/>
            <w:tcBorders>
              <w:top w:val="nil"/>
              <w:left w:val="nil"/>
              <w:bottom w:val="single" w:sz="4" w:space="0" w:color="auto"/>
              <w:right w:val="single" w:sz="4" w:space="0" w:color="auto"/>
            </w:tcBorders>
            <w:shd w:val="clear" w:color="auto" w:fill="auto"/>
            <w:vAlign w:val="center"/>
            <w:hideMark/>
          </w:tcPr>
          <w:p w14:paraId="555CC7FB"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48 906</w:t>
            </w:r>
          </w:p>
        </w:tc>
      </w:tr>
      <w:tr w:rsidR="00012543" w:rsidRPr="00226C81" w14:paraId="5B8CB20D" w14:textId="77777777" w:rsidTr="0001194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89968CC" w14:textId="77777777" w:rsidR="00012543" w:rsidRPr="00226C81" w:rsidRDefault="00012543" w:rsidP="0001194F">
            <w:pPr>
              <w:spacing w:after="0" w:line="240" w:lineRule="auto"/>
              <w:ind w:left="0" w:right="0" w:firstLine="0"/>
              <w:jc w:val="center"/>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2.</w:t>
            </w:r>
          </w:p>
        </w:tc>
        <w:tc>
          <w:tcPr>
            <w:tcW w:w="3940" w:type="dxa"/>
            <w:tcBorders>
              <w:top w:val="nil"/>
              <w:left w:val="nil"/>
              <w:bottom w:val="single" w:sz="4" w:space="0" w:color="auto"/>
              <w:right w:val="single" w:sz="4" w:space="0" w:color="auto"/>
            </w:tcBorders>
            <w:shd w:val="clear" w:color="auto" w:fill="auto"/>
            <w:vAlign w:val="center"/>
            <w:hideMark/>
          </w:tcPr>
          <w:p w14:paraId="305645EF" w14:textId="77777777" w:rsidR="00012543" w:rsidRPr="00226C81" w:rsidRDefault="00012543" w:rsidP="0001194F">
            <w:pPr>
              <w:spacing w:after="0" w:line="240" w:lineRule="auto"/>
              <w:ind w:left="0" w:right="0" w:firstLine="0"/>
              <w:jc w:val="left"/>
              <w:rPr>
                <w:rFonts w:ascii="Times New Roman" w:eastAsia="Times New Roman" w:hAnsi="Times New Roman" w:cs="Times New Roman"/>
                <w:sz w:val="22"/>
              </w:rPr>
            </w:pPr>
            <w:r w:rsidRPr="00226C81">
              <w:rPr>
                <w:rFonts w:ascii="Times New Roman" w:eastAsia="Times New Roman" w:hAnsi="Times New Roman" w:cs="Times New Roman"/>
                <w:sz w:val="22"/>
              </w:rPr>
              <w:t xml:space="preserve"> Obligacje skarbowe</w:t>
            </w:r>
          </w:p>
        </w:tc>
        <w:tc>
          <w:tcPr>
            <w:tcW w:w="1920" w:type="dxa"/>
            <w:tcBorders>
              <w:top w:val="nil"/>
              <w:left w:val="nil"/>
              <w:bottom w:val="single" w:sz="4" w:space="0" w:color="auto"/>
              <w:right w:val="single" w:sz="4" w:space="0" w:color="auto"/>
            </w:tcBorders>
            <w:shd w:val="clear" w:color="auto" w:fill="auto"/>
            <w:vAlign w:val="center"/>
            <w:hideMark/>
          </w:tcPr>
          <w:p w14:paraId="78C5A3FC"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77 509</w:t>
            </w:r>
          </w:p>
        </w:tc>
        <w:tc>
          <w:tcPr>
            <w:tcW w:w="2220" w:type="dxa"/>
            <w:tcBorders>
              <w:top w:val="nil"/>
              <w:left w:val="nil"/>
              <w:bottom w:val="single" w:sz="4" w:space="0" w:color="auto"/>
              <w:right w:val="single" w:sz="4" w:space="0" w:color="auto"/>
            </w:tcBorders>
            <w:shd w:val="clear" w:color="auto" w:fill="auto"/>
            <w:vAlign w:val="center"/>
            <w:hideMark/>
          </w:tcPr>
          <w:p w14:paraId="5130E34C"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72 068</w:t>
            </w:r>
          </w:p>
        </w:tc>
      </w:tr>
      <w:tr w:rsidR="00012543" w:rsidRPr="00226C81" w14:paraId="3F851A77" w14:textId="77777777" w:rsidTr="0001194F">
        <w:trPr>
          <w:trHeight w:val="552"/>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F977597" w14:textId="77777777" w:rsidR="00012543" w:rsidRPr="00226C81" w:rsidRDefault="00012543" w:rsidP="0001194F">
            <w:pPr>
              <w:spacing w:after="0" w:line="240" w:lineRule="auto"/>
              <w:ind w:left="0" w:right="0" w:firstLine="0"/>
              <w:jc w:val="center"/>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3.</w:t>
            </w:r>
          </w:p>
        </w:tc>
        <w:tc>
          <w:tcPr>
            <w:tcW w:w="3940" w:type="dxa"/>
            <w:tcBorders>
              <w:top w:val="nil"/>
              <w:left w:val="nil"/>
              <w:bottom w:val="single" w:sz="4" w:space="0" w:color="auto"/>
              <w:right w:val="single" w:sz="4" w:space="0" w:color="auto"/>
            </w:tcBorders>
            <w:shd w:val="clear" w:color="auto" w:fill="auto"/>
            <w:vAlign w:val="center"/>
            <w:hideMark/>
          </w:tcPr>
          <w:p w14:paraId="3086E5AB" w14:textId="77777777" w:rsidR="00012543" w:rsidRPr="00226C81" w:rsidRDefault="00012543" w:rsidP="0001194F">
            <w:pPr>
              <w:spacing w:after="0" w:line="240" w:lineRule="auto"/>
              <w:ind w:left="0" w:right="0" w:firstLine="0"/>
              <w:jc w:val="left"/>
              <w:rPr>
                <w:rFonts w:ascii="Times New Roman" w:eastAsia="Times New Roman" w:hAnsi="Times New Roman" w:cs="Times New Roman"/>
                <w:sz w:val="22"/>
              </w:rPr>
            </w:pPr>
            <w:r w:rsidRPr="00226C81">
              <w:rPr>
                <w:rFonts w:ascii="Times New Roman" w:eastAsia="Times New Roman" w:hAnsi="Times New Roman" w:cs="Times New Roman"/>
                <w:sz w:val="22"/>
              </w:rPr>
              <w:t xml:space="preserve"> Obligacje monetarnych instytucji finansowych</w:t>
            </w:r>
          </w:p>
        </w:tc>
        <w:tc>
          <w:tcPr>
            <w:tcW w:w="1920" w:type="dxa"/>
            <w:tcBorders>
              <w:top w:val="nil"/>
              <w:left w:val="nil"/>
              <w:bottom w:val="single" w:sz="4" w:space="0" w:color="auto"/>
              <w:right w:val="single" w:sz="4" w:space="0" w:color="auto"/>
            </w:tcBorders>
            <w:shd w:val="clear" w:color="auto" w:fill="auto"/>
            <w:vAlign w:val="center"/>
            <w:hideMark/>
          </w:tcPr>
          <w:p w14:paraId="4225935C"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25 677</w:t>
            </w:r>
          </w:p>
        </w:tc>
        <w:tc>
          <w:tcPr>
            <w:tcW w:w="2220" w:type="dxa"/>
            <w:tcBorders>
              <w:top w:val="nil"/>
              <w:left w:val="nil"/>
              <w:bottom w:val="single" w:sz="4" w:space="0" w:color="auto"/>
              <w:right w:val="single" w:sz="4" w:space="0" w:color="auto"/>
            </w:tcBorders>
            <w:shd w:val="clear" w:color="auto" w:fill="auto"/>
            <w:vAlign w:val="center"/>
            <w:hideMark/>
          </w:tcPr>
          <w:p w14:paraId="3692F9C7"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0</w:t>
            </w:r>
          </w:p>
        </w:tc>
      </w:tr>
      <w:tr w:rsidR="00012543" w:rsidRPr="00226C81" w14:paraId="6B7F56CE" w14:textId="77777777" w:rsidTr="0001194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0551288" w14:textId="77777777" w:rsidR="00012543" w:rsidRPr="00226C81" w:rsidRDefault="00012543" w:rsidP="0001194F">
            <w:pPr>
              <w:spacing w:after="0" w:line="240" w:lineRule="auto"/>
              <w:ind w:left="0" w:right="0" w:firstLine="0"/>
              <w:jc w:val="center"/>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4.</w:t>
            </w:r>
          </w:p>
        </w:tc>
        <w:tc>
          <w:tcPr>
            <w:tcW w:w="3940" w:type="dxa"/>
            <w:tcBorders>
              <w:top w:val="nil"/>
              <w:left w:val="nil"/>
              <w:bottom w:val="single" w:sz="4" w:space="0" w:color="auto"/>
              <w:right w:val="single" w:sz="4" w:space="0" w:color="auto"/>
            </w:tcBorders>
            <w:shd w:val="clear" w:color="auto" w:fill="auto"/>
            <w:vAlign w:val="center"/>
            <w:hideMark/>
          </w:tcPr>
          <w:p w14:paraId="0AB4DA4E" w14:textId="77777777" w:rsidR="00012543" w:rsidRPr="00226C81" w:rsidRDefault="00012543" w:rsidP="0001194F">
            <w:pPr>
              <w:spacing w:after="0" w:line="240" w:lineRule="auto"/>
              <w:ind w:left="0" w:right="0" w:firstLine="0"/>
              <w:jc w:val="left"/>
              <w:rPr>
                <w:rFonts w:ascii="Times New Roman" w:eastAsia="Times New Roman" w:hAnsi="Times New Roman" w:cs="Times New Roman"/>
                <w:sz w:val="22"/>
              </w:rPr>
            </w:pPr>
            <w:r w:rsidRPr="00226C81">
              <w:rPr>
                <w:rFonts w:ascii="Times New Roman" w:eastAsia="Times New Roman" w:hAnsi="Times New Roman" w:cs="Times New Roman"/>
                <w:sz w:val="22"/>
              </w:rPr>
              <w:t xml:space="preserve"> Obligacje instytucji samorządowych</w:t>
            </w:r>
          </w:p>
        </w:tc>
        <w:tc>
          <w:tcPr>
            <w:tcW w:w="1920" w:type="dxa"/>
            <w:tcBorders>
              <w:top w:val="nil"/>
              <w:left w:val="nil"/>
              <w:bottom w:val="single" w:sz="4" w:space="0" w:color="auto"/>
              <w:right w:val="single" w:sz="4" w:space="0" w:color="auto"/>
            </w:tcBorders>
            <w:shd w:val="clear" w:color="auto" w:fill="auto"/>
            <w:vAlign w:val="center"/>
            <w:hideMark/>
          </w:tcPr>
          <w:p w14:paraId="57278F38"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12 973</w:t>
            </w:r>
          </w:p>
        </w:tc>
        <w:tc>
          <w:tcPr>
            <w:tcW w:w="2220" w:type="dxa"/>
            <w:tcBorders>
              <w:top w:val="nil"/>
              <w:left w:val="nil"/>
              <w:bottom w:val="single" w:sz="4" w:space="0" w:color="auto"/>
              <w:right w:val="single" w:sz="4" w:space="0" w:color="auto"/>
            </w:tcBorders>
            <w:shd w:val="clear" w:color="auto" w:fill="auto"/>
            <w:vAlign w:val="center"/>
            <w:hideMark/>
          </w:tcPr>
          <w:p w14:paraId="23AE299E"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14 491</w:t>
            </w:r>
          </w:p>
        </w:tc>
      </w:tr>
      <w:tr w:rsidR="00012543" w:rsidRPr="00226C81" w14:paraId="2207363D" w14:textId="77777777" w:rsidTr="00012543">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F3216D3" w14:textId="77777777" w:rsidR="00012543" w:rsidRPr="00226C81" w:rsidRDefault="00012543" w:rsidP="0001194F">
            <w:pPr>
              <w:spacing w:after="0" w:line="240" w:lineRule="auto"/>
              <w:ind w:left="0" w:right="0" w:firstLine="0"/>
              <w:jc w:val="center"/>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5.</w:t>
            </w:r>
          </w:p>
        </w:tc>
        <w:tc>
          <w:tcPr>
            <w:tcW w:w="3940" w:type="dxa"/>
            <w:tcBorders>
              <w:top w:val="nil"/>
              <w:left w:val="nil"/>
              <w:bottom w:val="single" w:sz="4" w:space="0" w:color="auto"/>
              <w:right w:val="single" w:sz="4" w:space="0" w:color="auto"/>
            </w:tcBorders>
            <w:shd w:val="clear" w:color="auto" w:fill="auto"/>
            <w:vAlign w:val="center"/>
            <w:hideMark/>
          </w:tcPr>
          <w:p w14:paraId="0FA2450B" w14:textId="77777777" w:rsidR="00012543" w:rsidRPr="00226C81" w:rsidRDefault="00012543" w:rsidP="0001194F">
            <w:pPr>
              <w:spacing w:after="0" w:line="240" w:lineRule="auto"/>
              <w:ind w:left="0" w:right="0" w:firstLine="0"/>
              <w:jc w:val="left"/>
              <w:rPr>
                <w:rFonts w:ascii="Times New Roman" w:eastAsia="Times New Roman" w:hAnsi="Times New Roman" w:cs="Times New Roman"/>
                <w:sz w:val="22"/>
              </w:rPr>
            </w:pPr>
            <w:r w:rsidRPr="00226C81">
              <w:rPr>
                <w:rFonts w:ascii="Times New Roman" w:eastAsia="Times New Roman" w:hAnsi="Times New Roman" w:cs="Times New Roman"/>
                <w:sz w:val="22"/>
              </w:rPr>
              <w:t xml:space="preserve"> Obligacje podmiotów sektora finansowego</w:t>
            </w:r>
          </w:p>
        </w:tc>
        <w:tc>
          <w:tcPr>
            <w:tcW w:w="1920" w:type="dxa"/>
            <w:tcBorders>
              <w:top w:val="nil"/>
              <w:left w:val="nil"/>
              <w:bottom w:val="single" w:sz="4" w:space="0" w:color="auto"/>
              <w:right w:val="single" w:sz="4" w:space="0" w:color="auto"/>
            </w:tcBorders>
            <w:shd w:val="clear" w:color="auto" w:fill="auto"/>
            <w:vAlign w:val="center"/>
            <w:hideMark/>
          </w:tcPr>
          <w:p w14:paraId="5F3F66CC"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16 878</w:t>
            </w:r>
          </w:p>
        </w:tc>
        <w:tc>
          <w:tcPr>
            <w:tcW w:w="2220" w:type="dxa"/>
            <w:tcBorders>
              <w:top w:val="nil"/>
              <w:left w:val="nil"/>
              <w:bottom w:val="single" w:sz="4" w:space="0" w:color="auto"/>
              <w:right w:val="single" w:sz="4" w:space="0" w:color="auto"/>
            </w:tcBorders>
            <w:shd w:val="clear" w:color="auto" w:fill="auto"/>
            <w:vAlign w:val="center"/>
            <w:hideMark/>
          </w:tcPr>
          <w:p w14:paraId="1E579BF8"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4 595</w:t>
            </w:r>
          </w:p>
        </w:tc>
      </w:tr>
      <w:tr w:rsidR="00012543" w:rsidRPr="00226C81" w14:paraId="7B7F2719" w14:textId="77777777" w:rsidTr="00012543">
        <w:trPr>
          <w:trHeight w:val="552"/>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87E08" w14:textId="77777777" w:rsidR="00012543" w:rsidRPr="00226C81" w:rsidRDefault="00012543" w:rsidP="0001194F">
            <w:pPr>
              <w:spacing w:after="0" w:line="240" w:lineRule="auto"/>
              <w:ind w:left="0" w:right="0" w:firstLine="0"/>
              <w:jc w:val="center"/>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6.</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14:paraId="05C7B168" w14:textId="77777777" w:rsidR="00012543" w:rsidRPr="00226C81" w:rsidRDefault="00012543" w:rsidP="0001194F">
            <w:pPr>
              <w:spacing w:after="0" w:line="240" w:lineRule="auto"/>
              <w:ind w:left="0" w:right="0" w:firstLine="0"/>
              <w:jc w:val="left"/>
              <w:rPr>
                <w:rFonts w:ascii="Times New Roman" w:eastAsia="Times New Roman" w:hAnsi="Times New Roman" w:cs="Times New Roman"/>
                <w:sz w:val="22"/>
              </w:rPr>
            </w:pPr>
            <w:r w:rsidRPr="00226C81">
              <w:rPr>
                <w:rFonts w:ascii="Times New Roman" w:eastAsia="Times New Roman" w:hAnsi="Times New Roman" w:cs="Times New Roman"/>
                <w:sz w:val="22"/>
              </w:rPr>
              <w:t xml:space="preserve"> Obligacje podmiotów sektora niefinansowego</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8ED949B"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37 439</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2D6AF67F"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17 456</w:t>
            </w:r>
          </w:p>
        </w:tc>
      </w:tr>
      <w:tr w:rsidR="00012543" w:rsidRPr="00226C81" w14:paraId="3D0BA2EB" w14:textId="77777777" w:rsidTr="0001194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80BD66D" w14:textId="77777777" w:rsidR="00012543" w:rsidRPr="00226C81" w:rsidRDefault="00012543" w:rsidP="0001194F">
            <w:pPr>
              <w:spacing w:after="0" w:line="240" w:lineRule="auto"/>
              <w:ind w:left="0" w:right="0" w:firstLine="0"/>
              <w:jc w:val="center"/>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7.</w:t>
            </w:r>
          </w:p>
        </w:tc>
        <w:tc>
          <w:tcPr>
            <w:tcW w:w="3940" w:type="dxa"/>
            <w:tcBorders>
              <w:top w:val="nil"/>
              <w:left w:val="nil"/>
              <w:bottom w:val="single" w:sz="4" w:space="0" w:color="auto"/>
              <w:right w:val="single" w:sz="4" w:space="0" w:color="auto"/>
            </w:tcBorders>
            <w:shd w:val="clear" w:color="auto" w:fill="auto"/>
            <w:vAlign w:val="center"/>
            <w:hideMark/>
          </w:tcPr>
          <w:p w14:paraId="592E069D" w14:textId="77777777" w:rsidR="00012543" w:rsidRPr="00226C81" w:rsidRDefault="00012543" w:rsidP="0001194F">
            <w:pPr>
              <w:spacing w:after="0" w:line="240" w:lineRule="auto"/>
              <w:ind w:left="0" w:right="0" w:firstLine="0"/>
              <w:jc w:val="left"/>
              <w:rPr>
                <w:rFonts w:ascii="Times New Roman" w:eastAsia="Times New Roman" w:hAnsi="Times New Roman" w:cs="Times New Roman"/>
                <w:sz w:val="22"/>
              </w:rPr>
            </w:pPr>
            <w:r w:rsidRPr="00226C81">
              <w:rPr>
                <w:rFonts w:ascii="Times New Roman" w:eastAsia="Times New Roman" w:hAnsi="Times New Roman" w:cs="Times New Roman"/>
                <w:sz w:val="22"/>
              </w:rPr>
              <w:t xml:space="preserve"> Certyfikaty depozytowe</w:t>
            </w:r>
          </w:p>
        </w:tc>
        <w:tc>
          <w:tcPr>
            <w:tcW w:w="1920" w:type="dxa"/>
            <w:tcBorders>
              <w:top w:val="nil"/>
              <w:left w:val="nil"/>
              <w:bottom w:val="single" w:sz="4" w:space="0" w:color="auto"/>
              <w:right w:val="single" w:sz="4" w:space="0" w:color="auto"/>
            </w:tcBorders>
            <w:shd w:val="clear" w:color="auto" w:fill="auto"/>
            <w:vAlign w:val="center"/>
            <w:hideMark/>
          </w:tcPr>
          <w:p w14:paraId="55C087E8"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0</w:t>
            </w:r>
          </w:p>
        </w:tc>
        <w:tc>
          <w:tcPr>
            <w:tcW w:w="2220" w:type="dxa"/>
            <w:tcBorders>
              <w:top w:val="nil"/>
              <w:left w:val="nil"/>
              <w:bottom w:val="single" w:sz="4" w:space="0" w:color="auto"/>
              <w:right w:val="single" w:sz="4" w:space="0" w:color="auto"/>
            </w:tcBorders>
            <w:shd w:val="clear" w:color="auto" w:fill="auto"/>
            <w:vAlign w:val="center"/>
            <w:hideMark/>
          </w:tcPr>
          <w:p w14:paraId="562AA513"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0</w:t>
            </w:r>
          </w:p>
        </w:tc>
      </w:tr>
      <w:tr w:rsidR="00012543" w:rsidRPr="00226C81" w14:paraId="5D93AC3A" w14:textId="77777777" w:rsidTr="0001194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275E31F" w14:textId="77777777" w:rsidR="00012543" w:rsidRPr="00226C81" w:rsidRDefault="00012543" w:rsidP="0001194F">
            <w:pPr>
              <w:spacing w:after="0" w:line="240" w:lineRule="auto"/>
              <w:ind w:left="0" w:right="0" w:firstLine="0"/>
              <w:jc w:val="center"/>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8.</w:t>
            </w:r>
          </w:p>
        </w:tc>
        <w:tc>
          <w:tcPr>
            <w:tcW w:w="3940" w:type="dxa"/>
            <w:tcBorders>
              <w:top w:val="nil"/>
              <w:left w:val="nil"/>
              <w:bottom w:val="single" w:sz="4" w:space="0" w:color="auto"/>
              <w:right w:val="single" w:sz="4" w:space="0" w:color="auto"/>
            </w:tcBorders>
            <w:shd w:val="clear" w:color="auto" w:fill="auto"/>
            <w:vAlign w:val="center"/>
            <w:hideMark/>
          </w:tcPr>
          <w:p w14:paraId="7F96D641" w14:textId="77777777" w:rsidR="00012543" w:rsidRPr="00226C81" w:rsidRDefault="00012543" w:rsidP="0001194F">
            <w:pPr>
              <w:spacing w:after="0" w:line="240" w:lineRule="auto"/>
              <w:ind w:left="0" w:right="0" w:firstLine="0"/>
              <w:jc w:val="left"/>
              <w:rPr>
                <w:rFonts w:ascii="Times New Roman" w:eastAsia="Times New Roman" w:hAnsi="Times New Roman" w:cs="Times New Roman"/>
                <w:sz w:val="22"/>
              </w:rPr>
            </w:pPr>
            <w:r w:rsidRPr="00226C81">
              <w:rPr>
                <w:rFonts w:ascii="Times New Roman" w:eastAsia="Times New Roman" w:hAnsi="Times New Roman" w:cs="Times New Roman"/>
                <w:sz w:val="22"/>
              </w:rPr>
              <w:t>Akcje banków</w:t>
            </w:r>
          </w:p>
        </w:tc>
        <w:tc>
          <w:tcPr>
            <w:tcW w:w="1920" w:type="dxa"/>
            <w:tcBorders>
              <w:top w:val="nil"/>
              <w:left w:val="nil"/>
              <w:bottom w:val="single" w:sz="4" w:space="0" w:color="auto"/>
              <w:right w:val="single" w:sz="4" w:space="0" w:color="auto"/>
            </w:tcBorders>
            <w:shd w:val="clear" w:color="auto" w:fill="auto"/>
            <w:vAlign w:val="center"/>
            <w:hideMark/>
          </w:tcPr>
          <w:p w14:paraId="58A66C15"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5 956</w:t>
            </w:r>
          </w:p>
        </w:tc>
        <w:tc>
          <w:tcPr>
            <w:tcW w:w="2220" w:type="dxa"/>
            <w:tcBorders>
              <w:top w:val="nil"/>
              <w:left w:val="nil"/>
              <w:bottom w:val="single" w:sz="4" w:space="0" w:color="auto"/>
              <w:right w:val="single" w:sz="4" w:space="0" w:color="auto"/>
            </w:tcBorders>
            <w:shd w:val="clear" w:color="auto" w:fill="auto"/>
            <w:vAlign w:val="center"/>
            <w:hideMark/>
          </w:tcPr>
          <w:p w14:paraId="038D44C3"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5 956</w:t>
            </w:r>
          </w:p>
        </w:tc>
      </w:tr>
      <w:tr w:rsidR="00012543" w:rsidRPr="00226C81" w14:paraId="68574A0F" w14:textId="77777777" w:rsidTr="0001194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543208A" w14:textId="77777777" w:rsidR="00012543" w:rsidRPr="00226C81" w:rsidRDefault="00012543" w:rsidP="0001194F">
            <w:pPr>
              <w:spacing w:after="0" w:line="240" w:lineRule="auto"/>
              <w:ind w:left="0" w:right="0" w:firstLine="0"/>
              <w:jc w:val="center"/>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9.</w:t>
            </w:r>
          </w:p>
        </w:tc>
        <w:tc>
          <w:tcPr>
            <w:tcW w:w="3940" w:type="dxa"/>
            <w:tcBorders>
              <w:top w:val="nil"/>
              <w:left w:val="nil"/>
              <w:bottom w:val="single" w:sz="4" w:space="0" w:color="auto"/>
              <w:right w:val="single" w:sz="4" w:space="0" w:color="auto"/>
            </w:tcBorders>
            <w:shd w:val="clear" w:color="auto" w:fill="auto"/>
            <w:vAlign w:val="center"/>
            <w:hideMark/>
          </w:tcPr>
          <w:p w14:paraId="7B43FE15" w14:textId="77777777" w:rsidR="00012543" w:rsidRPr="00226C81" w:rsidRDefault="00012543" w:rsidP="0001194F">
            <w:pPr>
              <w:spacing w:after="0" w:line="240" w:lineRule="auto"/>
              <w:ind w:left="0" w:right="0" w:firstLine="0"/>
              <w:jc w:val="left"/>
              <w:rPr>
                <w:rFonts w:ascii="Times New Roman" w:eastAsia="Times New Roman" w:hAnsi="Times New Roman" w:cs="Times New Roman"/>
                <w:sz w:val="22"/>
              </w:rPr>
            </w:pPr>
            <w:r w:rsidRPr="00226C81">
              <w:rPr>
                <w:rFonts w:ascii="Times New Roman" w:eastAsia="Times New Roman" w:hAnsi="Times New Roman" w:cs="Times New Roman"/>
                <w:sz w:val="22"/>
              </w:rPr>
              <w:t>Jednostki uczestnictwa</w:t>
            </w:r>
          </w:p>
        </w:tc>
        <w:tc>
          <w:tcPr>
            <w:tcW w:w="1920" w:type="dxa"/>
            <w:tcBorders>
              <w:top w:val="nil"/>
              <w:left w:val="nil"/>
              <w:bottom w:val="single" w:sz="4" w:space="0" w:color="auto"/>
              <w:right w:val="single" w:sz="4" w:space="0" w:color="auto"/>
            </w:tcBorders>
            <w:shd w:val="clear" w:color="auto" w:fill="auto"/>
            <w:vAlign w:val="center"/>
            <w:hideMark/>
          </w:tcPr>
          <w:p w14:paraId="7A77756B"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0</w:t>
            </w:r>
          </w:p>
        </w:tc>
        <w:tc>
          <w:tcPr>
            <w:tcW w:w="2220" w:type="dxa"/>
            <w:tcBorders>
              <w:top w:val="nil"/>
              <w:left w:val="nil"/>
              <w:bottom w:val="single" w:sz="4" w:space="0" w:color="auto"/>
              <w:right w:val="single" w:sz="4" w:space="0" w:color="auto"/>
            </w:tcBorders>
            <w:shd w:val="clear" w:color="auto" w:fill="auto"/>
            <w:vAlign w:val="center"/>
            <w:hideMark/>
          </w:tcPr>
          <w:p w14:paraId="53E08B92"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2 301</w:t>
            </w:r>
          </w:p>
        </w:tc>
      </w:tr>
      <w:tr w:rsidR="00012543" w:rsidRPr="00226C81" w14:paraId="011AA3FE" w14:textId="77777777" w:rsidTr="0001194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7C12279" w14:textId="77777777" w:rsidR="00012543" w:rsidRPr="00226C81" w:rsidRDefault="00012543" w:rsidP="0001194F">
            <w:pPr>
              <w:spacing w:after="0" w:line="240" w:lineRule="auto"/>
              <w:ind w:left="0" w:right="0" w:firstLine="0"/>
              <w:jc w:val="center"/>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10.</w:t>
            </w:r>
          </w:p>
        </w:tc>
        <w:tc>
          <w:tcPr>
            <w:tcW w:w="3940" w:type="dxa"/>
            <w:tcBorders>
              <w:top w:val="nil"/>
              <w:left w:val="nil"/>
              <w:bottom w:val="single" w:sz="4" w:space="0" w:color="auto"/>
              <w:right w:val="single" w:sz="4" w:space="0" w:color="auto"/>
            </w:tcBorders>
            <w:shd w:val="clear" w:color="auto" w:fill="auto"/>
            <w:vAlign w:val="center"/>
            <w:hideMark/>
          </w:tcPr>
          <w:p w14:paraId="475473EB" w14:textId="77777777" w:rsidR="00012543" w:rsidRPr="00226C81" w:rsidRDefault="00012543" w:rsidP="0001194F">
            <w:pPr>
              <w:spacing w:after="0" w:line="240" w:lineRule="auto"/>
              <w:ind w:left="0" w:right="0" w:firstLine="0"/>
              <w:jc w:val="left"/>
              <w:rPr>
                <w:rFonts w:ascii="Times New Roman" w:eastAsia="Times New Roman" w:hAnsi="Times New Roman" w:cs="Times New Roman"/>
                <w:sz w:val="22"/>
              </w:rPr>
            </w:pPr>
            <w:r w:rsidRPr="00226C81">
              <w:rPr>
                <w:rFonts w:ascii="Times New Roman" w:eastAsia="Times New Roman" w:hAnsi="Times New Roman" w:cs="Times New Roman"/>
                <w:sz w:val="22"/>
              </w:rPr>
              <w:t>Certyfikaty inwestycyjne</w:t>
            </w:r>
          </w:p>
        </w:tc>
        <w:tc>
          <w:tcPr>
            <w:tcW w:w="1920" w:type="dxa"/>
            <w:tcBorders>
              <w:top w:val="nil"/>
              <w:left w:val="nil"/>
              <w:bottom w:val="single" w:sz="4" w:space="0" w:color="auto"/>
              <w:right w:val="single" w:sz="4" w:space="0" w:color="auto"/>
            </w:tcBorders>
            <w:shd w:val="clear" w:color="auto" w:fill="auto"/>
            <w:vAlign w:val="center"/>
            <w:hideMark/>
          </w:tcPr>
          <w:p w14:paraId="0DEFD0DF"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0</w:t>
            </w:r>
          </w:p>
        </w:tc>
        <w:tc>
          <w:tcPr>
            <w:tcW w:w="2220" w:type="dxa"/>
            <w:tcBorders>
              <w:top w:val="nil"/>
              <w:left w:val="nil"/>
              <w:bottom w:val="single" w:sz="4" w:space="0" w:color="auto"/>
              <w:right w:val="single" w:sz="4" w:space="0" w:color="auto"/>
            </w:tcBorders>
            <w:shd w:val="clear" w:color="auto" w:fill="auto"/>
            <w:vAlign w:val="center"/>
            <w:hideMark/>
          </w:tcPr>
          <w:p w14:paraId="442CADF7"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0</w:t>
            </w:r>
          </w:p>
        </w:tc>
      </w:tr>
      <w:tr w:rsidR="00012543" w:rsidRPr="00226C81" w14:paraId="4BF77E6C" w14:textId="77777777" w:rsidTr="0001194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611F0C8" w14:textId="77777777" w:rsidR="00012543" w:rsidRPr="00226C81" w:rsidRDefault="00012543" w:rsidP="0001194F">
            <w:pPr>
              <w:spacing w:after="0" w:line="240" w:lineRule="auto"/>
              <w:ind w:left="0" w:right="0" w:firstLine="0"/>
              <w:jc w:val="center"/>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11.</w:t>
            </w:r>
          </w:p>
        </w:tc>
        <w:tc>
          <w:tcPr>
            <w:tcW w:w="3940" w:type="dxa"/>
            <w:tcBorders>
              <w:top w:val="nil"/>
              <w:left w:val="nil"/>
              <w:bottom w:val="single" w:sz="4" w:space="0" w:color="auto"/>
              <w:right w:val="single" w:sz="4" w:space="0" w:color="auto"/>
            </w:tcBorders>
            <w:shd w:val="clear" w:color="auto" w:fill="auto"/>
            <w:vAlign w:val="center"/>
            <w:hideMark/>
          </w:tcPr>
          <w:p w14:paraId="294F1AA0" w14:textId="77777777" w:rsidR="00012543" w:rsidRPr="00226C81" w:rsidRDefault="00012543" w:rsidP="0001194F">
            <w:pPr>
              <w:spacing w:after="0" w:line="240" w:lineRule="auto"/>
              <w:ind w:left="0" w:right="0" w:firstLine="0"/>
              <w:jc w:val="left"/>
              <w:rPr>
                <w:rFonts w:ascii="Times New Roman" w:eastAsia="Times New Roman" w:hAnsi="Times New Roman" w:cs="Times New Roman"/>
                <w:sz w:val="22"/>
              </w:rPr>
            </w:pPr>
            <w:r w:rsidRPr="00226C81">
              <w:rPr>
                <w:rFonts w:ascii="Times New Roman" w:eastAsia="Times New Roman" w:hAnsi="Times New Roman" w:cs="Times New Roman"/>
                <w:sz w:val="22"/>
              </w:rPr>
              <w:t>pozostałe</w:t>
            </w:r>
          </w:p>
        </w:tc>
        <w:tc>
          <w:tcPr>
            <w:tcW w:w="1920" w:type="dxa"/>
            <w:tcBorders>
              <w:top w:val="nil"/>
              <w:left w:val="nil"/>
              <w:bottom w:val="single" w:sz="4" w:space="0" w:color="auto"/>
              <w:right w:val="single" w:sz="4" w:space="0" w:color="auto"/>
            </w:tcBorders>
            <w:shd w:val="clear" w:color="auto" w:fill="auto"/>
            <w:vAlign w:val="center"/>
            <w:hideMark/>
          </w:tcPr>
          <w:p w14:paraId="5ABD35C7"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128</w:t>
            </w:r>
          </w:p>
        </w:tc>
        <w:tc>
          <w:tcPr>
            <w:tcW w:w="2220" w:type="dxa"/>
            <w:tcBorders>
              <w:top w:val="nil"/>
              <w:left w:val="nil"/>
              <w:bottom w:val="single" w:sz="4" w:space="0" w:color="auto"/>
              <w:right w:val="single" w:sz="4" w:space="0" w:color="auto"/>
            </w:tcBorders>
            <w:shd w:val="clear" w:color="auto" w:fill="auto"/>
            <w:vAlign w:val="center"/>
            <w:hideMark/>
          </w:tcPr>
          <w:p w14:paraId="27C50257"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128</w:t>
            </w:r>
          </w:p>
        </w:tc>
      </w:tr>
      <w:tr w:rsidR="00012543" w:rsidRPr="00226C81" w14:paraId="579AA62B" w14:textId="77777777" w:rsidTr="0001194F">
        <w:trPr>
          <w:trHeight w:val="288"/>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0B9E5A0" w14:textId="77777777" w:rsidR="00012543" w:rsidRPr="00226C81" w:rsidRDefault="00012543" w:rsidP="0001194F">
            <w:pPr>
              <w:spacing w:after="0" w:line="240" w:lineRule="auto"/>
              <w:ind w:left="0" w:right="0" w:firstLine="0"/>
              <w:jc w:val="center"/>
              <w:rPr>
                <w:rFonts w:ascii="Times New Roman" w:eastAsia="Times New Roman" w:hAnsi="Times New Roman" w:cs="Times New Roman"/>
                <w:color w:val="auto"/>
                <w:sz w:val="22"/>
              </w:rPr>
            </w:pPr>
            <w:r w:rsidRPr="00226C81">
              <w:rPr>
                <w:rFonts w:ascii="Times New Roman" w:eastAsia="Times New Roman" w:hAnsi="Times New Roman" w:cs="Times New Roman"/>
                <w:color w:val="auto"/>
                <w:sz w:val="22"/>
              </w:rPr>
              <w:t> </w:t>
            </w:r>
          </w:p>
        </w:tc>
        <w:tc>
          <w:tcPr>
            <w:tcW w:w="3940" w:type="dxa"/>
            <w:tcBorders>
              <w:top w:val="nil"/>
              <w:left w:val="nil"/>
              <w:bottom w:val="single" w:sz="4" w:space="0" w:color="auto"/>
              <w:right w:val="single" w:sz="4" w:space="0" w:color="auto"/>
            </w:tcBorders>
            <w:shd w:val="clear" w:color="auto" w:fill="auto"/>
            <w:vAlign w:val="center"/>
            <w:hideMark/>
          </w:tcPr>
          <w:p w14:paraId="26AB16A6" w14:textId="77777777" w:rsidR="00012543" w:rsidRPr="00226C81" w:rsidRDefault="00012543" w:rsidP="0001194F">
            <w:pPr>
              <w:spacing w:after="0" w:line="240" w:lineRule="auto"/>
              <w:ind w:left="0" w:right="0" w:firstLine="0"/>
              <w:jc w:val="center"/>
              <w:rPr>
                <w:rFonts w:ascii="Times New Roman" w:eastAsia="Times New Roman" w:hAnsi="Times New Roman" w:cs="Times New Roman"/>
                <w:b/>
                <w:bCs/>
                <w:sz w:val="22"/>
              </w:rPr>
            </w:pPr>
            <w:r w:rsidRPr="00226C81">
              <w:rPr>
                <w:rFonts w:ascii="Times New Roman" w:eastAsia="Times New Roman" w:hAnsi="Times New Roman" w:cs="Times New Roman"/>
                <w:b/>
                <w:bCs/>
                <w:sz w:val="22"/>
              </w:rPr>
              <w:t>RAZEM:</w:t>
            </w:r>
          </w:p>
        </w:tc>
        <w:tc>
          <w:tcPr>
            <w:tcW w:w="1920" w:type="dxa"/>
            <w:tcBorders>
              <w:top w:val="nil"/>
              <w:left w:val="nil"/>
              <w:bottom w:val="single" w:sz="4" w:space="0" w:color="auto"/>
              <w:right w:val="single" w:sz="4" w:space="0" w:color="auto"/>
            </w:tcBorders>
            <w:shd w:val="clear" w:color="auto" w:fill="auto"/>
            <w:vAlign w:val="center"/>
            <w:hideMark/>
          </w:tcPr>
          <w:p w14:paraId="0C90AAF6"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b/>
                <w:bCs/>
                <w:color w:val="auto"/>
                <w:sz w:val="22"/>
              </w:rPr>
            </w:pPr>
            <w:r w:rsidRPr="00226C81">
              <w:rPr>
                <w:rFonts w:ascii="Times New Roman" w:eastAsia="Times New Roman" w:hAnsi="Times New Roman" w:cs="Times New Roman"/>
                <w:b/>
                <w:bCs/>
                <w:color w:val="auto"/>
                <w:sz w:val="22"/>
              </w:rPr>
              <w:t>249 658</w:t>
            </w:r>
          </w:p>
        </w:tc>
        <w:tc>
          <w:tcPr>
            <w:tcW w:w="2220" w:type="dxa"/>
            <w:tcBorders>
              <w:top w:val="nil"/>
              <w:left w:val="nil"/>
              <w:bottom w:val="single" w:sz="4" w:space="0" w:color="auto"/>
              <w:right w:val="single" w:sz="4" w:space="0" w:color="auto"/>
            </w:tcBorders>
            <w:shd w:val="clear" w:color="auto" w:fill="auto"/>
            <w:vAlign w:val="center"/>
            <w:hideMark/>
          </w:tcPr>
          <w:p w14:paraId="24FB4BE0" w14:textId="77777777" w:rsidR="00012543" w:rsidRPr="00226C81" w:rsidRDefault="00012543" w:rsidP="0001194F">
            <w:pPr>
              <w:spacing w:after="0" w:line="240" w:lineRule="auto"/>
              <w:ind w:left="0" w:right="0" w:firstLine="0"/>
              <w:jc w:val="right"/>
              <w:rPr>
                <w:rFonts w:ascii="Times New Roman" w:eastAsia="Times New Roman" w:hAnsi="Times New Roman" w:cs="Times New Roman"/>
                <w:b/>
                <w:bCs/>
                <w:color w:val="auto"/>
                <w:sz w:val="22"/>
              </w:rPr>
            </w:pPr>
            <w:r w:rsidRPr="00226C81">
              <w:rPr>
                <w:rFonts w:ascii="Times New Roman" w:eastAsia="Times New Roman" w:hAnsi="Times New Roman" w:cs="Times New Roman"/>
                <w:b/>
                <w:bCs/>
                <w:color w:val="auto"/>
                <w:sz w:val="22"/>
              </w:rPr>
              <w:t>165 900</w:t>
            </w:r>
          </w:p>
        </w:tc>
      </w:tr>
    </w:tbl>
    <w:p w14:paraId="62E598A2" w14:textId="77777777" w:rsidR="00012543" w:rsidRPr="007F07EA" w:rsidRDefault="00012543" w:rsidP="00012543">
      <w:pPr>
        <w:spacing w:after="0" w:line="276" w:lineRule="auto"/>
        <w:ind w:left="850" w:right="6" w:hanging="283"/>
        <w:rPr>
          <w:rFonts w:ascii="Times New Roman" w:hAnsi="Times New Roman" w:cs="Times New Roman"/>
          <w:color w:val="auto"/>
          <w:szCs w:val="24"/>
        </w:rPr>
      </w:pPr>
    </w:p>
    <w:p w14:paraId="1D1D76F7" w14:textId="77777777" w:rsidR="00012543" w:rsidRPr="007F07EA" w:rsidRDefault="00012543" w:rsidP="00012543">
      <w:pPr>
        <w:pStyle w:val="Akapitzlist"/>
        <w:spacing w:line="276" w:lineRule="auto"/>
        <w:ind w:left="567"/>
        <w:jc w:val="both"/>
        <w:rPr>
          <w:sz w:val="24"/>
          <w:szCs w:val="24"/>
        </w:rPr>
      </w:pPr>
      <w:r w:rsidRPr="007F07EA">
        <w:rPr>
          <w:sz w:val="24"/>
          <w:szCs w:val="24"/>
        </w:rPr>
        <w:t>W wartości rynkowej wyceniono obligacje skarbowe , obligacje PKO BH</w:t>
      </w:r>
      <w:r>
        <w:rPr>
          <w:sz w:val="24"/>
          <w:szCs w:val="24"/>
        </w:rPr>
        <w:t xml:space="preserve"> , PFR , BGK</w:t>
      </w:r>
      <w:r w:rsidRPr="007F07EA">
        <w:rPr>
          <w:sz w:val="24"/>
          <w:szCs w:val="24"/>
        </w:rPr>
        <w:t xml:space="preserve"> oraz obligacje komercyjne PKN ORLEN S.A., które są notowane na aktywnym rynku (GPW). </w:t>
      </w:r>
      <w:r w:rsidRPr="007F07EA">
        <w:rPr>
          <w:sz w:val="24"/>
          <w:szCs w:val="24"/>
        </w:rPr>
        <w:lastRenderedPageBreak/>
        <w:t>Regulację wyceny obligacji skarbowych w  wysokości</w:t>
      </w:r>
      <w:r>
        <w:rPr>
          <w:sz w:val="24"/>
          <w:szCs w:val="24"/>
        </w:rPr>
        <w:t xml:space="preserve"> 2 024</w:t>
      </w:r>
      <w:r w:rsidRPr="007F07EA">
        <w:rPr>
          <w:sz w:val="24"/>
          <w:szCs w:val="24"/>
        </w:rPr>
        <w:t xml:space="preserve"> tys. zł, obligacji PKO BH </w:t>
      </w:r>
      <w:r>
        <w:rPr>
          <w:sz w:val="24"/>
          <w:szCs w:val="24"/>
        </w:rPr>
        <w:t xml:space="preserve">i Banku BGK </w:t>
      </w:r>
      <w:r w:rsidRPr="007F07EA">
        <w:rPr>
          <w:sz w:val="24"/>
          <w:szCs w:val="24"/>
        </w:rPr>
        <w:t xml:space="preserve">w wysokości </w:t>
      </w:r>
      <w:r>
        <w:rPr>
          <w:sz w:val="24"/>
          <w:szCs w:val="24"/>
        </w:rPr>
        <w:t>312</w:t>
      </w:r>
      <w:r w:rsidRPr="007F07EA">
        <w:rPr>
          <w:sz w:val="24"/>
          <w:szCs w:val="24"/>
        </w:rPr>
        <w:t xml:space="preserve"> tys. zł, </w:t>
      </w:r>
      <w:r>
        <w:rPr>
          <w:sz w:val="24"/>
          <w:szCs w:val="24"/>
        </w:rPr>
        <w:t xml:space="preserve">obligacji PFR </w:t>
      </w:r>
      <w:r w:rsidRPr="007F07EA">
        <w:rPr>
          <w:sz w:val="24"/>
          <w:szCs w:val="24"/>
        </w:rPr>
        <w:t xml:space="preserve">obligacji </w:t>
      </w:r>
      <w:r>
        <w:rPr>
          <w:sz w:val="24"/>
          <w:szCs w:val="24"/>
        </w:rPr>
        <w:t xml:space="preserve">PFR i </w:t>
      </w:r>
      <w:r w:rsidRPr="007F07EA">
        <w:rPr>
          <w:sz w:val="24"/>
          <w:szCs w:val="24"/>
        </w:rPr>
        <w:t>PKN ORLEN SA w wysokości</w:t>
      </w:r>
      <w:r>
        <w:rPr>
          <w:sz w:val="24"/>
          <w:szCs w:val="24"/>
        </w:rPr>
        <w:t xml:space="preserve"> 119</w:t>
      </w:r>
      <w:r w:rsidRPr="007F07EA">
        <w:rPr>
          <w:sz w:val="24"/>
          <w:szCs w:val="24"/>
        </w:rPr>
        <w:t> tys. zł (różnica między wartością obligacji wg ceny nabycia a  wartością akcji wg ceny rynkowej na dzień 31.12.20</w:t>
      </w:r>
      <w:r>
        <w:rPr>
          <w:sz w:val="24"/>
          <w:szCs w:val="24"/>
        </w:rPr>
        <w:t>20</w:t>
      </w:r>
      <w:r w:rsidRPr="007F07EA">
        <w:rPr>
          <w:sz w:val="24"/>
          <w:szCs w:val="24"/>
        </w:rPr>
        <w:t xml:space="preserve"> r.) wykonano poprzez fundusz z aktualizacji wyceny.</w:t>
      </w:r>
    </w:p>
    <w:p w14:paraId="0E699BBA" w14:textId="77777777" w:rsidR="00012543" w:rsidRPr="007F07EA" w:rsidRDefault="00012543" w:rsidP="00012543">
      <w:pPr>
        <w:pStyle w:val="Akapitzlist"/>
        <w:spacing w:line="276" w:lineRule="auto"/>
        <w:ind w:left="567"/>
        <w:jc w:val="both"/>
        <w:rPr>
          <w:sz w:val="24"/>
          <w:szCs w:val="24"/>
        </w:rPr>
      </w:pPr>
    </w:p>
    <w:p w14:paraId="0487F8AE" w14:textId="77777777" w:rsidR="00012543" w:rsidRPr="007F07EA" w:rsidRDefault="00012543" w:rsidP="00012543">
      <w:pPr>
        <w:pStyle w:val="Akapitzlist"/>
        <w:spacing w:line="276" w:lineRule="auto"/>
        <w:ind w:left="567"/>
        <w:jc w:val="both"/>
        <w:rPr>
          <w:sz w:val="24"/>
          <w:szCs w:val="24"/>
        </w:rPr>
      </w:pPr>
      <w:r w:rsidRPr="007F07EA">
        <w:rPr>
          <w:sz w:val="24"/>
          <w:szCs w:val="24"/>
        </w:rPr>
        <w:t>Dla certyfikatów inwestycyjnych BPS3 NS FIZ, BPS4 NS FIZ, BPS Rynku Nieruchomości FIZ AN, 1 FIZ AN Subfundusz 1I, 1 FIZ AN Subfundusz 1R Bank posiada utworzony odpis aktualizacyjny na utratę wartości w wysokości 1 3</w:t>
      </w:r>
      <w:r>
        <w:rPr>
          <w:sz w:val="24"/>
          <w:szCs w:val="24"/>
        </w:rPr>
        <w:t>30</w:t>
      </w:r>
      <w:r w:rsidRPr="007F07EA">
        <w:rPr>
          <w:sz w:val="24"/>
          <w:szCs w:val="24"/>
        </w:rPr>
        <w:t> tys. zł.</w:t>
      </w:r>
    </w:p>
    <w:p w14:paraId="6F5BD0F9" w14:textId="77777777" w:rsidR="00012543" w:rsidRPr="007F07EA" w:rsidRDefault="00012543" w:rsidP="00012543">
      <w:pPr>
        <w:pStyle w:val="Akapitzlist"/>
        <w:spacing w:line="276" w:lineRule="auto"/>
        <w:ind w:left="567"/>
        <w:jc w:val="both"/>
        <w:rPr>
          <w:sz w:val="24"/>
          <w:szCs w:val="24"/>
        </w:rPr>
      </w:pPr>
      <w:r w:rsidRPr="007F07EA">
        <w:rPr>
          <w:sz w:val="24"/>
          <w:szCs w:val="24"/>
        </w:rPr>
        <w:t>Na dzień bilansowy pozostałe obligacje, akcje i udziały zostały wycenione według ceny nabycia zgodnie z par. 36 ust. 3 Rozporządzenia Ministra Finansów z dnia 1 października 2010 roku w sprawie szczególnych zasad rachunkowości banków.</w:t>
      </w:r>
    </w:p>
    <w:p w14:paraId="306CCF47" w14:textId="77777777" w:rsidR="00012543" w:rsidRPr="007F07EA" w:rsidRDefault="00012543" w:rsidP="00012543">
      <w:pPr>
        <w:pStyle w:val="Akapitzlist"/>
        <w:numPr>
          <w:ilvl w:val="0"/>
          <w:numId w:val="63"/>
        </w:numPr>
        <w:spacing w:line="276" w:lineRule="auto"/>
        <w:ind w:left="567" w:hanging="283"/>
        <w:jc w:val="both"/>
        <w:rPr>
          <w:sz w:val="24"/>
          <w:szCs w:val="24"/>
        </w:rPr>
      </w:pPr>
      <w:r w:rsidRPr="007F07EA">
        <w:rPr>
          <w:sz w:val="24"/>
          <w:szCs w:val="24"/>
        </w:rPr>
        <w:t>Informacja o aktywach finansowych dostępnych do sprzedaży, aktywach i zobowiązaniach finansowych wycenianych w wartości godziwej przez wynik finansowy, dla których nie było możliwe ustalenie w sposób wiarygodny wartości godziwej, ze wskazaniem oszacowanej wartości w 20</w:t>
      </w:r>
      <w:r>
        <w:rPr>
          <w:sz w:val="24"/>
          <w:szCs w:val="24"/>
        </w:rPr>
        <w:t>20</w:t>
      </w:r>
      <w:r w:rsidRPr="007F07EA">
        <w:rPr>
          <w:sz w:val="24"/>
          <w:szCs w:val="24"/>
        </w:rPr>
        <w:t xml:space="preserve"> r. – nie wystąpiły.</w:t>
      </w:r>
    </w:p>
    <w:p w14:paraId="5958A325" w14:textId="77777777" w:rsidR="00012543" w:rsidRPr="007F07EA" w:rsidRDefault="00012543" w:rsidP="00012543">
      <w:pPr>
        <w:pStyle w:val="Akapitzlist"/>
        <w:numPr>
          <w:ilvl w:val="0"/>
          <w:numId w:val="63"/>
        </w:numPr>
        <w:spacing w:line="276" w:lineRule="auto"/>
        <w:ind w:left="567" w:hanging="283"/>
        <w:rPr>
          <w:sz w:val="24"/>
          <w:szCs w:val="24"/>
        </w:rPr>
      </w:pPr>
      <w:r w:rsidRPr="007F07EA">
        <w:rPr>
          <w:sz w:val="24"/>
          <w:szCs w:val="24"/>
        </w:rPr>
        <w:t>Dane o wartości posiadanych instrumentów finansowych, z uwzględnieniem:</w:t>
      </w:r>
    </w:p>
    <w:p w14:paraId="603A61C0" w14:textId="77777777" w:rsidR="00012543" w:rsidRDefault="00012543" w:rsidP="00012543">
      <w:pPr>
        <w:pStyle w:val="Akapitzlist"/>
        <w:numPr>
          <w:ilvl w:val="0"/>
          <w:numId w:val="44"/>
        </w:numPr>
        <w:spacing w:line="276" w:lineRule="auto"/>
        <w:ind w:left="993" w:hanging="426"/>
        <w:contextualSpacing/>
        <w:jc w:val="both"/>
        <w:rPr>
          <w:sz w:val="24"/>
          <w:szCs w:val="24"/>
        </w:rPr>
      </w:pPr>
      <w:r w:rsidRPr="007F07EA">
        <w:rPr>
          <w:sz w:val="24"/>
          <w:szCs w:val="24"/>
        </w:rPr>
        <w:t>Instrumentów finansowych znajdujących się w obrocie giełdowym (na rynku regulowanym):</w:t>
      </w:r>
    </w:p>
    <w:tbl>
      <w:tblPr>
        <w:tblW w:w="8280" w:type="dxa"/>
        <w:jc w:val="center"/>
        <w:tblCellMar>
          <w:left w:w="70" w:type="dxa"/>
          <w:right w:w="70" w:type="dxa"/>
        </w:tblCellMar>
        <w:tblLook w:val="04A0" w:firstRow="1" w:lastRow="0" w:firstColumn="1" w:lastColumn="0" w:noHBand="0" w:noVBand="1"/>
      </w:tblPr>
      <w:tblGrid>
        <w:gridCol w:w="780"/>
        <w:gridCol w:w="3080"/>
        <w:gridCol w:w="2060"/>
        <w:gridCol w:w="2360"/>
      </w:tblGrid>
      <w:tr w:rsidR="00012543" w:rsidRPr="00317D3A" w14:paraId="08B3129D" w14:textId="77777777" w:rsidTr="0001194F">
        <w:trPr>
          <w:trHeight w:val="852"/>
          <w:jc w:val="center"/>
        </w:trPr>
        <w:tc>
          <w:tcPr>
            <w:tcW w:w="780"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AC4DA44"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b/>
                <w:bCs/>
                <w:sz w:val="20"/>
                <w:szCs w:val="20"/>
              </w:rPr>
            </w:pPr>
            <w:r w:rsidRPr="00317D3A">
              <w:rPr>
                <w:rFonts w:ascii="Times New Roman" w:eastAsia="Times New Roman" w:hAnsi="Times New Roman" w:cs="Times New Roman"/>
                <w:b/>
                <w:bCs/>
                <w:sz w:val="20"/>
                <w:szCs w:val="20"/>
              </w:rPr>
              <w:t xml:space="preserve">Lp. </w:t>
            </w:r>
          </w:p>
        </w:tc>
        <w:tc>
          <w:tcPr>
            <w:tcW w:w="3080" w:type="dxa"/>
            <w:tcBorders>
              <w:top w:val="single" w:sz="4" w:space="0" w:color="auto"/>
              <w:left w:val="single" w:sz="4" w:space="0" w:color="auto"/>
              <w:bottom w:val="single" w:sz="4" w:space="0" w:color="auto"/>
              <w:right w:val="nil"/>
            </w:tcBorders>
            <w:shd w:val="clear" w:color="000000" w:fill="CCFFCC"/>
            <w:vAlign w:val="center"/>
            <w:hideMark/>
          </w:tcPr>
          <w:p w14:paraId="2CF6428A"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b/>
                <w:bCs/>
                <w:sz w:val="20"/>
                <w:szCs w:val="20"/>
              </w:rPr>
            </w:pPr>
            <w:r w:rsidRPr="00317D3A">
              <w:rPr>
                <w:rFonts w:ascii="Times New Roman" w:eastAsia="Times New Roman" w:hAnsi="Times New Roman" w:cs="Times New Roman"/>
                <w:b/>
                <w:bCs/>
                <w:sz w:val="20"/>
                <w:szCs w:val="20"/>
              </w:rPr>
              <w:t xml:space="preserve"> Nazwa instrumentu finansowego: </w:t>
            </w:r>
          </w:p>
        </w:tc>
        <w:tc>
          <w:tcPr>
            <w:tcW w:w="2060"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7E6367D2" w14:textId="2107434A" w:rsidR="00012543" w:rsidRPr="00317D3A" w:rsidRDefault="00012543" w:rsidP="0001194F">
            <w:pPr>
              <w:spacing w:after="0" w:line="240" w:lineRule="auto"/>
              <w:ind w:left="0" w:right="0" w:firstLine="0"/>
              <w:jc w:val="center"/>
              <w:rPr>
                <w:rFonts w:ascii="Times New Roman" w:eastAsia="Times New Roman" w:hAnsi="Times New Roman" w:cs="Times New Roman"/>
                <w:b/>
                <w:bCs/>
                <w:sz w:val="20"/>
                <w:szCs w:val="20"/>
              </w:rPr>
            </w:pPr>
            <w:r w:rsidRPr="00317D3A">
              <w:rPr>
                <w:rFonts w:ascii="Times New Roman" w:eastAsia="Times New Roman" w:hAnsi="Times New Roman" w:cs="Times New Roman"/>
                <w:b/>
                <w:bCs/>
                <w:sz w:val="20"/>
                <w:szCs w:val="20"/>
              </w:rPr>
              <w:t>Wartość bilansowa</w:t>
            </w:r>
            <w:r w:rsidR="00720A0C">
              <w:rPr>
                <w:rFonts w:ascii="Times New Roman" w:eastAsia="Times New Roman" w:hAnsi="Times New Roman" w:cs="Times New Roman"/>
                <w:b/>
                <w:bCs/>
                <w:sz w:val="20"/>
                <w:szCs w:val="20"/>
              </w:rPr>
              <w:t xml:space="preserve"> (w tys. zł)</w:t>
            </w:r>
            <w:r w:rsidRPr="00317D3A">
              <w:rPr>
                <w:rFonts w:ascii="Times New Roman" w:eastAsia="Times New Roman" w:hAnsi="Times New Roman" w:cs="Times New Roman"/>
                <w:b/>
                <w:bCs/>
                <w:sz w:val="20"/>
                <w:szCs w:val="20"/>
              </w:rPr>
              <w:t xml:space="preserve"> na dzień 31.12.2020 r.:</w:t>
            </w:r>
          </w:p>
        </w:tc>
        <w:tc>
          <w:tcPr>
            <w:tcW w:w="2360" w:type="dxa"/>
            <w:tcBorders>
              <w:top w:val="single" w:sz="4" w:space="0" w:color="auto"/>
              <w:left w:val="nil"/>
              <w:bottom w:val="single" w:sz="4" w:space="0" w:color="auto"/>
              <w:right w:val="single" w:sz="4" w:space="0" w:color="auto"/>
            </w:tcBorders>
            <w:shd w:val="clear" w:color="000000" w:fill="CCFFCC"/>
            <w:vAlign w:val="center"/>
            <w:hideMark/>
          </w:tcPr>
          <w:p w14:paraId="4692CC43" w14:textId="389F8918" w:rsidR="00012543" w:rsidRPr="00317D3A" w:rsidRDefault="00012543" w:rsidP="0001194F">
            <w:pPr>
              <w:spacing w:after="0" w:line="240" w:lineRule="auto"/>
              <w:ind w:left="0" w:right="0" w:firstLine="0"/>
              <w:jc w:val="center"/>
              <w:rPr>
                <w:rFonts w:ascii="Times New Roman" w:eastAsia="Times New Roman" w:hAnsi="Times New Roman" w:cs="Times New Roman"/>
                <w:b/>
                <w:bCs/>
                <w:sz w:val="20"/>
                <w:szCs w:val="20"/>
              </w:rPr>
            </w:pPr>
            <w:r w:rsidRPr="00317D3A">
              <w:rPr>
                <w:rFonts w:ascii="Times New Roman" w:eastAsia="Times New Roman" w:hAnsi="Times New Roman" w:cs="Times New Roman"/>
                <w:b/>
                <w:bCs/>
                <w:sz w:val="20"/>
                <w:szCs w:val="20"/>
              </w:rPr>
              <w:t xml:space="preserve"> Wartość bilansowa</w:t>
            </w:r>
            <w:r w:rsidR="00720A0C">
              <w:rPr>
                <w:rFonts w:ascii="Times New Roman" w:eastAsia="Times New Roman" w:hAnsi="Times New Roman" w:cs="Times New Roman"/>
                <w:b/>
                <w:bCs/>
                <w:sz w:val="20"/>
                <w:szCs w:val="20"/>
              </w:rPr>
              <w:t xml:space="preserve"> (w tys. zł)</w:t>
            </w:r>
            <w:r w:rsidRPr="00317D3A">
              <w:rPr>
                <w:rFonts w:ascii="Times New Roman" w:eastAsia="Times New Roman" w:hAnsi="Times New Roman" w:cs="Times New Roman"/>
                <w:b/>
                <w:bCs/>
                <w:sz w:val="20"/>
                <w:szCs w:val="20"/>
              </w:rPr>
              <w:t xml:space="preserve"> na dzień 31.12.2019 r.: </w:t>
            </w:r>
          </w:p>
        </w:tc>
      </w:tr>
      <w:tr w:rsidR="00012543" w:rsidRPr="00317D3A" w14:paraId="3EBD3293" w14:textId="77777777" w:rsidTr="0001194F">
        <w:trPr>
          <w:trHeight w:val="216"/>
          <w:jc w:val="center"/>
        </w:trPr>
        <w:tc>
          <w:tcPr>
            <w:tcW w:w="780" w:type="dxa"/>
            <w:tcBorders>
              <w:top w:val="nil"/>
              <w:left w:val="single" w:sz="4" w:space="0" w:color="auto"/>
              <w:bottom w:val="single" w:sz="4" w:space="0" w:color="auto"/>
              <w:right w:val="single" w:sz="4" w:space="0" w:color="auto"/>
            </w:tcBorders>
            <w:shd w:val="clear" w:color="000000" w:fill="CCFFCC"/>
            <w:vAlign w:val="bottom"/>
            <w:hideMark/>
          </w:tcPr>
          <w:p w14:paraId="58DDD691"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b/>
                <w:bCs/>
                <w:sz w:val="16"/>
                <w:szCs w:val="16"/>
              </w:rPr>
            </w:pPr>
            <w:r w:rsidRPr="00317D3A">
              <w:rPr>
                <w:rFonts w:ascii="Times New Roman" w:eastAsia="Times New Roman" w:hAnsi="Times New Roman" w:cs="Times New Roman"/>
                <w:b/>
                <w:bCs/>
                <w:sz w:val="16"/>
                <w:szCs w:val="16"/>
              </w:rPr>
              <w:t xml:space="preserve"> 1 </w:t>
            </w:r>
          </w:p>
        </w:tc>
        <w:tc>
          <w:tcPr>
            <w:tcW w:w="3080" w:type="dxa"/>
            <w:tcBorders>
              <w:top w:val="nil"/>
              <w:left w:val="single" w:sz="4" w:space="0" w:color="auto"/>
              <w:bottom w:val="single" w:sz="4" w:space="0" w:color="auto"/>
              <w:right w:val="nil"/>
            </w:tcBorders>
            <w:shd w:val="clear" w:color="000000" w:fill="CCFFCC"/>
            <w:vAlign w:val="bottom"/>
            <w:hideMark/>
          </w:tcPr>
          <w:p w14:paraId="517D6818"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b/>
                <w:bCs/>
                <w:sz w:val="16"/>
                <w:szCs w:val="16"/>
              </w:rPr>
            </w:pPr>
            <w:r w:rsidRPr="00317D3A">
              <w:rPr>
                <w:rFonts w:ascii="Times New Roman" w:eastAsia="Times New Roman" w:hAnsi="Times New Roman" w:cs="Times New Roman"/>
                <w:b/>
                <w:bCs/>
                <w:sz w:val="16"/>
                <w:szCs w:val="16"/>
              </w:rPr>
              <w:t xml:space="preserve"> 2 </w:t>
            </w:r>
          </w:p>
        </w:tc>
        <w:tc>
          <w:tcPr>
            <w:tcW w:w="2060" w:type="dxa"/>
            <w:tcBorders>
              <w:top w:val="nil"/>
              <w:left w:val="single" w:sz="4" w:space="0" w:color="auto"/>
              <w:bottom w:val="single" w:sz="4" w:space="0" w:color="auto"/>
              <w:right w:val="single" w:sz="4" w:space="0" w:color="auto"/>
            </w:tcBorders>
            <w:shd w:val="clear" w:color="000000" w:fill="CCFFCC"/>
            <w:vAlign w:val="bottom"/>
            <w:hideMark/>
          </w:tcPr>
          <w:p w14:paraId="530F3E61"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b/>
                <w:bCs/>
                <w:sz w:val="16"/>
                <w:szCs w:val="16"/>
              </w:rPr>
            </w:pPr>
            <w:r w:rsidRPr="00317D3A">
              <w:rPr>
                <w:rFonts w:ascii="Times New Roman" w:eastAsia="Times New Roman" w:hAnsi="Times New Roman" w:cs="Times New Roman"/>
                <w:b/>
                <w:bCs/>
                <w:sz w:val="16"/>
                <w:szCs w:val="16"/>
              </w:rPr>
              <w:t xml:space="preserve"> 3 </w:t>
            </w:r>
          </w:p>
        </w:tc>
        <w:tc>
          <w:tcPr>
            <w:tcW w:w="2360" w:type="dxa"/>
            <w:tcBorders>
              <w:top w:val="nil"/>
              <w:left w:val="nil"/>
              <w:bottom w:val="single" w:sz="4" w:space="0" w:color="auto"/>
              <w:right w:val="single" w:sz="4" w:space="0" w:color="auto"/>
            </w:tcBorders>
            <w:shd w:val="clear" w:color="000000" w:fill="CCFFCC"/>
            <w:vAlign w:val="bottom"/>
            <w:hideMark/>
          </w:tcPr>
          <w:p w14:paraId="0AD8EB07"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b/>
                <w:bCs/>
                <w:sz w:val="16"/>
                <w:szCs w:val="16"/>
              </w:rPr>
            </w:pPr>
            <w:r w:rsidRPr="00317D3A">
              <w:rPr>
                <w:rFonts w:ascii="Times New Roman" w:eastAsia="Times New Roman" w:hAnsi="Times New Roman" w:cs="Times New Roman"/>
                <w:b/>
                <w:bCs/>
                <w:sz w:val="16"/>
                <w:szCs w:val="16"/>
              </w:rPr>
              <w:t xml:space="preserve"> 4 </w:t>
            </w:r>
          </w:p>
        </w:tc>
      </w:tr>
      <w:tr w:rsidR="00012543" w:rsidRPr="00317D3A" w14:paraId="5C6E6325" w14:textId="77777777" w:rsidTr="0001194F">
        <w:trPr>
          <w:trHeight w:val="288"/>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B4A12BB"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1.</w:t>
            </w:r>
          </w:p>
        </w:tc>
        <w:tc>
          <w:tcPr>
            <w:tcW w:w="3080" w:type="dxa"/>
            <w:tcBorders>
              <w:top w:val="nil"/>
              <w:left w:val="single" w:sz="4" w:space="0" w:color="auto"/>
              <w:bottom w:val="single" w:sz="4" w:space="0" w:color="auto"/>
              <w:right w:val="nil"/>
            </w:tcBorders>
            <w:shd w:val="clear" w:color="auto" w:fill="auto"/>
            <w:vAlign w:val="center"/>
            <w:hideMark/>
          </w:tcPr>
          <w:p w14:paraId="63BD8E43" w14:textId="77777777" w:rsidR="00012543" w:rsidRPr="00317D3A" w:rsidRDefault="00012543" w:rsidP="0001194F">
            <w:pPr>
              <w:spacing w:after="0" w:line="240" w:lineRule="auto"/>
              <w:ind w:left="0" w:right="0" w:firstLine="0"/>
              <w:jc w:val="left"/>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 xml:space="preserve"> Obligacje skarbowe </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14:paraId="7A0783C4"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77 509</w:t>
            </w:r>
          </w:p>
        </w:tc>
        <w:tc>
          <w:tcPr>
            <w:tcW w:w="2360" w:type="dxa"/>
            <w:tcBorders>
              <w:top w:val="nil"/>
              <w:left w:val="nil"/>
              <w:bottom w:val="single" w:sz="4" w:space="0" w:color="auto"/>
              <w:right w:val="single" w:sz="4" w:space="0" w:color="auto"/>
            </w:tcBorders>
            <w:shd w:val="clear" w:color="auto" w:fill="auto"/>
            <w:vAlign w:val="center"/>
            <w:hideMark/>
          </w:tcPr>
          <w:p w14:paraId="0D56F7D5"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72 068</w:t>
            </w:r>
          </w:p>
        </w:tc>
      </w:tr>
      <w:tr w:rsidR="00012543" w:rsidRPr="00317D3A" w14:paraId="38E46126" w14:textId="77777777" w:rsidTr="0001194F">
        <w:trPr>
          <w:trHeight w:val="288"/>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1DE6832"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2.</w:t>
            </w:r>
          </w:p>
        </w:tc>
        <w:tc>
          <w:tcPr>
            <w:tcW w:w="3080" w:type="dxa"/>
            <w:tcBorders>
              <w:top w:val="nil"/>
              <w:left w:val="single" w:sz="4" w:space="0" w:color="auto"/>
              <w:bottom w:val="single" w:sz="4" w:space="0" w:color="auto"/>
              <w:right w:val="nil"/>
            </w:tcBorders>
            <w:shd w:val="clear" w:color="auto" w:fill="auto"/>
            <w:vAlign w:val="center"/>
            <w:hideMark/>
          </w:tcPr>
          <w:p w14:paraId="1C501345" w14:textId="77777777" w:rsidR="00012543" w:rsidRPr="00317D3A" w:rsidRDefault="00012543" w:rsidP="0001194F">
            <w:pPr>
              <w:spacing w:after="0" w:line="240" w:lineRule="auto"/>
              <w:ind w:left="0" w:right="0" w:firstLine="0"/>
              <w:jc w:val="left"/>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 xml:space="preserve"> Obligacje komunalne RR </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14:paraId="46FFEE05"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0</w:t>
            </w:r>
          </w:p>
        </w:tc>
        <w:tc>
          <w:tcPr>
            <w:tcW w:w="2360" w:type="dxa"/>
            <w:tcBorders>
              <w:top w:val="nil"/>
              <w:left w:val="nil"/>
              <w:bottom w:val="single" w:sz="4" w:space="0" w:color="auto"/>
              <w:right w:val="single" w:sz="4" w:space="0" w:color="auto"/>
            </w:tcBorders>
            <w:shd w:val="clear" w:color="auto" w:fill="auto"/>
            <w:vAlign w:val="center"/>
            <w:hideMark/>
          </w:tcPr>
          <w:p w14:paraId="635B193F"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0</w:t>
            </w:r>
          </w:p>
        </w:tc>
      </w:tr>
      <w:tr w:rsidR="00012543" w:rsidRPr="00317D3A" w14:paraId="6918236C" w14:textId="77777777" w:rsidTr="0001194F">
        <w:trPr>
          <w:trHeight w:val="288"/>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C6FD1C9"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3.</w:t>
            </w:r>
          </w:p>
        </w:tc>
        <w:tc>
          <w:tcPr>
            <w:tcW w:w="3080" w:type="dxa"/>
            <w:tcBorders>
              <w:top w:val="nil"/>
              <w:left w:val="single" w:sz="4" w:space="0" w:color="auto"/>
              <w:bottom w:val="single" w:sz="4" w:space="0" w:color="auto"/>
              <w:right w:val="nil"/>
            </w:tcBorders>
            <w:shd w:val="clear" w:color="auto" w:fill="auto"/>
            <w:vAlign w:val="center"/>
            <w:hideMark/>
          </w:tcPr>
          <w:p w14:paraId="58CFE3D6" w14:textId="77777777" w:rsidR="00012543" w:rsidRPr="00317D3A" w:rsidRDefault="00012543" w:rsidP="0001194F">
            <w:pPr>
              <w:spacing w:after="0" w:line="240" w:lineRule="auto"/>
              <w:ind w:left="0" w:right="0" w:firstLine="0"/>
              <w:jc w:val="left"/>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 xml:space="preserve"> Obligacje korporacyjne RR </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14:paraId="3A645E16"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79 993</w:t>
            </w:r>
          </w:p>
        </w:tc>
        <w:tc>
          <w:tcPr>
            <w:tcW w:w="2360" w:type="dxa"/>
            <w:tcBorders>
              <w:top w:val="nil"/>
              <w:left w:val="nil"/>
              <w:bottom w:val="single" w:sz="4" w:space="0" w:color="auto"/>
              <w:right w:val="single" w:sz="4" w:space="0" w:color="auto"/>
            </w:tcBorders>
            <w:shd w:val="clear" w:color="auto" w:fill="auto"/>
            <w:vAlign w:val="center"/>
            <w:hideMark/>
          </w:tcPr>
          <w:p w14:paraId="377A4790"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21 833</w:t>
            </w:r>
          </w:p>
        </w:tc>
      </w:tr>
      <w:tr w:rsidR="00012543" w:rsidRPr="00317D3A" w14:paraId="2E6BB73F" w14:textId="77777777" w:rsidTr="0001194F">
        <w:trPr>
          <w:trHeight w:val="288"/>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E13C458"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4.</w:t>
            </w:r>
          </w:p>
        </w:tc>
        <w:tc>
          <w:tcPr>
            <w:tcW w:w="3080" w:type="dxa"/>
            <w:tcBorders>
              <w:top w:val="nil"/>
              <w:left w:val="single" w:sz="4" w:space="0" w:color="auto"/>
              <w:bottom w:val="single" w:sz="4" w:space="0" w:color="auto"/>
              <w:right w:val="nil"/>
            </w:tcBorders>
            <w:shd w:val="clear" w:color="auto" w:fill="auto"/>
            <w:vAlign w:val="center"/>
            <w:hideMark/>
          </w:tcPr>
          <w:p w14:paraId="37604334" w14:textId="77777777" w:rsidR="00012543" w:rsidRPr="00317D3A" w:rsidRDefault="00012543" w:rsidP="0001194F">
            <w:pPr>
              <w:spacing w:after="0" w:line="240" w:lineRule="auto"/>
              <w:ind w:left="0" w:right="0" w:firstLine="0"/>
              <w:jc w:val="left"/>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 xml:space="preserve"> Akcje spółek notowane na GPW </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14:paraId="02FEF690"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0</w:t>
            </w:r>
          </w:p>
        </w:tc>
        <w:tc>
          <w:tcPr>
            <w:tcW w:w="2360" w:type="dxa"/>
            <w:tcBorders>
              <w:top w:val="nil"/>
              <w:left w:val="nil"/>
              <w:bottom w:val="single" w:sz="4" w:space="0" w:color="auto"/>
              <w:right w:val="single" w:sz="4" w:space="0" w:color="auto"/>
            </w:tcBorders>
            <w:shd w:val="clear" w:color="auto" w:fill="auto"/>
            <w:vAlign w:val="center"/>
            <w:hideMark/>
          </w:tcPr>
          <w:p w14:paraId="0A45AF88"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0</w:t>
            </w:r>
          </w:p>
        </w:tc>
      </w:tr>
      <w:tr w:rsidR="00012543" w:rsidRPr="00317D3A" w14:paraId="776AD761" w14:textId="77777777" w:rsidTr="0001194F">
        <w:trPr>
          <w:trHeight w:val="528"/>
          <w:jc w:val="center"/>
        </w:trPr>
        <w:tc>
          <w:tcPr>
            <w:tcW w:w="780" w:type="dxa"/>
            <w:tcBorders>
              <w:top w:val="nil"/>
              <w:left w:val="single" w:sz="4" w:space="0" w:color="auto"/>
              <w:bottom w:val="single" w:sz="4" w:space="0" w:color="auto"/>
              <w:right w:val="single" w:sz="4" w:space="0" w:color="auto"/>
            </w:tcBorders>
            <w:shd w:val="clear" w:color="auto" w:fill="auto"/>
            <w:hideMark/>
          </w:tcPr>
          <w:p w14:paraId="7561B741"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5.</w:t>
            </w:r>
          </w:p>
        </w:tc>
        <w:tc>
          <w:tcPr>
            <w:tcW w:w="3080" w:type="dxa"/>
            <w:tcBorders>
              <w:top w:val="nil"/>
              <w:left w:val="single" w:sz="4" w:space="0" w:color="auto"/>
              <w:bottom w:val="single" w:sz="4" w:space="0" w:color="auto"/>
              <w:right w:val="nil"/>
            </w:tcBorders>
            <w:shd w:val="clear" w:color="auto" w:fill="auto"/>
            <w:vAlign w:val="center"/>
            <w:hideMark/>
          </w:tcPr>
          <w:p w14:paraId="40C01F3A" w14:textId="77777777" w:rsidR="00012543" w:rsidRPr="00317D3A" w:rsidRDefault="00012543" w:rsidP="0001194F">
            <w:pPr>
              <w:spacing w:after="0" w:line="240" w:lineRule="auto"/>
              <w:ind w:left="0" w:right="0" w:firstLine="0"/>
              <w:jc w:val="left"/>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 xml:space="preserve"> Inne np. listy zastawne, prawa poboru, prawa do akcji, kontrakty terminowe, opcje </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14:paraId="257AD7CD"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0</w:t>
            </w:r>
          </w:p>
        </w:tc>
        <w:tc>
          <w:tcPr>
            <w:tcW w:w="2360" w:type="dxa"/>
            <w:tcBorders>
              <w:top w:val="nil"/>
              <w:left w:val="nil"/>
              <w:bottom w:val="single" w:sz="4" w:space="0" w:color="auto"/>
              <w:right w:val="single" w:sz="4" w:space="0" w:color="auto"/>
            </w:tcBorders>
            <w:shd w:val="clear" w:color="auto" w:fill="auto"/>
            <w:vAlign w:val="center"/>
            <w:hideMark/>
          </w:tcPr>
          <w:p w14:paraId="74B5A43E"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0</w:t>
            </w:r>
          </w:p>
        </w:tc>
      </w:tr>
      <w:tr w:rsidR="00012543" w:rsidRPr="00317D3A" w14:paraId="561049F1" w14:textId="77777777" w:rsidTr="0001194F">
        <w:trPr>
          <w:trHeight w:val="288"/>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8D5A3FD"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 </w:t>
            </w:r>
          </w:p>
        </w:tc>
        <w:tc>
          <w:tcPr>
            <w:tcW w:w="3080" w:type="dxa"/>
            <w:tcBorders>
              <w:top w:val="nil"/>
              <w:left w:val="single" w:sz="4" w:space="0" w:color="auto"/>
              <w:bottom w:val="single" w:sz="4" w:space="0" w:color="auto"/>
              <w:right w:val="nil"/>
            </w:tcBorders>
            <w:shd w:val="clear" w:color="auto" w:fill="auto"/>
            <w:vAlign w:val="center"/>
            <w:hideMark/>
          </w:tcPr>
          <w:p w14:paraId="17011594" w14:textId="77777777" w:rsidR="00012543" w:rsidRPr="00317D3A" w:rsidRDefault="00012543" w:rsidP="0001194F">
            <w:pPr>
              <w:spacing w:after="0" w:line="240" w:lineRule="auto"/>
              <w:ind w:left="0" w:right="0" w:firstLine="0"/>
              <w:jc w:val="left"/>
              <w:rPr>
                <w:rFonts w:ascii="Times New Roman" w:eastAsia="Times New Roman" w:hAnsi="Times New Roman" w:cs="Times New Roman"/>
                <w:b/>
                <w:bCs/>
                <w:sz w:val="20"/>
                <w:szCs w:val="20"/>
              </w:rPr>
            </w:pPr>
            <w:r w:rsidRPr="00317D3A">
              <w:rPr>
                <w:rFonts w:ascii="Times New Roman" w:eastAsia="Times New Roman" w:hAnsi="Times New Roman" w:cs="Times New Roman"/>
                <w:b/>
                <w:bCs/>
                <w:sz w:val="20"/>
                <w:szCs w:val="20"/>
              </w:rPr>
              <w:t xml:space="preserve"> RAZEM: </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14:paraId="1FA57B20"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b/>
                <w:bCs/>
                <w:color w:val="auto"/>
                <w:sz w:val="22"/>
              </w:rPr>
            </w:pPr>
            <w:r w:rsidRPr="00317D3A">
              <w:rPr>
                <w:rFonts w:ascii="Times New Roman" w:eastAsia="Times New Roman" w:hAnsi="Times New Roman" w:cs="Times New Roman"/>
                <w:b/>
                <w:bCs/>
                <w:color w:val="auto"/>
                <w:sz w:val="22"/>
              </w:rPr>
              <w:t>157 502</w:t>
            </w:r>
          </w:p>
        </w:tc>
        <w:tc>
          <w:tcPr>
            <w:tcW w:w="2360" w:type="dxa"/>
            <w:tcBorders>
              <w:top w:val="nil"/>
              <w:left w:val="nil"/>
              <w:bottom w:val="single" w:sz="4" w:space="0" w:color="auto"/>
              <w:right w:val="single" w:sz="4" w:space="0" w:color="auto"/>
            </w:tcBorders>
            <w:shd w:val="clear" w:color="auto" w:fill="auto"/>
            <w:vAlign w:val="center"/>
            <w:hideMark/>
          </w:tcPr>
          <w:p w14:paraId="2A71427C"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b/>
                <w:bCs/>
                <w:color w:val="auto"/>
                <w:sz w:val="22"/>
              </w:rPr>
            </w:pPr>
            <w:r w:rsidRPr="00317D3A">
              <w:rPr>
                <w:rFonts w:ascii="Times New Roman" w:eastAsia="Times New Roman" w:hAnsi="Times New Roman" w:cs="Times New Roman"/>
                <w:b/>
                <w:bCs/>
                <w:color w:val="auto"/>
                <w:sz w:val="22"/>
              </w:rPr>
              <w:t>93 901</w:t>
            </w:r>
          </w:p>
        </w:tc>
      </w:tr>
    </w:tbl>
    <w:p w14:paraId="1B6C3C4B" w14:textId="77777777" w:rsidR="00012543" w:rsidRPr="007F07EA" w:rsidRDefault="00012543" w:rsidP="00012543">
      <w:pPr>
        <w:spacing w:after="0" w:line="276" w:lineRule="auto"/>
        <w:ind w:left="992" w:right="6" w:hanging="425"/>
        <w:rPr>
          <w:rFonts w:ascii="Times New Roman" w:eastAsia="Times New Roman" w:hAnsi="Times New Roman" w:cs="Times New Roman"/>
          <w:color w:val="auto"/>
          <w:szCs w:val="24"/>
        </w:rPr>
      </w:pPr>
      <w:r w:rsidRPr="007F07EA">
        <w:rPr>
          <w:rFonts w:ascii="Times New Roman" w:eastAsia="Times New Roman" w:hAnsi="Times New Roman" w:cs="Times New Roman"/>
          <w:color w:val="auto"/>
          <w:szCs w:val="24"/>
        </w:rPr>
        <w:t>2)</w:t>
      </w:r>
      <w:r w:rsidRPr="007F07EA">
        <w:rPr>
          <w:rFonts w:ascii="Times New Roman" w:eastAsia="Times New Roman" w:hAnsi="Times New Roman" w:cs="Times New Roman"/>
          <w:color w:val="auto"/>
          <w:szCs w:val="24"/>
        </w:rPr>
        <w:tab/>
        <w:t>Instrumentów finansowych znajdujących się w obrocie pozagiełdowym: (nabyte w ramach ASO – alternatywnego systemu obrotu prowadzonego przez GPW (</w:t>
      </w:r>
      <w:proofErr w:type="spellStart"/>
      <w:r w:rsidRPr="007F07EA">
        <w:rPr>
          <w:rFonts w:ascii="Times New Roman" w:eastAsia="Times New Roman" w:hAnsi="Times New Roman" w:cs="Times New Roman"/>
          <w:color w:val="auto"/>
          <w:szCs w:val="24"/>
        </w:rPr>
        <w:t>NewConnect</w:t>
      </w:r>
      <w:proofErr w:type="spellEnd"/>
      <w:r w:rsidRPr="007F07EA">
        <w:rPr>
          <w:rFonts w:ascii="Times New Roman" w:eastAsia="Times New Roman" w:hAnsi="Times New Roman" w:cs="Times New Roman"/>
          <w:color w:val="auto"/>
          <w:szCs w:val="24"/>
        </w:rPr>
        <w:t xml:space="preserve">, </w:t>
      </w:r>
      <w:proofErr w:type="spellStart"/>
      <w:r w:rsidRPr="007F07EA">
        <w:rPr>
          <w:rFonts w:ascii="Times New Roman" w:eastAsia="Times New Roman" w:hAnsi="Times New Roman" w:cs="Times New Roman"/>
          <w:color w:val="auto"/>
          <w:szCs w:val="24"/>
        </w:rPr>
        <w:t>Catalyst</w:t>
      </w:r>
      <w:proofErr w:type="spellEnd"/>
      <w:r w:rsidRPr="007F07EA">
        <w:rPr>
          <w:rFonts w:ascii="Times New Roman" w:eastAsia="Times New Roman" w:hAnsi="Times New Roman" w:cs="Times New Roman"/>
          <w:color w:val="auto"/>
          <w:szCs w:val="24"/>
        </w:rPr>
        <w:t xml:space="preserve">) lub </w:t>
      </w:r>
      <w:proofErr w:type="spellStart"/>
      <w:r w:rsidRPr="007F07EA">
        <w:rPr>
          <w:rFonts w:ascii="Times New Roman" w:eastAsia="Times New Roman" w:hAnsi="Times New Roman" w:cs="Times New Roman"/>
          <w:color w:val="auto"/>
          <w:szCs w:val="24"/>
        </w:rPr>
        <w:t>BondSpot</w:t>
      </w:r>
      <w:proofErr w:type="spellEnd"/>
      <w:r w:rsidRPr="007F07EA">
        <w:rPr>
          <w:rFonts w:ascii="Times New Roman" w:eastAsia="Times New Roman" w:hAnsi="Times New Roman" w:cs="Times New Roman"/>
          <w:color w:val="auto"/>
          <w:szCs w:val="24"/>
        </w:rPr>
        <w:t xml:space="preserve"> (</w:t>
      </w:r>
      <w:proofErr w:type="spellStart"/>
      <w:r w:rsidRPr="007F07EA">
        <w:rPr>
          <w:rFonts w:ascii="Times New Roman" w:eastAsia="Times New Roman" w:hAnsi="Times New Roman" w:cs="Times New Roman"/>
          <w:color w:val="auto"/>
          <w:szCs w:val="24"/>
        </w:rPr>
        <w:t>Catalyst</w:t>
      </w:r>
      <w:proofErr w:type="spellEnd"/>
      <w:r w:rsidRPr="007F07EA">
        <w:rPr>
          <w:rFonts w:ascii="Times New Roman" w:eastAsia="Times New Roman" w:hAnsi="Times New Roman" w:cs="Times New Roman"/>
          <w:color w:val="auto"/>
          <w:szCs w:val="24"/>
        </w:rPr>
        <w:t>) – nie występują.</w:t>
      </w:r>
    </w:p>
    <w:p w14:paraId="2251D1A1" w14:textId="48792039" w:rsidR="00012543" w:rsidRDefault="00012543" w:rsidP="00012543">
      <w:pPr>
        <w:spacing w:after="0" w:line="276" w:lineRule="auto"/>
        <w:ind w:left="992" w:right="6" w:hanging="425"/>
        <w:rPr>
          <w:rFonts w:ascii="Times New Roman" w:eastAsia="Times New Roman" w:hAnsi="Times New Roman" w:cs="Times New Roman"/>
          <w:color w:val="auto"/>
          <w:szCs w:val="24"/>
        </w:rPr>
      </w:pPr>
      <w:r w:rsidRPr="007F07EA">
        <w:rPr>
          <w:rFonts w:ascii="Times New Roman" w:eastAsia="Times New Roman" w:hAnsi="Times New Roman" w:cs="Times New Roman"/>
          <w:color w:val="auto"/>
          <w:szCs w:val="24"/>
        </w:rPr>
        <w:t>3)</w:t>
      </w:r>
      <w:r w:rsidRPr="007F07EA">
        <w:rPr>
          <w:rFonts w:ascii="Times New Roman" w:eastAsia="Times New Roman" w:hAnsi="Times New Roman" w:cs="Times New Roman"/>
          <w:color w:val="auto"/>
          <w:szCs w:val="24"/>
        </w:rPr>
        <w:tab/>
        <w:t>Papierów wartościowych z nieograniczoną zbywalnością, nieznajdujących się w obrocie na rynku regulowanym. W 20</w:t>
      </w:r>
      <w:r w:rsidR="006F0D80">
        <w:rPr>
          <w:rFonts w:ascii="Times New Roman" w:eastAsia="Times New Roman" w:hAnsi="Times New Roman" w:cs="Times New Roman"/>
          <w:color w:val="auto"/>
          <w:szCs w:val="24"/>
        </w:rPr>
        <w:t>20</w:t>
      </w:r>
      <w:r w:rsidRPr="007F07EA">
        <w:rPr>
          <w:rFonts w:ascii="Times New Roman" w:eastAsia="Times New Roman" w:hAnsi="Times New Roman" w:cs="Times New Roman"/>
          <w:color w:val="auto"/>
          <w:szCs w:val="24"/>
        </w:rPr>
        <w:t xml:space="preserve"> r. – wystąpiły, zgodnie z poniższym zestawieniem:</w:t>
      </w:r>
    </w:p>
    <w:tbl>
      <w:tblPr>
        <w:tblW w:w="8280" w:type="dxa"/>
        <w:jc w:val="center"/>
        <w:tblCellMar>
          <w:left w:w="70" w:type="dxa"/>
          <w:right w:w="70" w:type="dxa"/>
        </w:tblCellMar>
        <w:tblLook w:val="04A0" w:firstRow="1" w:lastRow="0" w:firstColumn="1" w:lastColumn="0" w:noHBand="0" w:noVBand="1"/>
      </w:tblPr>
      <w:tblGrid>
        <w:gridCol w:w="780"/>
        <w:gridCol w:w="3080"/>
        <w:gridCol w:w="2060"/>
        <w:gridCol w:w="2360"/>
      </w:tblGrid>
      <w:tr w:rsidR="00012543" w:rsidRPr="00317D3A" w14:paraId="0ADF3169" w14:textId="77777777" w:rsidTr="0001194F">
        <w:trPr>
          <w:trHeight w:val="852"/>
          <w:jc w:val="center"/>
        </w:trPr>
        <w:tc>
          <w:tcPr>
            <w:tcW w:w="780"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A1AB6A0"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b/>
                <w:bCs/>
                <w:sz w:val="20"/>
                <w:szCs w:val="20"/>
              </w:rPr>
            </w:pPr>
            <w:r w:rsidRPr="00317D3A">
              <w:rPr>
                <w:rFonts w:ascii="Times New Roman" w:eastAsia="Times New Roman" w:hAnsi="Times New Roman" w:cs="Times New Roman"/>
                <w:b/>
                <w:bCs/>
                <w:sz w:val="20"/>
                <w:szCs w:val="20"/>
              </w:rPr>
              <w:t xml:space="preserve">Lp. </w:t>
            </w:r>
          </w:p>
        </w:tc>
        <w:tc>
          <w:tcPr>
            <w:tcW w:w="3080" w:type="dxa"/>
            <w:tcBorders>
              <w:top w:val="single" w:sz="4" w:space="0" w:color="auto"/>
              <w:left w:val="single" w:sz="4" w:space="0" w:color="auto"/>
              <w:bottom w:val="single" w:sz="4" w:space="0" w:color="auto"/>
              <w:right w:val="nil"/>
            </w:tcBorders>
            <w:shd w:val="clear" w:color="000000" w:fill="CCFFCC"/>
            <w:vAlign w:val="center"/>
            <w:hideMark/>
          </w:tcPr>
          <w:p w14:paraId="2DDCDBC9"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b/>
                <w:bCs/>
                <w:sz w:val="20"/>
                <w:szCs w:val="20"/>
              </w:rPr>
            </w:pPr>
            <w:r w:rsidRPr="00317D3A">
              <w:rPr>
                <w:rFonts w:ascii="Times New Roman" w:eastAsia="Times New Roman" w:hAnsi="Times New Roman" w:cs="Times New Roman"/>
                <w:b/>
                <w:bCs/>
                <w:sz w:val="20"/>
                <w:szCs w:val="20"/>
              </w:rPr>
              <w:t xml:space="preserve"> Nazwa instrumentu finansowego: </w:t>
            </w:r>
          </w:p>
        </w:tc>
        <w:tc>
          <w:tcPr>
            <w:tcW w:w="2060"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0CE888B0" w14:textId="441EC1C7" w:rsidR="00012543" w:rsidRPr="00317D3A" w:rsidRDefault="00012543" w:rsidP="0001194F">
            <w:pPr>
              <w:spacing w:after="0" w:line="240" w:lineRule="auto"/>
              <w:ind w:left="0" w:right="0" w:firstLine="0"/>
              <w:jc w:val="center"/>
              <w:rPr>
                <w:rFonts w:ascii="Times New Roman" w:eastAsia="Times New Roman" w:hAnsi="Times New Roman" w:cs="Times New Roman"/>
                <w:b/>
                <w:bCs/>
                <w:sz w:val="20"/>
                <w:szCs w:val="20"/>
              </w:rPr>
            </w:pPr>
            <w:r w:rsidRPr="00317D3A">
              <w:rPr>
                <w:rFonts w:ascii="Times New Roman" w:eastAsia="Times New Roman" w:hAnsi="Times New Roman" w:cs="Times New Roman"/>
                <w:b/>
                <w:bCs/>
                <w:sz w:val="20"/>
                <w:szCs w:val="20"/>
              </w:rPr>
              <w:t xml:space="preserve">Wartość bilansowa </w:t>
            </w:r>
            <w:r w:rsidR="00720A0C">
              <w:rPr>
                <w:rFonts w:ascii="Times New Roman" w:eastAsia="Times New Roman" w:hAnsi="Times New Roman" w:cs="Times New Roman"/>
                <w:b/>
                <w:bCs/>
                <w:sz w:val="20"/>
                <w:szCs w:val="20"/>
              </w:rPr>
              <w:t xml:space="preserve">(w tys. zł) </w:t>
            </w:r>
            <w:r w:rsidRPr="00317D3A">
              <w:rPr>
                <w:rFonts w:ascii="Times New Roman" w:eastAsia="Times New Roman" w:hAnsi="Times New Roman" w:cs="Times New Roman"/>
                <w:b/>
                <w:bCs/>
                <w:sz w:val="20"/>
                <w:szCs w:val="20"/>
              </w:rPr>
              <w:t>na dzień 31.12.2020 r.:</w:t>
            </w:r>
          </w:p>
        </w:tc>
        <w:tc>
          <w:tcPr>
            <w:tcW w:w="2360" w:type="dxa"/>
            <w:tcBorders>
              <w:top w:val="single" w:sz="4" w:space="0" w:color="auto"/>
              <w:left w:val="nil"/>
              <w:bottom w:val="single" w:sz="4" w:space="0" w:color="auto"/>
              <w:right w:val="single" w:sz="4" w:space="0" w:color="auto"/>
            </w:tcBorders>
            <w:shd w:val="clear" w:color="000000" w:fill="CCFFCC"/>
            <w:vAlign w:val="center"/>
            <w:hideMark/>
          </w:tcPr>
          <w:p w14:paraId="4FD0732C" w14:textId="325E0493" w:rsidR="00012543" w:rsidRPr="00317D3A" w:rsidRDefault="00012543" w:rsidP="0001194F">
            <w:pPr>
              <w:spacing w:after="0" w:line="240" w:lineRule="auto"/>
              <w:ind w:left="0" w:right="0" w:firstLine="0"/>
              <w:jc w:val="center"/>
              <w:rPr>
                <w:rFonts w:ascii="Times New Roman" w:eastAsia="Times New Roman" w:hAnsi="Times New Roman" w:cs="Times New Roman"/>
                <w:b/>
                <w:bCs/>
                <w:sz w:val="20"/>
                <w:szCs w:val="20"/>
              </w:rPr>
            </w:pPr>
            <w:r w:rsidRPr="00317D3A">
              <w:rPr>
                <w:rFonts w:ascii="Times New Roman" w:eastAsia="Times New Roman" w:hAnsi="Times New Roman" w:cs="Times New Roman"/>
                <w:b/>
                <w:bCs/>
                <w:sz w:val="20"/>
                <w:szCs w:val="20"/>
              </w:rPr>
              <w:t xml:space="preserve"> Wartość bilansowa</w:t>
            </w:r>
            <w:r w:rsidR="00720A0C">
              <w:rPr>
                <w:rFonts w:ascii="Times New Roman" w:eastAsia="Times New Roman" w:hAnsi="Times New Roman" w:cs="Times New Roman"/>
                <w:b/>
                <w:bCs/>
                <w:sz w:val="20"/>
                <w:szCs w:val="20"/>
              </w:rPr>
              <w:t xml:space="preserve"> (w tys. zł)</w:t>
            </w:r>
            <w:r w:rsidRPr="00317D3A">
              <w:rPr>
                <w:rFonts w:ascii="Times New Roman" w:eastAsia="Times New Roman" w:hAnsi="Times New Roman" w:cs="Times New Roman"/>
                <w:b/>
                <w:bCs/>
                <w:sz w:val="20"/>
                <w:szCs w:val="20"/>
              </w:rPr>
              <w:t xml:space="preserve"> na dzień 31.12.2019 r.: </w:t>
            </w:r>
          </w:p>
        </w:tc>
      </w:tr>
      <w:tr w:rsidR="00012543" w:rsidRPr="00317D3A" w14:paraId="0E9CA49C" w14:textId="77777777" w:rsidTr="0001194F">
        <w:trPr>
          <w:trHeight w:val="216"/>
          <w:jc w:val="center"/>
        </w:trPr>
        <w:tc>
          <w:tcPr>
            <w:tcW w:w="780" w:type="dxa"/>
            <w:tcBorders>
              <w:top w:val="nil"/>
              <w:left w:val="single" w:sz="4" w:space="0" w:color="auto"/>
              <w:bottom w:val="single" w:sz="4" w:space="0" w:color="auto"/>
              <w:right w:val="single" w:sz="4" w:space="0" w:color="auto"/>
            </w:tcBorders>
            <w:shd w:val="clear" w:color="000000" w:fill="CCFFCC"/>
            <w:vAlign w:val="bottom"/>
            <w:hideMark/>
          </w:tcPr>
          <w:p w14:paraId="2F773521"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b/>
                <w:bCs/>
                <w:sz w:val="16"/>
                <w:szCs w:val="16"/>
              </w:rPr>
            </w:pPr>
            <w:r w:rsidRPr="00317D3A">
              <w:rPr>
                <w:rFonts w:ascii="Times New Roman" w:eastAsia="Times New Roman" w:hAnsi="Times New Roman" w:cs="Times New Roman"/>
                <w:b/>
                <w:bCs/>
                <w:sz w:val="16"/>
                <w:szCs w:val="16"/>
              </w:rPr>
              <w:t xml:space="preserve"> 1 </w:t>
            </w:r>
          </w:p>
        </w:tc>
        <w:tc>
          <w:tcPr>
            <w:tcW w:w="3080" w:type="dxa"/>
            <w:tcBorders>
              <w:top w:val="nil"/>
              <w:left w:val="single" w:sz="4" w:space="0" w:color="auto"/>
              <w:bottom w:val="single" w:sz="4" w:space="0" w:color="auto"/>
              <w:right w:val="nil"/>
            </w:tcBorders>
            <w:shd w:val="clear" w:color="000000" w:fill="CCFFCC"/>
            <w:vAlign w:val="bottom"/>
            <w:hideMark/>
          </w:tcPr>
          <w:p w14:paraId="0B3DFE5F"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b/>
                <w:bCs/>
                <w:sz w:val="16"/>
                <w:szCs w:val="16"/>
              </w:rPr>
            </w:pPr>
            <w:r w:rsidRPr="00317D3A">
              <w:rPr>
                <w:rFonts w:ascii="Times New Roman" w:eastAsia="Times New Roman" w:hAnsi="Times New Roman" w:cs="Times New Roman"/>
                <w:b/>
                <w:bCs/>
                <w:sz w:val="16"/>
                <w:szCs w:val="16"/>
              </w:rPr>
              <w:t xml:space="preserve"> 2 </w:t>
            </w:r>
          </w:p>
        </w:tc>
        <w:tc>
          <w:tcPr>
            <w:tcW w:w="2060" w:type="dxa"/>
            <w:tcBorders>
              <w:top w:val="nil"/>
              <w:left w:val="single" w:sz="4" w:space="0" w:color="auto"/>
              <w:bottom w:val="single" w:sz="4" w:space="0" w:color="auto"/>
              <w:right w:val="single" w:sz="4" w:space="0" w:color="auto"/>
            </w:tcBorders>
            <w:shd w:val="clear" w:color="000000" w:fill="CCFFCC"/>
            <w:vAlign w:val="bottom"/>
            <w:hideMark/>
          </w:tcPr>
          <w:p w14:paraId="64542BA5"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b/>
                <w:bCs/>
                <w:sz w:val="16"/>
                <w:szCs w:val="16"/>
              </w:rPr>
            </w:pPr>
            <w:r w:rsidRPr="00317D3A">
              <w:rPr>
                <w:rFonts w:ascii="Times New Roman" w:eastAsia="Times New Roman" w:hAnsi="Times New Roman" w:cs="Times New Roman"/>
                <w:b/>
                <w:bCs/>
                <w:sz w:val="16"/>
                <w:szCs w:val="16"/>
              </w:rPr>
              <w:t xml:space="preserve"> 3 </w:t>
            </w:r>
          </w:p>
        </w:tc>
        <w:tc>
          <w:tcPr>
            <w:tcW w:w="2360" w:type="dxa"/>
            <w:tcBorders>
              <w:top w:val="nil"/>
              <w:left w:val="nil"/>
              <w:bottom w:val="single" w:sz="4" w:space="0" w:color="auto"/>
              <w:right w:val="single" w:sz="4" w:space="0" w:color="auto"/>
            </w:tcBorders>
            <w:shd w:val="clear" w:color="000000" w:fill="CCFFCC"/>
            <w:vAlign w:val="bottom"/>
            <w:hideMark/>
          </w:tcPr>
          <w:p w14:paraId="0C1B4E6F"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b/>
                <w:bCs/>
                <w:sz w:val="16"/>
                <w:szCs w:val="16"/>
              </w:rPr>
            </w:pPr>
            <w:r w:rsidRPr="00317D3A">
              <w:rPr>
                <w:rFonts w:ascii="Times New Roman" w:eastAsia="Times New Roman" w:hAnsi="Times New Roman" w:cs="Times New Roman"/>
                <w:b/>
                <w:bCs/>
                <w:sz w:val="16"/>
                <w:szCs w:val="16"/>
              </w:rPr>
              <w:t xml:space="preserve"> 4 </w:t>
            </w:r>
          </w:p>
        </w:tc>
      </w:tr>
      <w:tr w:rsidR="00012543" w:rsidRPr="00317D3A" w14:paraId="1E8E76D9" w14:textId="77777777" w:rsidTr="0001194F">
        <w:trPr>
          <w:trHeight w:val="480"/>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A63B590"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1.</w:t>
            </w:r>
          </w:p>
        </w:tc>
        <w:tc>
          <w:tcPr>
            <w:tcW w:w="3080" w:type="dxa"/>
            <w:tcBorders>
              <w:top w:val="nil"/>
              <w:left w:val="single" w:sz="4" w:space="0" w:color="auto"/>
              <w:bottom w:val="single" w:sz="4" w:space="0" w:color="auto"/>
              <w:right w:val="nil"/>
            </w:tcBorders>
            <w:shd w:val="clear" w:color="auto" w:fill="auto"/>
            <w:vAlign w:val="center"/>
            <w:hideMark/>
          </w:tcPr>
          <w:p w14:paraId="4E391454" w14:textId="77777777" w:rsidR="00012543" w:rsidRPr="00317D3A" w:rsidRDefault="00012543" w:rsidP="0001194F">
            <w:pPr>
              <w:spacing w:after="0" w:line="240" w:lineRule="auto"/>
              <w:ind w:left="0" w:right="0" w:firstLine="0"/>
              <w:jc w:val="left"/>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 xml:space="preserve"> Jednostki uczestnictwa w funduszach inwestycyjnych </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14:paraId="7ECDAB23"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0</w:t>
            </w:r>
          </w:p>
        </w:tc>
        <w:tc>
          <w:tcPr>
            <w:tcW w:w="2360" w:type="dxa"/>
            <w:tcBorders>
              <w:top w:val="nil"/>
              <w:left w:val="nil"/>
              <w:bottom w:val="single" w:sz="4" w:space="0" w:color="auto"/>
              <w:right w:val="single" w:sz="4" w:space="0" w:color="auto"/>
            </w:tcBorders>
            <w:shd w:val="clear" w:color="auto" w:fill="auto"/>
            <w:vAlign w:val="center"/>
            <w:hideMark/>
          </w:tcPr>
          <w:p w14:paraId="332B48A3"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2 301</w:t>
            </w:r>
          </w:p>
        </w:tc>
      </w:tr>
      <w:tr w:rsidR="00012543" w:rsidRPr="00317D3A" w14:paraId="33D63B3D" w14:textId="77777777" w:rsidTr="00720A0C">
        <w:trPr>
          <w:trHeight w:val="288"/>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A72304E"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2.</w:t>
            </w:r>
          </w:p>
        </w:tc>
        <w:tc>
          <w:tcPr>
            <w:tcW w:w="3080" w:type="dxa"/>
            <w:tcBorders>
              <w:top w:val="nil"/>
              <w:left w:val="single" w:sz="4" w:space="0" w:color="auto"/>
              <w:bottom w:val="single" w:sz="4" w:space="0" w:color="auto"/>
              <w:right w:val="nil"/>
            </w:tcBorders>
            <w:shd w:val="clear" w:color="auto" w:fill="auto"/>
            <w:vAlign w:val="center"/>
            <w:hideMark/>
          </w:tcPr>
          <w:p w14:paraId="69B4197E" w14:textId="77777777" w:rsidR="00012543" w:rsidRPr="00317D3A" w:rsidRDefault="00012543" w:rsidP="0001194F">
            <w:pPr>
              <w:spacing w:after="0" w:line="240" w:lineRule="auto"/>
              <w:ind w:left="0" w:right="0" w:firstLine="0"/>
              <w:jc w:val="left"/>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 xml:space="preserve"> Certyfikaty depozytowe BPS </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14:paraId="3D42EBF6"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0</w:t>
            </w:r>
          </w:p>
        </w:tc>
        <w:tc>
          <w:tcPr>
            <w:tcW w:w="2360" w:type="dxa"/>
            <w:tcBorders>
              <w:top w:val="nil"/>
              <w:left w:val="nil"/>
              <w:bottom w:val="single" w:sz="4" w:space="0" w:color="auto"/>
              <w:right w:val="single" w:sz="4" w:space="0" w:color="auto"/>
            </w:tcBorders>
            <w:shd w:val="clear" w:color="auto" w:fill="auto"/>
            <w:vAlign w:val="center"/>
            <w:hideMark/>
          </w:tcPr>
          <w:p w14:paraId="4B631981"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0</w:t>
            </w:r>
          </w:p>
        </w:tc>
      </w:tr>
      <w:tr w:rsidR="00012543" w:rsidRPr="00317D3A" w14:paraId="77A54A37" w14:textId="77777777" w:rsidTr="00720A0C">
        <w:trPr>
          <w:trHeight w:val="288"/>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B50AD"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lastRenderedPageBreak/>
              <w:t>3.</w:t>
            </w:r>
          </w:p>
        </w:tc>
        <w:tc>
          <w:tcPr>
            <w:tcW w:w="3080" w:type="dxa"/>
            <w:tcBorders>
              <w:top w:val="single" w:sz="4" w:space="0" w:color="auto"/>
              <w:left w:val="single" w:sz="4" w:space="0" w:color="auto"/>
              <w:bottom w:val="single" w:sz="4" w:space="0" w:color="auto"/>
              <w:right w:val="nil"/>
            </w:tcBorders>
            <w:shd w:val="clear" w:color="auto" w:fill="auto"/>
            <w:vAlign w:val="center"/>
            <w:hideMark/>
          </w:tcPr>
          <w:p w14:paraId="1342DB8F" w14:textId="77777777" w:rsidR="00012543" w:rsidRPr="00317D3A" w:rsidRDefault="00012543" w:rsidP="0001194F">
            <w:pPr>
              <w:spacing w:after="0" w:line="240" w:lineRule="auto"/>
              <w:ind w:left="0" w:right="0" w:firstLine="0"/>
              <w:jc w:val="left"/>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 xml:space="preserve"> Bony pieniężne </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DC735"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73 099</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6AFFEFF4"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48 906</w:t>
            </w:r>
          </w:p>
        </w:tc>
      </w:tr>
      <w:tr w:rsidR="00012543" w:rsidRPr="00317D3A" w14:paraId="1CEBC98B" w14:textId="77777777" w:rsidTr="0001194F">
        <w:trPr>
          <w:trHeight w:val="288"/>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B1D1373"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4.</w:t>
            </w:r>
          </w:p>
        </w:tc>
        <w:tc>
          <w:tcPr>
            <w:tcW w:w="3080" w:type="dxa"/>
            <w:tcBorders>
              <w:top w:val="nil"/>
              <w:left w:val="single" w:sz="4" w:space="0" w:color="auto"/>
              <w:bottom w:val="single" w:sz="4" w:space="0" w:color="auto"/>
              <w:right w:val="nil"/>
            </w:tcBorders>
            <w:shd w:val="clear" w:color="auto" w:fill="auto"/>
            <w:vAlign w:val="center"/>
            <w:hideMark/>
          </w:tcPr>
          <w:p w14:paraId="457FD2CE" w14:textId="77777777" w:rsidR="00012543" w:rsidRPr="00317D3A" w:rsidRDefault="00012543" w:rsidP="0001194F">
            <w:pPr>
              <w:spacing w:after="0" w:line="240" w:lineRule="auto"/>
              <w:ind w:left="0" w:right="0" w:firstLine="0"/>
              <w:jc w:val="left"/>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 xml:space="preserve"> Certyfikaty inwestycyjne </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14:paraId="53C7133C"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0</w:t>
            </w:r>
          </w:p>
        </w:tc>
        <w:tc>
          <w:tcPr>
            <w:tcW w:w="2360" w:type="dxa"/>
            <w:tcBorders>
              <w:top w:val="nil"/>
              <w:left w:val="nil"/>
              <w:bottom w:val="single" w:sz="4" w:space="0" w:color="auto"/>
              <w:right w:val="single" w:sz="4" w:space="0" w:color="auto"/>
            </w:tcBorders>
            <w:shd w:val="clear" w:color="auto" w:fill="auto"/>
            <w:vAlign w:val="center"/>
            <w:hideMark/>
          </w:tcPr>
          <w:p w14:paraId="1739BBF1"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0</w:t>
            </w:r>
          </w:p>
        </w:tc>
      </w:tr>
      <w:tr w:rsidR="00012543" w:rsidRPr="00317D3A" w14:paraId="7B1F109A" w14:textId="77777777" w:rsidTr="0001194F">
        <w:trPr>
          <w:trHeight w:val="288"/>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C9FADCB"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5.</w:t>
            </w:r>
          </w:p>
        </w:tc>
        <w:tc>
          <w:tcPr>
            <w:tcW w:w="3080" w:type="dxa"/>
            <w:tcBorders>
              <w:top w:val="nil"/>
              <w:left w:val="single" w:sz="4" w:space="0" w:color="auto"/>
              <w:bottom w:val="single" w:sz="4" w:space="0" w:color="auto"/>
              <w:right w:val="nil"/>
            </w:tcBorders>
            <w:shd w:val="clear" w:color="auto" w:fill="auto"/>
            <w:vAlign w:val="center"/>
            <w:hideMark/>
          </w:tcPr>
          <w:p w14:paraId="34DB057C" w14:textId="77777777" w:rsidR="00012543" w:rsidRPr="00317D3A" w:rsidRDefault="00012543" w:rsidP="0001194F">
            <w:pPr>
              <w:spacing w:after="0" w:line="240" w:lineRule="auto"/>
              <w:ind w:left="0" w:right="0" w:firstLine="0"/>
              <w:jc w:val="left"/>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 xml:space="preserve"> Obligacje korporacyjne </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14:paraId="516E3D7D"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0</w:t>
            </w:r>
          </w:p>
        </w:tc>
        <w:tc>
          <w:tcPr>
            <w:tcW w:w="2360" w:type="dxa"/>
            <w:tcBorders>
              <w:top w:val="nil"/>
              <w:left w:val="nil"/>
              <w:bottom w:val="single" w:sz="4" w:space="0" w:color="auto"/>
              <w:right w:val="single" w:sz="4" w:space="0" w:color="auto"/>
            </w:tcBorders>
            <w:shd w:val="clear" w:color="auto" w:fill="auto"/>
            <w:vAlign w:val="center"/>
            <w:hideMark/>
          </w:tcPr>
          <w:p w14:paraId="0D39BD47"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0</w:t>
            </w:r>
          </w:p>
        </w:tc>
      </w:tr>
      <w:tr w:rsidR="00012543" w:rsidRPr="00317D3A" w14:paraId="66834460" w14:textId="77777777" w:rsidTr="0001194F">
        <w:trPr>
          <w:trHeight w:val="480"/>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1CCCC8B"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6.</w:t>
            </w:r>
          </w:p>
        </w:tc>
        <w:tc>
          <w:tcPr>
            <w:tcW w:w="3080" w:type="dxa"/>
            <w:tcBorders>
              <w:top w:val="nil"/>
              <w:left w:val="single" w:sz="4" w:space="0" w:color="auto"/>
              <w:bottom w:val="single" w:sz="4" w:space="0" w:color="auto"/>
              <w:right w:val="nil"/>
            </w:tcBorders>
            <w:shd w:val="clear" w:color="auto" w:fill="auto"/>
            <w:vAlign w:val="center"/>
            <w:hideMark/>
          </w:tcPr>
          <w:p w14:paraId="58CFE037" w14:textId="77777777" w:rsidR="00012543" w:rsidRPr="00317D3A" w:rsidRDefault="00012543" w:rsidP="0001194F">
            <w:pPr>
              <w:spacing w:after="0" w:line="240" w:lineRule="auto"/>
              <w:ind w:left="0" w:right="0" w:firstLine="0"/>
              <w:jc w:val="left"/>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 xml:space="preserve"> Obligacje komunalne (miasta, gminy, powiaty, województwa, związki miast, związki gmin, związki powiatów) </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14:paraId="39D9713A"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0</w:t>
            </w:r>
          </w:p>
        </w:tc>
        <w:tc>
          <w:tcPr>
            <w:tcW w:w="2360" w:type="dxa"/>
            <w:tcBorders>
              <w:top w:val="nil"/>
              <w:left w:val="nil"/>
              <w:bottom w:val="single" w:sz="4" w:space="0" w:color="auto"/>
              <w:right w:val="single" w:sz="4" w:space="0" w:color="auto"/>
            </w:tcBorders>
            <w:shd w:val="clear" w:color="auto" w:fill="auto"/>
            <w:vAlign w:val="center"/>
            <w:hideMark/>
          </w:tcPr>
          <w:p w14:paraId="65D99057"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14 491</w:t>
            </w:r>
          </w:p>
        </w:tc>
      </w:tr>
      <w:tr w:rsidR="00012543" w:rsidRPr="00317D3A" w14:paraId="725D5E79" w14:textId="77777777" w:rsidTr="0001194F">
        <w:trPr>
          <w:trHeight w:val="540"/>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4E310DB"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7.</w:t>
            </w:r>
          </w:p>
        </w:tc>
        <w:tc>
          <w:tcPr>
            <w:tcW w:w="3080" w:type="dxa"/>
            <w:tcBorders>
              <w:top w:val="nil"/>
              <w:left w:val="single" w:sz="4" w:space="0" w:color="auto"/>
              <w:bottom w:val="single" w:sz="4" w:space="0" w:color="auto"/>
              <w:right w:val="nil"/>
            </w:tcBorders>
            <w:shd w:val="clear" w:color="auto" w:fill="auto"/>
            <w:vAlign w:val="center"/>
            <w:hideMark/>
          </w:tcPr>
          <w:p w14:paraId="260A96AC" w14:textId="77777777" w:rsidR="00012543" w:rsidRPr="00317D3A" w:rsidRDefault="00012543" w:rsidP="0001194F">
            <w:pPr>
              <w:spacing w:after="0" w:line="240" w:lineRule="auto"/>
              <w:ind w:left="0" w:right="0" w:firstLine="0"/>
              <w:jc w:val="left"/>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 xml:space="preserve"> Obligacje podmiotów sektora finansowego </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14:paraId="7F431AA6"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12 973</w:t>
            </w:r>
          </w:p>
        </w:tc>
        <w:tc>
          <w:tcPr>
            <w:tcW w:w="2360" w:type="dxa"/>
            <w:tcBorders>
              <w:top w:val="nil"/>
              <w:left w:val="nil"/>
              <w:bottom w:val="single" w:sz="4" w:space="0" w:color="auto"/>
              <w:right w:val="single" w:sz="4" w:space="0" w:color="auto"/>
            </w:tcBorders>
            <w:shd w:val="clear" w:color="auto" w:fill="auto"/>
            <w:vAlign w:val="center"/>
            <w:hideMark/>
          </w:tcPr>
          <w:p w14:paraId="4C624E29"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218</w:t>
            </w:r>
          </w:p>
        </w:tc>
      </w:tr>
      <w:tr w:rsidR="00012543" w:rsidRPr="00317D3A" w14:paraId="6328C90E" w14:textId="77777777" w:rsidTr="0001194F">
        <w:trPr>
          <w:trHeight w:val="528"/>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2FE3129"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8.</w:t>
            </w:r>
          </w:p>
        </w:tc>
        <w:tc>
          <w:tcPr>
            <w:tcW w:w="3080" w:type="dxa"/>
            <w:tcBorders>
              <w:top w:val="nil"/>
              <w:left w:val="single" w:sz="4" w:space="0" w:color="auto"/>
              <w:bottom w:val="single" w:sz="4" w:space="0" w:color="auto"/>
              <w:right w:val="nil"/>
            </w:tcBorders>
            <w:shd w:val="clear" w:color="auto" w:fill="auto"/>
            <w:vAlign w:val="center"/>
            <w:hideMark/>
          </w:tcPr>
          <w:p w14:paraId="6CB0A644" w14:textId="77777777" w:rsidR="00012543" w:rsidRPr="00317D3A" w:rsidRDefault="00012543" w:rsidP="0001194F">
            <w:pPr>
              <w:spacing w:after="0" w:line="240" w:lineRule="auto"/>
              <w:ind w:left="0" w:right="0" w:firstLine="0"/>
              <w:jc w:val="left"/>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 xml:space="preserve"> Inne np. akcje spółek niepublicznych lub udziały w spółkach z o.o. </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14:paraId="4FE77DA2"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128</w:t>
            </w:r>
          </w:p>
        </w:tc>
        <w:tc>
          <w:tcPr>
            <w:tcW w:w="2360" w:type="dxa"/>
            <w:tcBorders>
              <w:top w:val="nil"/>
              <w:left w:val="nil"/>
              <w:bottom w:val="single" w:sz="4" w:space="0" w:color="auto"/>
              <w:right w:val="single" w:sz="4" w:space="0" w:color="auto"/>
            </w:tcBorders>
            <w:shd w:val="clear" w:color="auto" w:fill="auto"/>
            <w:vAlign w:val="center"/>
            <w:hideMark/>
          </w:tcPr>
          <w:p w14:paraId="7ECB953A"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color w:val="auto"/>
                <w:sz w:val="22"/>
              </w:rPr>
            </w:pPr>
            <w:r w:rsidRPr="00317D3A">
              <w:rPr>
                <w:rFonts w:ascii="Times New Roman" w:eastAsia="Times New Roman" w:hAnsi="Times New Roman" w:cs="Times New Roman"/>
                <w:color w:val="auto"/>
                <w:sz w:val="22"/>
              </w:rPr>
              <w:t>128</w:t>
            </w:r>
          </w:p>
        </w:tc>
      </w:tr>
      <w:tr w:rsidR="00012543" w:rsidRPr="00317D3A" w14:paraId="0D03E252" w14:textId="77777777" w:rsidTr="0001194F">
        <w:trPr>
          <w:trHeight w:val="288"/>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EB60903" w14:textId="77777777" w:rsidR="00012543" w:rsidRPr="00317D3A" w:rsidRDefault="00012543" w:rsidP="0001194F">
            <w:pPr>
              <w:spacing w:after="0" w:line="240" w:lineRule="auto"/>
              <w:ind w:left="0" w:right="0" w:firstLine="0"/>
              <w:jc w:val="center"/>
              <w:rPr>
                <w:rFonts w:ascii="Times New Roman" w:eastAsia="Times New Roman" w:hAnsi="Times New Roman" w:cs="Times New Roman"/>
                <w:sz w:val="20"/>
                <w:szCs w:val="20"/>
              </w:rPr>
            </w:pPr>
            <w:r w:rsidRPr="00317D3A">
              <w:rPr>
                <w:rFonts w:ascii="Times New Roman" w:eastAsia="Times New Roman" w:hAnsi="Times New Roman" w:cs="Times New Roman"/>
                <w:sz w:val="20"/>
                <w:szCs w:val="20"/>
              </w:rPr>
              <w:t> </w:t>
            </w:r>
          </w:p>
        </w:tc>
        <w:tc>
          <w:tcPr>
            <w:tcW w:w="3080" w:type="dxa"/>
            <w:tcBorders>
              <w:top w:val="nil"/>
              <w:left w:val="single" w:sz="4" w:space="0" w:color="auto"/>
              <w:bottom w:val="single" w:sz="4" w:space="0" w:color="auto"/>
              <w:right w:val="nil"/>
            </w:tcBorders>
            <w:shd w:val="clear" w:color="auto" w:fill="auto"/>
            <w:vAlign w:val="center"/>
            <w:hideMark/>
          </w:tcPr>
          <w:p w14:paraId="18847349" w14:textId="77777777" w:rsidR="00012543" w:rsidRPr="00317D3A" w:rsidRDefault="00012543" w:rsidP="0001194F">
            <w:pPr>
              <w:spacing w:after="0" w:line="240" w:lineRule="auto"/>
              <w:ind w:left="0" w:right="0" w:firstLine="0"/>
              <w:jc w:val="left"/>
              <w:rPr>
                <w:rFonts w:ascii="Times New Roman" w:eastAsia="Times New Roman" w:hAnsi="Times New Roman" w:cs="Times New Roman"/>
                <w:b/>
                <w:bCs/>
                <w:sz w:val="20"/>
                <w:szCs w:val="20"/>
              </w:rPr>
            </w:pPr>
            <w:r w:rsidRPr="00317D3A">
              <w:rPr>
                <w:rFonts w:ascii="Times New Roman" w:eastAsia="Times New Roman" w:hAnsi="Times New Roman" w:cs="Times New Roman"/>
                <w:b/>
                <w:bCs/>
                <w:sz w:val="20"/>
                <w:szCs w:val="20"/>
              </w:rPr>
              <w:t xml:space="preserve"> RAZEM: </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14:paraId="2C477E07"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b/>
                <w:bCs/>
                <w:color w:val="auto"/>
                <w:sz w:val="22"/>
              </w:rPr>
            </w:pPr>
            <w:r w:rsidRPr="00317D3A">
              <w:rPr>
                <w:rFonts w:ascii="Times New Roman" w:eastAsia="Times New Roman" w:hAnsi="Times New Roman" w:cs="Times New Roman"/>
                <w:b/>
                <w:bCs/>
                <w:color w:val="auto"/>
                <w:sz w:val="22"/>
              </w:rPr>
              <w:t>86 200</w:t>
            </w:r>
          </w:p>
        </w:tc>
        <w:tc>
          <w:tcPr>
            <w:tcW w:w="2360" w:type="dxa"/>
            <w:tcBorders>
              <w:top w:val="nil"/>
              <w:left w:val="nil"/>
              <w:bottom w:val="single" w:sz="4" w:space="0" w:color="auto"/>
              <w:right w:val="single" w:sz="4" w:space="0" w:color="auto"/>
            </w:tcBorders>
            <w:shd w:val="clear" w:color="auto" w:fill="auto"/>
            <w:vAlign w:val="center"/>
            <w:hideMark/>
          </w:tcPr>
          <w:p w14:paraId="4DBAA976" w14:textId="77777777" w:rsidR="00012543" w:rsidRPr="00317D3A" w:rsidRDefault="00012543" w:rsidP="0001194F">
            <w:pPr>
              <w:spacing w:after="0" w:line="240" w:lineRule="auto"/>
              <w:ind w:left="0" w:right="0" w:firstLine="0"/>
              <w:jc w:val="right"/>
              <w:rPr>
                <w:rFonts w:ascii="Times New Roman" w:eastAsia="Times New Roman" w:hAnsi="Times New Roman" w:cs="Times New Roman"/>
                <w:b/>
                <w:bCs/>
                <w:color w:val="auto"/>
                <w:sz w:val="22"/>
              </w:rPr>
            </w:pPr>
            <w:r w:rsidRPr="00317D3A">
              <w:rPr>
                <w:rFonts w:ascii="Times New Roman" w:eastAsia="Times New Roman" w:hAnsi="Times New Roman" w:cs="Times New Roman"/>
                <w:b/>
                <w:bCs/>
                <w:color w:val="auto"/>
                <w:sz w:val="22"/>
              </w:rPr>
              <w:t>66 043</w:t>
            </w:r>
          </w:p>
        </w:tc>
      </w:tr>
    </w:tbl>
    <w:p w14:paraId="690E1E15" w14:textId="77777777" w:rsidR="00012543" w:rsidRPr="007F07EA" w:rsidRDefault="00012543" w:rsidP="00012543">
      <w:pPr>
        <w:spacing w:after="0" w:line="276" w:lineRule="auto"/>
        <w:ind w:left="992" w:right="6" w:hanging="425"/>
        <w:rPr>
          <w:rFonts w:ascii="Times New Roman" w:eastAsia="Times New Roman" w:hAnsi="Times New Roman" w:cs="Times New Roman"/>
          <w:color w:val="auto"/>
          <w:szCs w:val="24"/>
        </w:rPr>
      </w:pPr>
    </w:p>
    <w:p w14:paraId="6ECD5261" w14:textId="77777777" w:rsidR="00012543" w:rsidRPr="007F07EA" w:rsidRDefault="00012543" w:rsidP="00012543">
      <w:pPr>
        <w:spacing w:after="0" w:line="276" w:lineRule="auto"/>
        <w:ind w:left="993" w:hanging="426"/>
        <w:rPr>
          <w:rFonts w:ascii="Times New Roman" w:eastAsia="Times New Roman" w:hAnsi="Times New Roman" w:cs="Times New Roman"/>
          <w:color w:val="auto"/>
          <w:szCs w:val="24"/>
        </w:rPr>
      </w:pPr>
      <w:r w:rsidRPr="007F07EA">
        <w:rPr>
          <w:rFonts w:ascii="Times New Roman" w:eastAsia="Times New Roman" w:hAnsi="Times New Roman" w:cs="Times New Roman"/>
          <w:color w:val="auto"/>
          <w:szCs w:val="24"/>
        </w:rPr>
        <w:t xml:space="preserve">4)     Papierów wartościowych z ograniczoną zbywalnością: </w:t>
      </w:r>
    </w:p>
    <w:p w14:paraId="55DE37CB" w14:textId="77777777" w:rsidR="00012543" w:rsidRPr="007F07EA" w:rsidRDefault="00012543" w:rsidP="00012543">
      <w:pPr>
        <w:pStyle w:val="Akapitzlist"/>
        <w:numPr>
          <w:ilvl w:val="0"/>
          <w:numId w:val="45"/>
        </w:numPr>
        <w:spacing w:after="200" w:line="276" w:lineRule="auto"/>
        <w:ind w:left="1134" w:hanging="142"/>
        <w:contextualSpacing/>
        <w:rPr>
          <w:sz w:val="24"/>
          <w:szCs w:val="24"/>
        </w:rPr>
      </w:pPr>
      <w:r w:rsidRPr="007F07EA">
        <w:rPr>
          <w:sz w:val="24"/>
          <w:szCs w:val="24"/>
        </w:rPr>
        <w:t xml:space="preserve"> akcje Banku BPS S.A. o wartości 5 956 tys. zł;</w:t>
      </w:r>
    </w:p>
    <w:p w14:paraId="490F3798" w14:textId="77777777" w:rsidR="00012543" w:rsidRPr="007F07EA" w:rsidRDefault="00012543" w:rsidP="00012543">
      <w:pPr>
        <w:pStyle w:val="Akapitzlist"/>
        <w:numPr>
          <w:ilvl w:val="0"/>
          <w:numId w:val="45"/>
        </w:numPr>
        <w:spacing w:after="200" w:line="276" w:lineRule="auto"/>
        <w:ind w:left="1134" w:hanging="142"/>
        <w:contextualSpacing/>
        <w:jc w:val="both"/>
        <w:rPr>
          <w:sz w:val="24"/>
          <w:szCs w:val="24"/>
        </w:rPr>
      </w:pPr>
      <w:r w:rsidRPr="007F07EA">
        <w:rPr>
          <w:sz w:val="24"/>
          <w:szCs w:val="24"/>
        </w:rPr>
        <w:t xml:space="preserve"> akcje Centrum Finansowego SA o wartości 0,00 zł (wartość nominalna 5 tys. zł, odpis aktualizacyjny 5 tys. zł);</w:t>
      </w:r>
    </w:p>
    <w:p w14:paraId="67D49BAE" w14:textId="77777777" w:rsidR="00012543" w:rsidRPr="007F07EA" w:rsidRDefault="00012543" w:rsidP="00012543">
      <w:pPr>
        <w:pStyle w:val="Akapitzlist"/>
        <w:numPr>
          <w:ilvl w:val="0"/>
          <w:numId w:val="45"/>
        </w:numPr>
        <w:spacing w:after="200" w:line="276" w:lineRule="auto"/>
        <w:ind w:left="1134" w:hanging="142"/>
        <w:contextualSpacing/>
        <w:jc w:val="both"/>
        <w:rPr>
          <w:sz w:val="24"/>
          <w:szCs w:val="24"/>
        </w:rPr>
      </w:pPr>
      <w:r w:rsidRPr="007F07EA">
        <w:rPr>
          <w:sz w:val="24"/>
          <w:szCs w:val="24"/>
        </w:rPr>
        <w:t>inne np. akcje lub udziały, które są kupione przez bank spółdzielczy oraz są z jakiegoś powodu zastawione (jest ustanowiony na nich zastaw) - nie występują.</w:t>
      </w:r>
    </w:p>
    <w:p w14:paraId="62655DC4" w14:textId="12E7947A" w:rsidR="00012543" w:rsidRDefault="00012543" w:rsidP="00720A0C">
      <w:pPr>
        <w:pStyle w:val="Akapitzlist"/>
        <w:numPr>
          <w:ilvl w:val="0"/>
          <w:numId w:val="41"/>
        </w:numPr>
        <w:spacing w:line="276" w:lineRule="auto"/>
        <w:rPr>
          <w:sz w:val="24"/>
          <w:szCs w:val="24"/>
        </w:rPr>
      </w:pPr>
      <w:r w:rsidRPr="007F07EA">
        <w:rPr>
          <w:sz w:val="24"/>
          <w:szCs w:val="24"/>
        </w:rPr>
        <w:t>Wartości rynkowej instrumentów finansowych, w przypadku gdy jest różna od wartości wykazywanej w bilansie. W 20</w:t>
      </w:r>
      <w:r>
        <w:rPr>
          <w:sz w:val="24"/>
          <w:szCs w:val="24"/>
        </w:rPr>
        <w:t>20</w:t>
      </w:r>
      <w:r w:rsidRPr="007F07EA">
        <w:rPr>
          <w:sz w:val="24"/>
          <w:szCs w:val="24"/>
        </w:rPr>
        <w:t xml:space="preserve"> r. – nie wystąpiły.</w:t>
      </w:r>
    </w:p>
    <w:p w14:paraId="5BE247C1" w14:textId="77777777" w:rsidR="00720A0C" w:rsidRPr="007F07EA" w:rsidRDefault="00720A0C" w:rsidP="00720A0C">
      <w:pPr>
        <w:pStyle w:val="Akapitzlist"/>
        <w:spacing w:line="276" w:lineRule="auto"/>
        <w:rPr>
          <w:sz w:val="24"/>
          <w:szCs w:val="24"/>
        </w:rPr>
      </w:pPr>
    </w:p>
    <w:p w14:paraId="214C457F" w14:textId="77777777" w:rsidR="002C50F6" w:rsidRPr="007F7880" w:rsidRDefault="00E81BF6">
      <w:pPr>
        <w:pStyle w:val="Nagwek1"/>
        <w:spacing w:after="602"/>
        <w:ind w:left="-5" w:right="7"/>
        <w:rPr>
          <w:rFonts w:ascii="Times New Roman" w:hAnsi="Times New Roman" w:cs="Times New Roman"/>
          <w:color w:val="000000" w:themeColor="text1"/>
        </w:rPr>
      </w:pPr>
      <w:bookmarkStart w:id="59" w:name="_Toc75336288"/>
      <w:r w:rsidRPr="007F7880">
        <w:rPr>
          <w:rFonts w:ascii="Times New Roman" w:hAnsi="Times New Roman" w:cs="Times New Roman"/>
          <w:color w:val="000000" w:themeColor="text1"/>
        </w:rPr>
        <w:t>15. Ekspozycja na ryzyko stopy procentowej przypisane pozycjom nieuwzględnionym w portfelu handlowym – art. 448 Rozporządzenia CRR</w:t>
      </w:r>
      <w:bookmarkEnd w:id="59"/>
    </w:p>
    <w:p w14:paraId="0612E92A" w14:textId="77777777" w:rsidR="002C50F6" w:rsidRPr="007F7880" w:rsidRDefault="00E81BF6" w:rsidP="00B72F37">
      <w:pPr>
        <w:pStyle w:val="Nagwek2"/>
        <w:ind w:left="-15" w:right="7" w:firstLine="0"/>
        <w:rPr>
          <w:rFonts w:ascii="Times New Roman" w:hAnsi="Times New Roman" w:cs="Times New Roman"/>
          <w:color w:val="000000" w:themeColor="text1"/>
        </w:rPr>
      </w:pPr>
      <w:bookmarkStart w:id="60" w:name="_Toc75336289"/>
      <w:r w:rsidRPr="007F7880">
        <w:rPr>
          <w:rFonts w:ascii="Times New Roman" w:hAnsi="Times New Roman" w:cs="Times New Roman"/>
          <w:color w:val="000000" w:themeColor="text1"/>
        </w:rPr>
        <w:t>15.1. Charakter ryzyka stopy procentowej i zasadnicze założenia oraz częstotliwość pomiarów ryzyka stopy procentowej</w:t>
      </w:r>
      <w:bookmarkEnd w:id="60"/>
    </w:p>
    <w:p w14:paraId="1E87A370" w14:textId="47A36EAD" w:rsidR="00D46C09" w:rsidRPr="007F7880" w:rsidRDefault="00D46C09" w:rsidP="003F4FD0">
      <w:pPr>
        <w:pStyle w:val="Default"/>
        <w:spacing w:line="276" w:lineRule="auto"/>
        <w:jc w:val="both"/>
        <w:rPr>
          <w:color w:val="000000" w:themeColor="text1"/>
        </w:rPr>
      </w:pPr>
      <w:r w:rsidRPr="007F7880">
        <w:rPr>
          <w:color w:val="000000" w:themeColor="text1"/>
        </w:rPr>
        <w:t xml:space="preserve">Ryzyko stopy procentowej jest to </w:t>
      </w:r>
      <w:r w:rsidR="007F7880" w:rsidRPr="007F7880">
        <w:rPr>
          <w:color w:val="000000" w:themeColor="text1"/>
        </w:rPr>
        <w:t>obecne lub przyszłe ryzyko zarówno dla dochodów, jak i wartości ekonomicznej instytucji, wynikające z niekorzystnych zmian stóp procentowych, które wpływają na instrumenty wrażliwe na zmiany stóp procentowych, obejmuje ryzyko  niedopasowania, ryzyko bazowe i ryzyko opcji klienta</w:t>
      </w:r>
      <w:r w:rsidR="00B72F37" w:rsidRPr="007F7880">
        <w:rPr>
          <w:color w:val="000000" w:themeColor="text1"/>
        </w:rPr>
        <w:t>.</w:t>
      </w:r>
    </w:p>
    <w:p w14:paraId="5495B57C" w14:textId="4817159A" w:rsidR="00F1098D" w:rsidRPr="007F7880" w:rsidRDefault="00F1098D" w:rsidP="003F4FD0">
      <w:pPr>
        <w:spacing w:after="0" w:line="276" w:lineRule="auto"/>
        <w:ind w:left="0"/>
        <w:rPr>
          <w:rFonts w:ascii="Times New Roman" w:eastAsiaTheme="minorEastAsia" w:hAnsi="Times New Roman" w:cs="Times New Roman"/>
          <w:color w:val="000000" w:themeColor="text1"/>
          <w:szCs w:val="24"/>
        </w:rPr>
      </w:pPr>
      <w:r w:rsidRPr="007F7880">
        <w:rPr>
          <w:rFonts w:ascii="Times New Roman" w:eastAsiaTheme="minorEastAsia" w:hAnsi="Times New Roman" w:cs="Times New Roman"/>
          <w:color w:val="000000" w:themeColor="text1"/>
          <w:szCs w:val="24"/>
        </w:rPr>
        <w:t xml:space="preserve">Celem strategicznym w zakresie zarządzania ryzykiem stopy procentowej </w:t>
      </w:r>
      <w:r w:rsidR="00FE4ECD" w:rsidRPr="007F7880">
        <w:rPr>
          <w:rFonts w:ascii="Times New Roman" w:eastAsiaTheme="minorEastAsia" w:hAnsi="Times New Roman" w:cs="Times New Roman"/>
          <w:color w:val="000000" w:themeColor="text1"/>
          <w:szCs w:val="24"/>
        </w:rPr>
        <w:t>jest maksymalizacja marży odsetkowej w warunkach zmienności rynkowych stóp procentowych oraz ograniczanie negatywnego wpływu zmian stóp procentowych na wynik finansowy poprzez doskonalenie narzędzi pomiaru ryzyka stopy procentowej</w:t>
      </w:r>
      <w:r w:rsidRPr="007F7880">
        <w:rPr>
          <w:rFonts w:ascii="Times New Roman" w:eastAsiaTheme="minorEastAsia" w:hAnsi="Times New Roman" w:cs="Times New Roman"/>
          <w:color w:val="000000" w:themeColor="text1"/>
          <w:szCs w:val="24"/>
        </w:rPr>
        <w:t>.</w:t>
      </w:r>
    </w:p>
    <w:p w14:paraId="0E603FED" w14:textId="77777777" w:rsidR="00D46C09" w:rsidRPr="007F7880" w:rsidRDefault="00D46C09" w:rsidP="003F4FD0">
      <w:pPr>
        <w:pStyle w:val="Default"/>
        <w:spacing w:line="276" w:lineRule="auto"/>
        <w:jc w:val="both"/>
        <w:rPr>
          <w:color w:val="000000" w:themeColor="text1"/>
        </w:rPr>
      </w:pPr>
      <w:r w:rsidRPr="007F7880">
        <w:rPr>
          <w:color w:val="000000" w:themeColor="text1"/>
        </w:rPr>
        <w:t xml:space="preserve">Ryzyko stopy procentowej w Banku wynikało z: </w:t>
      </w:r>
    </w:p>
    <w:p w14:paraId="1D810D77" w14:textId="642578CA" w:rsidR="00D46C09" w:rsidRPr="007F7880" w:rsidRDefault="00D46C09" w:rsidP="007F7880">
      <w:pPr>
        <w:pStyle w:val="Default"/>
        <w:numPr>
          <w:ilvl w:val="1"/>
          <w:numId w:val="47"/>
        </w:numPr>
        <w:spacing w:line="276" w:lineRule="auto"/>
        <w:ind w:left="567" w:hanging="283"/>
        <w:jc w:val="both"/>
        <w:rPr>
          <w:color w:val="000000" w:themeColor="text1"/>
        </w:rPr>
      </w:pPr>
      <w:r w:rsidRPr="007F7880">
        <w:rPr>
          <w:color w:val="000000" w:themeColor="text1"/>
        </w:rPr>
        <w:t>ryzyka niedopasowania –</w:t>
      </w:r>
      <w:r w:rsidR="007F7880" w:rsidRPr="007F7880">
        <w:rPr>
          <w:color w:val="000000" w:themeColor="text1"/>
        </w:rPr>
        <w:t xml:space="preserve"> ryzyko wynikające ze struktury terminowej instrumentów wrażliwych na zmiany stóp procentowych, którego źródłem są różnice w czasie dostosowania oprocentowania tych instrumentów, obejmuje ono zmiany w strukturze terminowej stóp procentowych występujące w sposób spójny na krzywej dochodowości </w:t>
      </w:r>
      <w:r w:rsidR="007F7880" w:rsidRPr="007F7880">
        <w:rPr>
          <w:color w:val="000000" w:themeColor="text1"/>
        </w:rPr>
        <w:lastRenderedPageBreak/>
        <w:t>(ryzyko równoległe) lub w sposób zróżnicowany w poszczególnych okresach (ryzyko nierównoległe)</w:t>
      </w:r>
      <w:r w:rsidR="00DE05EC" w:rsidRPr="007F7880">
        <w:rPr>
          <w:color w:val="000000" w:themeColor="text1"/>
        </w:rPr>
        <w:t>;</w:t>
      </w:r>
    </w:p>
    <w:p w14:paraId="7AEE41B4" w14:textId="6C05DA6B" w:rsidR="00D46C09" w:rsidRPr="007F7880" w:rsidRDefault="00D46C09" w:rsidP="007F7880">
      <w:pPr>
        <w:pStyle w:val="Default"/>
        <w:numPr>
          <w:ilvl w:val="1"/>
          <w:numId w:val="47"/>
        </w:numPr>
        <w:spacing w:line="276" w:lineRule="auto"/>
        <w:ind w:left="567" w:hanging="283"/>
        <w:rPr>
          <w:color w:val="000000" w:themeColor="text1"/>
        </w:rPr>
      </w:pPr>
      <w:r w:rsidRPr="007F7880">
        <w:rPr>
          <w:color w:val="000000" w:themeColor="text1"/>
        </w:rPr>
        <w:t>ryzyka bazowego</w:t>
      </w:r>
      <w:r w:rsidR="00813A32" w:rsidRPr="007F7880">
        <w:rPr>
          <w:color w:val="000000" w:themeColor="text1"/>
        </w:rPr>
        <w:t xml:space="preserve"> - </w:t>
      </w:r>
      <w:r w:rsidRPr="007F7880">
        <w:rPr>
          <w:color w:val="000000" w:themeColor="text1"/>
        </w:rPr>
        <w:t xml:space="preserve"> </w:t>
      </w:r>
      <w:r w:rsidR="007F7880" w:rsidRPr="007F7880">
        <w:rPr>
          <w:color w:val="000000" w:themeColor="text1"/>
        </w:rPr>
        <w:t>ryzyko wynikające z wpływu względnych zmian stóp procentowych na instrumenty wrażliwe na zmiany stóp procentowych, które mają podobne okresy zapadalności, ale są wyceniane według różnych indeksów stóp procentowych. Ryzyko bazowe wynika z niedoskonałej korelacji w dostosowaniu stóp procentowych uzyskiwanych i płaconych od różnych instrumentów wrażliwych na zmiany stóp procentowych, które w innym przypadku miałyby podobne cechy w zakresie zmian oprocentowania</w:t>
      </w:r>
      <w:r w:rsidR="00DE05EC" w:rsidRPr="007F7880">
        <w:rPr>
          <w:color w:val="000000" w:themeColor="text1"/>
        </w:rPr>
        <w:t>;</w:t>
      </w:r>
    </w:p>
    <w:p w14:paraId="215B8E6E" w14:textId="20AF6C5A" w:rsidR="00D46C09" w:rsidRPr="007F7880" w:rsidRDefault="00D46C09" w:rsidP="007F7880">
      <w:pPr>
        <w:pStyle w:val="Default"/>
        <w:numPr>
          <w:ilvl w:val="1"/>
          <w:numId w:val="47"/>
        </w:numPr>
        <w:spacing w:line="276" w:lineRule="auto"/>
        <w:ind w:left="567"/>
        <w:jc w:val="both"/>
        <w:rPr>
          <w:color w:val="000000" w:themeColor="text1"/>
        </w:rPr>
      </w:pPr>
      <w:r w:rsidRPr="007F7880">
        <w:rPr>
          <w:color w:val="000000" w:themeColor="text1"/>
        </w:rPr>
        <w:t>ryzyka opcji klienta</w:t>
      </w:r>
      <w:r w:rsidR="00DE05EC" w:rsidRPr="007F7880">
        <w:rPr>
          <w:color w:val="000000" w:themeColor="text1"/>
        </w:rPr>
        <w:t xml:space="preserve"> </w:t>
      </w:r>
      <w:r w:rsidRPr="007F7880">
        <w:rPr>
          <w:color w:val="000000" w:themeColor="text1"/>
        </w:rPr>
        <w:t xml:space="preserve">- </w:t>
      </w:r>
      <w:r w:rsidR="007F7880" w:rsidRPr="007F7880">
        <w:rPr>
          <w:color w:val="000000" w:themeColor="text1"/>
        </w:rPr>
        <w:t>ryzyko wynikające z opcji (wbudowanych i jawnych), w przypadku, gdy instytucja lub jej klient może zmienić poziom i terminy swoich przepływów pieniężnych, a konkretnie ryzyko wynikające z instrumentów wrażliwych na zmiany stóp procentowych, w przypadku gdy posiadacz prawie na pewno skorzysta z opcji, o ile leży to w jego interesie finansowym (wbudowane lub jawne opcje automatyczne), oraz ryzyko wynikające z domyślnie wbudowanej elastyczności lub w ramach terminów dla instrumentów wrażliwych na zmiany stóp procentowych, w związku z czym zmiany stóp procentowych mogą wpływać na zmianę zachowania klienta (wbudowane ryzyko opcji behawioralnej klienta)</w:t>
      </w:r>
      <w:r w:rsidR="00E64422" w:rsidRPr="007F7880">
        <w:rPr>
          <w:color w:val="000000" w:themeColor="text1"/>
        </w:rPr>
        <w:t>.</w:t>
      </w:r>
    </w:p>
    <w:p w14:paraId="045EABE1" w14:textId="77777777" w:rsidR="00D46C09" w:rsidRPr="007F7880" w:rsidRDefault="00D46C09" w:rsidP="003F4FD0">
      <w:pPr>
        <w:pStyle w:val="Default"/>
        <w:spacing w:line="276" w:lineRule="auto"/>
        <w:jc w:val="both"/>
        <w:rPr>
          <w:color w:val="000000" w:themeColor="text1"/>
        </w:rPr>
      </w:pPr>
      <w:r w:rsidRPr="007F7880">
        <w:rPr>
          <w:color w:val="000000" w:themeColor="text1"/>
        </w:rPr>
        <w:t xml:space="preserve">Bank dokonywał pomiaru ryzyka stopy procentowej metodą: </w:t>
      </w:r>
    </w:p>
    <w:p w14:paraId="3EF49A40" w14:textId="77777777" w:rsidR="00D46C09" w:rsidRPr="007F7880" w:rsidRDefault="00D46C09" w:rsidP="00D8051F">
      <w:pPr>
        <w:pStyle w:val="Default"/>
        <w:numPr>
          <w:ilvl w:val="0"/>
          <w:numId w:val="49"/>
        </w:numPr>
        <w:spacing w:line="276" w:lineRule="auto"/>
        <w:jc w:val="both"/>
        <w:rPr>
          <w:color w:val="000000" w:themeColor="text1"/>
        </w:rPr>
      </w:pPr>
      <w:r w:rsidRPr="007F7880">
        <w:rPr>
          <w:color w:val="000000" w:themeColor="text1"/>
        </w:rPr>
        <w:t>luki terminów przeszacowania stopy procentowej, umożliwiającą określenie wiel</w:t>
      </w:r>
      <w:r w:rsidR="00DE05EC" w:rsidRPr="007F7880">
        <w:rPr>
          <w:color w:val="000000" w:themeColor="text1"/>
        </w:rPr>
        <w:t>kości i </w:t>
      </w:r>
      <w:r w:rsidRPr="007F7880">
        <w:rPr>
          <w:color w:val="000000" w:themeColor="text1"/>
        </w:rPr>
        <w:t>charakteru niedopasowania pozycji aktywów i pasywów wrażliwych na zmianę stopy procentowej w poszczegó</w:t>
      </w:r>
      <w:r w:rsidR="00DE05EC" w:rsidRPr="007F7880">
        <w:rPr>
          <w:color w:val="000000" w:themeColor="text1"/>
        </w:rPr>
        <w:t>lnych terminach przeszacowania;</w:t>
      </w:r>
    </w:p>
    <w:p w14:paraId="48CE55FA" w14:textId="77777777" w:rsidR="00D46C09" w:rsidRPr="007F7880" w:rsidRDefault="00D46C09" w:rsidP="00D8051F">
      <w:pPr>
        <w:pStyle w:val="Default"/>
        <w:numPr>
          <w:ilvl w:val="0"/>
          <w:numId w:val="49"/>
        </w:numPr>
        <w:spacing w:line="276" w:lineRule="auto"/>
        <w:jc w:val="both"/>
        <w:rPr>
          <w:color w:val="000000" w:themeColor="text1"/>
        </w:rPr>
      </w:pPr>
      <w:r w:rsidRPr="007F7880">
        <w:rPr>
          <w:color w:val="000000" w:themeColor="text1"/>
        </w:rPr>
        <w:t>luki ryzyka bazowego, umożliwiającą określenie wielkości i charakteru niedopasowania pozycji aktywów i pasywów wrażliwych w poszczegól</w:t>
      </w:r>
      <w:r w:rsidR="00DE05EC" w:rsidRPr="007F7880">
        <w:rPr>
          <w:color w:val="000000" w:themeColor="text1"/>
        </w:rPr>
        <w:t>nych terminach przeszacowania w podziale na stawki bazowe;</w:t>
      </w:r>
    </w:p>
    <w:p w14:paraId="2EC531A9" w14:textId="77777777" w:rsidR="00D46C09" w:rsidRPr="007F7880" w:rsidRDefault="00D46C09" w:rsidP="00D8051F">
      <w:pPr>
        <w:pStyle w:val="Default"/>
        <w:numPr>
          <w:ilvl w:val="0"/>
          <w:numId w:val="49"/>
        </w:numPr>
        <w:spacing w:line="276" w:lineRule="auto"/>
        <w:jc w:val="both"/>
        <w:rPr>
          <w:color w:val="000000" w:themeColor="text1"/>
        </w:rPr>
      </w:pPr>
      <w:r w:rsidRPr="007F7880">
        <w:rPr>
          <w:color w:val="000000" w:themeColor="text1"/>
        </w:rPr>
        <w:t xml:space="preserve">ryzyka opcji klienta oraz kształtowania </w:t>
      </w:r>
      <w:r w:rsidR="00DE05EC" w:rsidRPr="007F7880">
        <w:rPr>
          <w:color w:val="000000" w:themeColor="text1"/>
        </w:rPr>
        <w:t>się ryzyka krzywej dochodowości;</w:t>
      </w:r>
      <w:r w:rsidRPr="007F7880">
        <w:rPr>
          <w:color w:val="000000" w:themeColor="text1"/>
        </w:rPr>
        <w:t xml:space="preserve"> </w:t>
      </w:r>
    </w:p>
    <w:p w14:paraId="5E0EF211" w14:textId="77777777" w:rsidR="00D46C09" w:rsidRPr="007F7880" w:rsidRDefault="00D46C09" w:rsidP="00D8051F">
      <w:pPr>
        <w:pStyle w:val="Default"/>
        <w:numPr>
          <w:ilvl w:val="0"/>
          <w:numId w:val="49"/>
        </w:numPr>
        <w:spacing w:line="276" w:lineRule="auto"/>
        <w:jc w:val="both"/>
        <w:rPr>
          <w:color w:val="000000" w:themeColor="text1"/>
        </w:rPr>
      </w:pPr>
      <w:r w:rsidRPr="007F7880">
        <w:rPr>
          <w:color w:val="000000" w:themeColor="text1"/>
        </w:rPr>
        <w:t>testu warunków skrajnych, tj. wpływu szokowych zmian (wzrostu/spadku) rynkowych stóp procentowych o 200 punktów bazowych na wyni</w:t>
      </w:r>
      <w:r w:rsidR="00DE05EC" w:rsidRPr="007F7880">
        <w:rPr>
          <w:color w:val="000000" w:themeColor="text1"/>
        </w:rPr>
        <w:t>k odsetkowy i fundusze własne w </w:t>
      </w:r>
      <w:r w:rsidRPr="007F7880">
        <w:rPr>
          <w:color w:val="000000" w:themeColor="text1"/>
        </w:rPr>
        <w:t xml:space="preserve">okresie najbliższych 12 miesięcy, </w:t>
      </w:r>
    </w:p>
    <w:p w14:paraId="7E694F90" w14:textId="77777777" w:rsidR="00D46C09" w:rsidRPr="007F7880" w:rsidRDefault="00D46C09" w:rsidP="00D8051F">
      <w:pPr>
        <w:pStyle w:val="Default"/>
        <w:numPr>
          <w:ilvl w:val="0"/>
          <w:numId w:val="49"/>
        </w:numPr>
        <w:spacing w:line="276" w:lineRule="auto"/>
        <w:jc w:val="both"/>
        <w:rPr>
          <w:color w:val="000000" w:themeColor="text1"/>
        </w:rPr>
      </w:pPr>
      <w:r w:rsidRPr="007F7880">
        <w:rPr>
          <w:color w:val="000000" w:themeColor="text1"/>
        </w:rPr>
        <w:t xml:space="preserve">profilu ryzyka stopy procentowej Banku, umożliwiającą określenie stopnia wrażliwości oprocentowania aktywów/pasywów wrażliwych na zmiany rynkowych stóp procentowych. </w:t>
      </w:r>
    </w:p>
    <w:p w14:paraId="291E3BE7" w14:textId="77777777" w:rsidR="00D46C09" w:rsidRPr="007F7880" w:rsidRDefault="00D46C09" w:rsidP="003F4FD0">
      <w:pPr>
        <w:spacing w:after="0" w:line="276" w:lineRule="auto"/>
        <w:ind w:right="0"/>
        <w:rPr>
          <w:rFonts w:ascii="Times New Roman" w:hAnsi="Times New Roman" w:cs="Times New Roman"/>
          <w:color w:val="000000" w:themeColor="text1"/>
          <w:szCs w:val="24"/>
        </w:rPr>
      </w:pPr>
      <w:r w:rsidRPr="007F7880">
        <w:rPr>
          <w:rFonts w:ascii="Times New Roman" w:hAnsi="Times New Roman" w:cs="Times New Roman"/>
          <w:color w:val="000000" w:themeColor="text1"/>
          <w:szCs w:val="24"/>
        </w:rPr>
        <w:t>Bank nie stosuje wewnętrznych modeli pomiaru ryzyka rynkowego.</w:t>
      </w:r>
    </w:p>
    <w:p w14:paraId="07ECD8AD" w14:textId="77777777" w:rsidR="00D46C09" w:rsidRPr="007F7880" w:rsidRDefault="00D46C09" w:rsidP="003F4FD0">
      <w:pPr>
        <w:spacing w:after="0" w:line="276" w:lineRule="auto"/>
        <w:ind w:right="0"/>
        <w:rPr>
          <w:rFonts w:ascii="Times New Roman" w:hAnsi="Times New Roman" w:cs="Times New Roman"/>
          <w:color w:val="000000" w:themeColor="text1"/>
          <w:szCs w:val="24"/>
        </w:rPr>
      </w:pPr>
      <w:r w:rsidRPr="007F7880">
        <w:rPr>
          <w:rFonts w:ascii="Times New Roman" w:hAnsi="Times New Roman" w:cs="Times New Roman"/>
          <w:color w:val="000000" w:themeColor="text1"/>
          <w:szCs w:val="24"/>
        </w:rPr>
        <w:t xml:space="preserve">W ramach opracowywanej przez  Zespół Zarządzania </w:t>
      </w:r>
      <w:proofErr w:type="spellStart"/>
      <w:r w:rsidRPr="007F7880">
        <w:rPr>
          <w:rFonts w:ascii="Times New Roman" w:hAnsi="Times New Roman" w:cs="Times New Roman"/>
          <w:color w:val="000000" w:themeColor="text1"/>
          <w:szCs w:val="24"/>
        </w:rPr>
        <w:t>Ryzykami</w:t>
      </w:r>
      <w:proofErr w:type="spellEnd"/>
      <w:r w:rsidRPr="007F7880">
        <w:rPr>
          <w:rFonts w:ascii="Times New Roman" w:hAnsi="Times New Roman" w:cs="Times New Roman"/>
          <w:color w:val="000000" w:themeColor="text1"/>
          <w:szCs w:val="24"/>
        </w:rPr>
        <w:t xml:space="preserve"> cyklicznej a</w:t>
      </w:r>
      <w:r w:rsidR="00F60B57" w:rsidRPr="007F7880">
        <w:rPr>
          <w:rFonts w:ascii="Times New Roman" w:hAnsi="Times New Roman" w:cs="Times New Roman"/>
          <w:color w:val="000000" w:themeColor="text1"/>
          <w:szCs w:val="24"/>
        </w:rPr>
        <w:t>nalizy ryzyka stopy procentowej</w:t>
      </w:r>
      <w:r w:rsidRPr="007F7880">
        <w:rPr>
          <w:rFonts w:ascii="Times New Roman" w:hAnsi="Times New Roman" w:cs="Times New Roman"/>
          <w:color w:val="000000" w:themeColor="text1"/>
          <w:szCs w:val="24"/>
        </w:rPr>
        <w:t xml:space="preserve"> prezentowana jest analiza luki terminów przeszacowania dla wszystkich walut łącznie w przeliczeniu na PLN. W przypadku, gdy udział jednej z walut obcych przekroczy 5% sumy bilansowej Banku, sporządza się raport luki terminów przeszacowania dla tej waluty oddzielnie (w przeliczeniu na PLN).</w:t>
      </w:r>
    </w:p>
    <w:p w14:paraId="24410A77" w14:textId="77777777" w:rsidR="00D46C09" w:rsidRPr="007F7880" w:rsidRDefault="00D46C09" w:rsidP="003F4FD0">
      <w:pPr>
        <w:pStyle w:val="Default"/>
        <w:spacing w:line="276" w:lineRule="auto"/>
        <w:jc w:val="both"/>
        <w:rPr>
          <w:color w:val="000000" w:themeColor="text1"/>
        </w:rPr>
      </w:pPr>
      <w:r w:rsidRPr="007F7880">
        <w:rPr>
          <w:color w:val="000000" w:themeColor="text1"/>
        </w:rPr>
        <w:t xml:space="preserve">Pomiaru ryzyka stopy procentowej Bank dokonywał w okresach miesięcznych. </w:t>
      </w:r>
    </w:p>
    <w:p w14:paraId="6E3B31BF" w14:textId="77777777" w:rsidR="00D46C09" w:rsidRPr="007F7880" w:rsidRDefault="00D46C09" w:rsidP="003F4FD0">
      <w:pPr>
        <w:pStyle w:val="Default"/>
        <w:spacing w:line="276" w:lineRule="auto"/>
        <w:jc w:val="both"/>
        <w:rPr>
          <w:color w:val="000000" w:themeColor="text1"/>
        </w:rPr>
      </w:pPr>
      <w:r w:rsidRPr="007F7880">
        <w:rPr>
          <w:color w:val="000000" w:themeColor="text1"/>
        </w:rPr>
        <w:lastRenderedPageBreak/>
        <w:t xml:space="preserve">Bank przeprowadzał testy warunków skrajnych, wyliczając poziom poszczególnych rodzajów ryzyka stopy procentowej przy zaistnieniu następujących warunków skrajnych: </w:t>
      </w:r>
    </w:p>
    <w:p w14:paraId="6FF06744" w14:textId="01BEF816" w:rsidR="00D46C09" w:rsidRPr="007F7880" w:rsidRDefault="00D46C09" w:rsidP="00D8051F">
      <w:pPr>
        <w:pStyle w:val="Default"/>
        <w:numPr>
          <w:ilvl w:val="1"/>
          <w:numId w:val="50"/>
        </w:numPr>
        <w:spacing w:line="276" w:lineRule="auto"/>
        <w:ind w:left="709" w:hanging="425"/>
        <w:jc w:val="both"/>
        <w:rPr>
          <w:color w:val="000000" w:themeColor="text1"/>
        </w:rPr>
      </w:pPr>
      <w:r w:rsidRPr="007F7880">
        <w:rPr>
          <w:color w:val="000000" w:themeColor="text1"/>
        </w:rPr>
        <w:t xml:space="preserve">dla ryzyka </w:t>
      </w:r>
      <w:r w:rsidR="00813A32" w:rsidRPr="007F7880">
        <w:rPr>
          <w:color w:val="000000" w:themeColor="text1"/>
        </w:rPr>
        <w:t>niedopasowania</w:t>
      </w:r>
      <w:r w:rsidRPr="007F7880">
        <w:rPr>
          <w:color w:val="000000" w:themeColor="text1"/>
        </w:rPr>
        <w:t xml:space="preserve"> – wpływ zmiany stóp procentowych na wynik Banku przy założeniu zmi</w:t>
      </w:r>
      <w:r w:rsidR="00D77833" w:rsidRPr="007F7880">
        <w:rPr>
          <w:color w:val="000000" w:themeColor="text1"/>
        </w:rPr>
        <w:t>any stóp o 200 punktów bazowych;</w:t>
      </w:r>
      <w:r w:rsidRPr="007F7880">
        <w:rPr>
          <w:color w:val="000000" w:themeColor="text1"/>
        </w:rPr>
        <w:t xml:space="preserve"> </w:t>
      </w:r>
    </w:p>
    <w:p w14:paraId="74B697B5" w14:textId="77777777" w:rsidR="00D46C09" w:rsidRPr="007F7880" w:rsidRDefault="00D46C09" w:rsidP="00D8051F">
      <w:pPr>
        <w:pStyle w:val="Default"/>
        <w:numPr>
          <w:ilvl w:val="1"/>
          <w:numId w:val="50"/>
        </w:numPr>
        <w:spacing w:line="276" w:lineRule="auto"/>
        <w:ind w:left="709" w:hanging="425"/>
        <w:jc w:val="both"/>
        <w:rPr>
          <w:color w:val="000000" w:themeColor="text1"/>
        </w:rPr>
      </w:pPr>
      <w:r w:rsidRPr="007F7880">
        <w:rPr>
          <w:color w:val="000000" w:themeColor="text1"/>
        </w:rPr>
        <w:t>dla ryzyka bazowego - wpływ zmi</w:t>
      </w:r>
      <w:r w:rsidR="00D77833" w:rsidRPr="007F7880">
        <w:rPr>
          <w:color w:val="000000" w:themeColor="text1"/>
        </w:rPr>
        <w:t>any stóp procentowych na wynik B</w:t>
      </w:r>
      <w:r w:rsidRPr="007F7880">
        <w:rPr>
          <w:color w:val="000000" w:themeColor="text1"/>
        </w:rPr>
        <w:t>anku przy założeniu zmiany stóp procentowych o 35 punktów bazowych.</w:t>
      </w:r>
    </w:p>
    <w:p w14:paraId="1BE6EC46" w14:textId="77777777" w:rsidR="00D46C09" w:rsidRPr="007824CB" w:rsidRDefault="00D46C09" w:rsidP="003F4FD0">
      <w:pPr>
        <w:pStyle w:val="Default"/>
        <w:spacing w:line="276" w:lineRule="auto"/>
        <w:jc w:val="both"/>
        <w:rPr>
          <w:color w:val="000000" w:themeColor="text1"/>
        </w:rPr>
      </w:pPr>
      <w:r w:rsidRPr="007824CB">
        <w:rPr>
          <w:color w:val="000000" w:themeColor="text1"/>
        </w:rPr>
        <w:t>Bank zastosował założenia:</w:t>
      </w:r>
    </w:p>
    <w:p w14:paraId="0502F41A" w14:textId="77777777" w:rsidR="00D46C09" w:rsidRPr="007824CB" w:rsidRDefault="00D46C09" w:rsidP="00D8051F">
      <w:pPr>
        <w:pStyle w:val="Default"/>
        <w:numPr>
          <w:ilvl w:val="1"/>
          <w:numId w:val="48"/>
        </w:numPr>
        <w:spacing w:line="276" w:lineRule="auto"/>
        <w:ind w:left="709" w:hanging="425"/>
        <w:jc w:val="both"/>
        <w:rPr>
          <w:color w:val="000000" w:themeColor="text1"/>
        </w:rPr>
      </w:pPr>
      <w:r w:rsidRPr="007824CB">
        <w:rPr>
          <w:color w:val="000000" w:themeColor="text1"/>
        </w:rPr>
        <w:t>wcześniejsza spłata kredytów – dotyczy s</w:t>
      </w:r>
      <w:r w:rsidR="00D77833" w:rsidRPr="007824CB">
        <w:rPr>
          <w:color w:val="000000" w:themeColor="text1"/>
        </w:rPr>
        <w:t>płat rat kapitałowych kredytu/</w:t>
      </w:r>
      <w:r w:rsidRPr="007824CB">
        <w:rPr>
          <w:color w:val="000000" w:themeColor="text1"/>
        </w:rPr>
        <w:t xml:space="preserve">pożyczki w kwocie </w:t>
      </w:r>
      <w:r w:rsidR="003F4FD0" w:rsidRPr="007824CB">
        <w:rPr>
          <w:color w:val="000000" w:themeColor="text1"/>
        </w:rPr>
        <w:t xml:space="preserve"> </w:t>
      </w:r>
      <w:r w:rsidRPr="007824CB">
        <w:rPr>
          <w:color w:val="000000" w:themeColor="text1"/>
        </w:rPr>
        <w:t xml:space="preserve">5 tys. zł i powyżej spłaconej na 30 dni przed </w:t>
      </w:r>
      <w:r w:rsidR="00D77833" w:rsidRPr="007824CB">
        <w:rPr>
          <w:color w:val="000000" w:themeColor="text1"/>
        </w:rPr>
        <w:t>zadeklarowanym terminem umownym;</w:t>
      </w:r>
    </w:p>
    <w:p w14:paraId="5D5B4589" w14:textId="2865A8C2" w:rsidR="00D46C09" w:rsidRPr="007824CB" w:rsidRDefault="00D46C09" w:rsidP="0026498E">
      <w:pPr>
        <w:pStyle w:val="Akapitzlist"/>
        <w:widowControl w:val="0"/>
        <w:numPr>
          <w:ilvl w:val="1"/>
          <w:numId w:val="48"/>
        </w:numPr>
        <w:overflowPunct w:val="0"/>
        <w:autoSpaceDE w:val="0"/>
        <w:autoSpaceDN w:val="0"/>
        <w:adjustRightInd w:val="0"/>
        <w:spacing w:line="276" w:lineRule="auto"/>
        <w:ind w:left="709" w:hanging="425"/>
        <w:contextualSpacing/>
        <w:jc w:val="both"/>
        <w:rPr>
          <w:color w:val="000000" w:themeColor="text1"/>
          <w:sz w:val="24"/>
          <w:szCs w:val="24"/>
          <w:lang w:eastAsia="en-US"/>
        </w:rPr>
      </w:pPr>
      <w:proofErr w:type="spellStart"/>
      <w:r w:rsidRPr="007824CB">
        <w:rPr>
          <w:color w:val="000000" w:themeColor="text1"/>
          <w:sz w:val="24"/>
          <w:szCs w:val="24"/>
          <w:lang w:eastAsia="en-US"/>
        </w:rPr>
        <w:t>zrywalność</w:t>
      </w:r>
      <w:proofErr w:type="spellEnd"/>
      <w:r w:rsidRPr="007824CB">
        <w:rPr>
          <w:color w:val="000000" w:themeColor="text1"/>
          <w:sz w:val="24"/>
          <w:szCs w:val="24"/>
          <w:lang w:eastAsia="en-US"/>
        </w:rPr>
        <w:t xml:space="preserve"> depozytów</w:t>
      </w:r>
      <w:r w:rsidR="00813A32" w:rsidRPr="007824CB">
        <w:rPr>
          <w:color w:val="000000" w:themeColor="text1"/>
          <w:sz w:val="24"/>
          <w:szCs w:val="24"/>
          <w:lang w:eastAsia="en-US"/>
        </w:rPr>
        <w:t xml:space="preserve"> </w:t>
      </w:r>
      <w:r w:rsidRPr="007824CB">
        <w:rPr>
          <w:color w:val="000000" w:themeColor="text1"/>
          <w:sz w:val="24"/>
          <w:szCs w:val="24"/>
          <w:lang w:eastAsia="en-US"/>
        </w:rPr>
        <w:t>–  dotyczy depozytów  w kwocie 5 tys</w:t>
      </w:r>
      <w:r w:rsidR="00D77833" w:rsidRPr="007824CB">
        <w:rPr>
          <w:color w:val="000000" w:themeColor="text1"/>
          <w:sz w:val="24"/>
          <w:szCs w:val="24"/>
          <w:lang w:eastAsia="en-US"/>
        </w:rPr>
        <w:t>. zł i powyżej zdeponowanych w B</w:t>
      </w:r>
      <w:r w:rsidRPr="007824CB">
        <w:rPr>
          <w:color w:val="000000" w:themeColor="text1"/>
          <w:sz w:val="24"/>
          <w:szCs w:val="24"/>
          <w:lang w:eastAsia="en-US"/>
        </w:rPr>
        <w:t>anku na okres od 1 miesiąca</w:t>
      </w:r>
      <w:r w:rsidR="00D77833" w:rsidRPr="007824CB">
        <w:rPr>
          <w:color w:val="000000" w:themeColor="text1"/>
          <w:sz w:val="24"/>
          <w:szCs w:val="24"/>
          <w:lang w:eastAsia="en-US"/>
        </w:rPr>
        <w:t>,</w:t>
      </w:r>
      <w:r w:rsidRPr="007824CB">
        <w:rPr>
          <w:color w:val="000000" w:themeColor="text1"/>
          <w:sz w:val="24"/>
          <w:szCs w:val="24"/>
          <w:lang w:eastAsia="en-US"/>
        </w:rPr>
        <w:t xml:space="preserve">  zerwanych przed zakończeniem pie</w:t>
      </w:r>
      <w:r w:rsidR="00D77833" w:rsidRPr="007824CB">
        <w:rPr>
          <w:color w:val="000000" w:themeColor="text1"/>
          <w:sz w:val="24"/>
          <w:szCs w:val="24"/>
          <w:lang w:eastAsia="en-US"/>
        </w:rPr>
        <w:t>rwotnego terminu utrzymywania (</w:t>
      </w:r>
      <w:r w:rsidRPr="007824CB">
        <w:rPr>
          <w:color w:val="000000" w:themeColor="text1"/>
          <w:sz w:val="24"/>
          <w:szCs w:val="24"/>
          <w:lang w:eastAsia="en-US"/>
        </w:rPr>
        <w:t>wymagalności)</w:t>
      </w:r>
      <w:r w:rsidR="00D77833" w:rsidRPr="007824CB">
        <w:rPr>
          <w:color w:val="000000" w:themeColor="text1"/>
          <w:sz w:val="24"/>
          <w:szCs w:val="24"/>
          <w:lang w:eastAsia="en-US"/>
        </w:rPr>
        <w:t xml:space="preserve"> </w:t>
      </w:r>
      <w:r w:rsidRPr="007824CB">
        <w:rPr>
          <w:color w:val="000000" w:themeColor="text1"/>
          <w:sz w:val="24"/>
          <w:szCs w:val="24"/>
          <w:lang w:eastAsia="en-US"/>
        </w:rPr>
        <w:t>i/lub terminu wynikające</w:t>
      </w:r>
      <w:r w:rsidR="00D77833" w:rsidRPr="007824CB">
        <w:rPr>
          <w:color w:val="000000" w:themeColor="text1"/>
          <w:sz w:val="24"/>
          <w:szCs w:val="24"/>
          <w:lang w:eastAsia="en-US"/>
        </w:rPr>
        <w:t xml:space="preserve">go z rolowania na kolejny okres, </w:t>
      </w:r>
      <w:r w:rsidRPr="007824CB">
        <w:rPr>
          <w:color w:val="000000" w:themeColor="text1"/>
          <w:sz w:val="24"/>
          <w:szCs w:val="24"/>
          <w:lang w:eastAsia="en-US"/>
        </w:rPr>
        <w:t>tj. wycofanych</w:t>
      </w:r>
      <w:r w:rsidR="00813A32" w:rsidRPr="007824CB">
        <w:rPr>
          <w:color w:val="000000" w:themeColor="text1"/>
          <w:sz w:val="24"/>
          <w:szCs w:val="24"/>
          <w:lang w:eastAsia="en-US"/>
        </w:rPr>
        <w:t xml:space="preserve"> po upływie 30 dni od terminu utrzymania lub wymagalności. </w:t>
      </w:r>
      <w:r w:rsidRPr="007824CB">
        <w:rPr>
          <w:color w:val="000000" w:themeColor="text1"/>
          <w:sz w:val="24"/>
          <w:szCs w:val="24"/>
          <w:lang w:eastAsia="en-US"/>
        </w:rPr>
        <w:t>.</w:t>
      </w:r>
      <w:r w:rsidR="002106B7" w:rsidRPr="007824CB">
        <w:rPr>
          <w:color w:val="000000" w:themeColor="text1"/>
          <w:sz w:val="24"/>
          <w:szCs w:val="24"/>
          <w:lang w:eastAsia="en-US"/>
        </w:rPr>
        <w:t xml:space="preserve"> </w:t>
      </w:r>
    </w:p>
    <w:p w14:paraId="11878C89" w14:textId="77777777" w:rsidR="00D46C09" w:rsidRPr="007824CB" w:rsidRDefault="00D46C09" w:rsidP="003F4FD0">
      <w:pPr>
        <w:pStyle w:val="Default"/>
        <w:spacing w:line="276" w:lineRule="auto"/>
        <w:jc w:val="both"/>
        <w:rPr>
          <w:color w:val="000000" w:themeColor="text1"/>
        </w:rPr>
      </w:pPr>
      <w:r w:rsidRPr="007824CB">
        <w:rPr>
          <w:color w:val="000000" w:themeColor="text1"/>
        </w:rPr>
        <w:t xml:space="preserve">Testy warunków skrajnych przeprowadzane były w okresach miesięcznych. </w:t>
      </w:r>
    </w:p>
    <w:p w14:paraId="18272F9A" w14:textId="3A3AA4B5" w:rsidR="00D46C09" w:rsidRPr="007824CB" w:rsidRDefault="00D46C09" w:rsidP="003F4FD0">
      <w:pPr>
        <w:pStyle w:val="Default"/>
        <w:spacing w:line="276" w:lineRule="auto"/>
        <w:rPr>
          <w:color w:val="000000" w:themeColor="text1"/>
        </w:rPr>
      </w:pPr>
      <w:r w:rsidRPr="007824CB">
        <w:rPr>
          <w:color w:val="000000" w:themeColor="text1"/>
        </w:rPr>
        <w:t>Wyniki testów</w:t>
      </w:r>
      <w:r w:rsidR="00F60B57" w:rsidRPr="007824CB">
        <w:rPr>
          <w:color w:val="000000" w:themeColor="text1"/>
        </w:rPr>
        <w:t xml:space="preserve"> </w:t>
      </w:r>
      <w:r w:rsidR="00813A32" w:rsidRPr="007824CB">
        <w:rPr>
          <w:color w:val="000000" w:themeColor="text1"/>
        </w:rPr>
        <w:t>warunków skrajnych na 31.12.20</w:t>
      </w:r>
      <w:r w:rsidR="007F7880" w:rsidRPr="007824CB">
        <w:rPr>
          <w:color w:val="000000" w:themeColor="text1"/>
        </w:rPr>
        <w:t>20</w:t>
      </w:r>
      <w:r w:rsidR="00F60B57" w:rsidRPr="007824CB">
        <w:rPr>
          <w:color w:val="000000" w:themeColor="text1"/>
        </w:rPr>
        <w:t xml:space="preserve"> r.</w:t>
      </w:r>
      <w:r w:rsidR="00A67BCC" w:rsidRPr="007824CB">
        <w:rPr>
          <w:color w:val="000000" w:themeColor="text1"/>
        </w:rPr>
        <w:t xml:space="preserve"> (raport anal</w:t>
      </w:r>
      <w:r w:rsidR="00D77833" w:rsidRPr="007824CB">
        <w:rPr>
          <w:color w:val="000000" w:themeColor="text1"/>
        </w:rPr>
        <w:t>iza ryzyka stopy procentowej w  Warmińsko–</w:t>
      </w:r>
      <w:r w:rsidR="00A67BCC" w:rsidRPr="007824CB">
        <w:rPr>
          <w:color w:val="000000" w:themeColor="text1"/>
        </w:rPr>
        <w:t>Mazurskim  Banku Spółdziel</w:t>
      </w:r>
      <w:r w:rsidR="00EE3F6F" w:rsidRPr="007824CB">
        <w:rPr>
          <w:color w:val="000000" w:themeColor="text1"/>
        </w:rPr>
        <w:t>czym wg stanu na 31 grudnia 20</w:t>
      </w:r>
      <w:r w:rsidR="007F7880" w:rsidRPr="007824CB">
        <w:rPr>
          <w:color w:val="000000" w:themeColor="text1"/>
        </w:rPr>
        <w:t>20</w:t>
      </w:r>
      <w:r w:rsidR="00A67BCC" w:rsidRPr="007824CB">
        <w:rPr>
          <w:color w:val="000000" w:themeColor="text1"/>
        </w:rPr>
        <w:t xml:space="preserve"> r.)</w:t>
      </w:r>
      <w:r w:rsidR="007824CB" w:rsidRPr="007824CB">
        <w:rPr>
          <w:color w:val="000000" w:themeColor="text1"/>
        </w:rPr>
        <w:t>:</w:t>
      </w:r>
    </w:p>
    <w:p w14:paraId="3259D387" w14:textId="47D78537" w:rsidR="00D46C09" w:rsidRPr="007824CB" w:rsidRDefault="007824CB" w:rsidP="007824CB">
      <w:pPr>
        <w:pStyle w:val="Akapitzlist"/>
        <w:numPr>
          <w:ilvl w:val="1"/>
          <w:numId w:val="51"/>
        </w:numPr>
        <w:ind w:left="709" w:hanging="425"/>
        <w:jc w:val="both"/>
        <w:rPr>
          <w:rFonts w:eastAsiaTheme="minorEastAsia"/>
          <w:color w:val="000000" w:themeColor="text1"/>
          <w:sz w:val="24"/>
          <w:szCs w:val="24"/>
        </w:rPr>
      </w:pPr>
      <w:r w:rsidRPr="007824CB">
        <w:rPr>
          <w:rFonts w:eastAsiaTheme="minorEastAsia"/>
          <w:color w:val="000000" w:themeColor="text1"/>
          <w:sz w:val="24"/>
          <w:szCs w:val="24"/>
        </w:rPr>
        <w:t>p</w:t>
      </w:r>
      <w:r w:rsidR="007F7880" w:rsidRPr="007824CB">
        <w:rPr>
          <w:rFonts w:eastAsiaTheme="minorEastAsia"/>
          <w:color w:val="000000" w:themeColor="text1"/>
          <w:sz w:val="24"/>
          <w:szCs w:val="24"/>
        </w:rPr>
        <w:t xml:space="preserve">rzy założeniu spadku stóp procentowych o 200 punktów bazowych  zmiana wyniku odsetkowego w okresie 12 miesięcy spowodowała spadek wyniku o -7 712 598,59 zł, co stanowiło 48,41% prognozowanego wyniku odsetkowego </w:t>
      </w:r>
      <w:r w:rsidR="00AD3D44" w:rsidRPr="007824CB">
        <w:rPr>
          <w:color w:val="000000" w:themeColor="text1"/>
          <w:sz w:val="24"/>
          <w:szCs w:val="24"/>
        </w:rPr>
        <w:t xml:space="preserve">oraz </w:t>
      </w:r>
      <w:r w:rsidRPr="007824CB">
        <w:rPr>
          <w:color w:val="000000" w:themeColor="text1"/>
          <w:sz w:val="24"/>
          <w:szCs w:val="24"/>
        </w:rPr>
        <w:t>8,17</w:t>
      </w:r>
      <w:r w:rsidR="002D488C" w:rsidRPr="007824CB">
        <w:rPr>
          <w:color w:val="000000" w:themeColor="text1"/>
          <w:sz w:val="24"/>
          <w:szCs w:val="24"/>
        </w:rPr>
        <w:t xml:space="preserve">% funduszy </w:t>
      </w:r>
      <w:r w:rsidRPr="007824CB">
        <w:rPr>
          <w:color w:val="000000" w:themeColor="text1"/>
          <w:sz w:val="24"/>
          <w:szCs w:val="24"/>
        </w:rPr>
        <w:t>w</w:t>
      </w:r>
      <w:r w:rsidR="002D488C" w:rsidRPr="007824CB">
        <w:rPr>
          <w:color w:val="000000" w:themeColor="text1"/>
          <w:sz w:val="24"/>
          <w:szCs w:val="24"/>
        </w:rPr>
        <w:t>łasnych, wobec dopuszczalnego limitu ustalonego na poziomie 15% fundusz</w:t>
      </w:r>
      <w:r w:rsidR="00D77833" w:rsidRPr="007824CB">
        <w:rPr>
          <w:color w:val="000000" w:themeColor="text1"/>
          <w:sz w:val="24"/>
          <w:szCs w:val="24"/>
        </w:rPr>
        <w:t>y własnych;</w:t>
      </w:r>
    </w:p>
    <w:p w14:paraId="3B14BECE" w14:textId="564E7370" w:rsidR="00D46C09" w:rsidRPr="007824CB" w:rsidRDefault="007824CB" w:rsidP="007824CB">
      <w:pPr>
        <w:pStyle w:val="Default"/>
        <w:numPr>
          <w:ilvl w:val="1"/>
          <w:numId w:val="51"/>
        </w:numPr>
        <w:spacing w:line="276" w:lineRule="auto"/>
        <w:ind w:left="567" w:hanging="283"/>
        <w:jc w:val="both"/>
        <w:rPr>
          <w:color w:val="000000" w:themeColor="text1"/>
        </w:rPr>
      </w:pPr>
      <w:r w:rsidRPr="007824CB">
        <w:rPr>
          <w:color w:val="000000" w:themeColor="text1"/>
        </w:rPr>
        <w:t>przy założeniu wzrostu stóp procentowych o 200 punktów bazowych zmiana wyniku odsetkowego w okresie 12 miesięcy spowodowałaby wzrost wyniku o 2 803 316,70 zł, co stanowiło 17,59% prognozowanego wyniku odsetkowego</w:t>
      </w:r>
      <w:r w:rsidR="00D77833" w:rsidRPr="007824CB">
        <w:rPr>
          <w:color w:val="000000" w:themeColor="text1"/>
        </w:rPr>
        <w:t>;</w:t>
      </w:r>
    </w:p>
    <w:p w14:paraId="72A1B6D7" w14:textId="68EC28AD" w:rsidR="007824CB" w:rsidRPr="007824CB" w:rsidRDefault="00D46C09" w:rsidP="007824CB">
      <w:pPr>
        <w:pStyle w:val="Akapitzlist"/>
        <w:numPr>
          <w:ilvl w:val="1"/>
          <w:numId w:val="51"/>
        </w:numPr>
        <w:ind w:left="567" w:hanging="283"/>
        <w:jc w:val="both"/>
        <w:rPr>
          <w:rFonts w:eastAsiaTheme="minorEastAsia"/>
          <w:color w:val="000000" w:themeColor="text1"/>
          <w:sz w:val="24"/>
          <w:szCs w:val="24"/>
        </w:rPr>
      </w:pPr>
      <w:r w:rsidRPr="007824CB">
        <w:rPr>
          <w:color w:val="000000" w:themeColor="text1"/>
          <w:sz w:val="24"/>
          <w:szCs w:val="24"/>
        </w:rPr>
        <w:t>przy założeniu</w:t>
      </w:r>
      <w:r w:rsidR="007824CB" w:rsidRPr="007824CB">
        <w:rPr>
          <w:color w:val="000000" w:themeColor="text1"/>
          <w:sz w:val="24"/>
          <w:szCs w:val="24"/>
        </w:rPr>
        <w:t xml:space="preserve"> niekorzystnej</w:t>
      </w:r>
      <w:r w:rsidRPr="007824CB">
        <w:rPr>
          <w:color w:val="000000" w:themeColor="text1"/>
          <w:sz w:val="24"/>
          <w:szCs w:val="24"/>
        </w:rPr>
        <w:t xml:space="preserve"> zmiany stóp procentowych o </w:t>
      </w:r>
      <w:r w:rsidR="00AC582E" w:rsidRPr="007824CB">
        <w:rPr>
          <w:color w:val="000000" w:themeColor="text1"/>
          <w:sz w:val="24"/>
          <w:szCs w:val="24"/>
        </w:rPr>
        <w:t>35 punktów bazowych</w:t>
      </w:r>
      <w:r w:rsidRPr="007824CB">
        <w:rPr>
          <w:color w:val="000000" w:themeColor="text1"/>
          <w:sz w:val="24"/>
          <w:szCs w:val="24"/>
        </w:rPr>
        <w:t xml:space="preserve">  dla r</w:t>
      </w:r>
      <w:r w:rsidR="00D77833" w:rsidRPr="007824CB">
        <w:rPr>
          <w:color w:val="000000" w:themeColor="text1"/>
          <w:sz w:val="24"/>
          <w:szCs w:val="24"/>
        </w:rPr>
        <w:t>yzyka bazowego zmiana wyniku  w </w:t>
      </w:r>
      <w:r w:rsidRPr="007824CB">
        <w:rPr>
          <w:color w:val="000000" w:themeColor="text1"/>
          <w:sz w:val="24"/>
          <w:szCs w:val="24"/>
        </w:rPr>
        <w:t>okresie najb</w:t>
      </w:r>
      <w:r w:rsidR="00D77833" w:rsidRPr="007824CB">
        <w:rPr>
          <w:color w:val="000000" w:themeColor="text1"/>
          <w:sz w:val="24"/>
          <w:szCs w:val="24"/>
        </w:rPr>
        <w:t>liższych 12 miesięcy wyniosłaby</w:t>
      </w:r>
      <w:r w:rsidR="007824CB" w:rsidRPr="007824CB">
        <w:rPr>
          <w:color w:val="000000" w:themeColor="text1"/>
          <w:sz w:val="24"/>
          <w:szCs w:val="24"/>
        </w:rPr>
        <w:t xml:space="preserve"> </w:t>
      </w:r>
      <w:r w:rsidR="007824CB" w:rsidRPr="007824CB">
        <w:rPr>
          <w:rFonts w:eastAsiaTheme="minorEastAsia"/>
          <w:color w:val="000000" w:themeColor="text1"/>
          <w:sz w:val="24"/>
          <w:szCs w:val="24"/>
        </w:rPr>
        <w:t>1 787 539,49 zł, co stanowi 11,22% w prognozowanym wyniku odsetkowym.</w:t>
      </w:r>
    </w:p>
    <w:p w14:paraId="59128DA8" w14:textId="18B8CB79" w:rsidR="0026498E" w:rsidRPr="007824CB" w:rsidRDefault="0026498E" w:rsidP="007824CB">
      <w:pPr>
        <w:pStyle w:val="Default"/>
        <w:numPr>
          <w:ilvl w:val="1"/>
          <w:numId w:val="51"/>
        </w:numPr>
        <w:spacing w:line="276" w:lineRule="auto"/>
        <w:ind w:left="567" w:hanging="283"/>
        <w:jc w:val="both"/>
        <w:rPr>
          <w:color w:val="000000" w:themeColor="text1"/>
        </w:rPr>
      </w:pPr>
      <w:r w:rsidRPr="007824CB">
        <w:rPr>
          <w:color w:val="000000" w:themeColor="text1"/>
        </w:rPr>
        <w:t>Wyniki testów warunków skrajnych zgodnie z wytycznymi EBA/GL/2018/02 z dnia 19.07.2018 r. w sprawie zarządzania ryzykiem stopy procentowej z tytułu działalności zaliczonej do portfela bankowego:</w:t>
      </w:r>
    </w:p>
    <w:p w14:paraId="59E98978" w14:textId="21AD844A" w:rsidR="0026498E" w:rsidRDefault="007824CB" w:rsidP="0026498E">
      <w:pPr>
        <w:rPr>
          <w:rFonts w:ascii="Times New Roman" w:hAnsi="Times New Roman" w:cs="Times New Roman"/>
          <w:b/>
          <w:szCs w:val="24"/>
        </w:rPr>
      </w:pPr>
      <w:r w:rsidRPr="007824CB">
        <w:rPr>
          <w:rFonts w:ascii="Times New Roman" w:hAnsi="Times New Roman" w:cs="Times New Roman"/>
          <w:b/>
          <w:szCs w:val="24"/>
        </w:rPr>
        <w:t xml:space="preserve">Test warunków skrajnych nagłego przesunięcia krzywej dochodowości o +/- 200 </w:t>
      </w:r>
      <w:proofErr w:type="spellStart"/>
      <w:r w:rsidRPr="007824CB">
        <w:rPr>
          <w:rFonts w:ascii="Times New Roman" w:hAnsi="Times New Roman" w:cs="Times New Roman"/>
          <w:b/>
          <w:szCs w:val="24"/>
        </w:rPr>
        <w:t>p.b</w:t>
      </w:r>
      <w:proofErr w:type="spellEnd"/>
    </w:p>
    <w:tbl>
      <w:tblPr>
        <w:tblW w:w="8861" w:type="dxa"/>
        <w:tblInd w:w="70" w:type="dxa"/>
        <w:tblCellMar>
          <w:left w:w="70" w:type="dxa"/>
          <w:right w:w="70" w:type="dxa"/>
        </w:tblCellMar>
        <w:tblLook w:val="04A0" w:firstRow="1" w:lastRow="0" w:firstColumn="1" w:lastColumn="0" w:noHBand="0" w:noVBand="1"/>
      </w:tblPr>
      <w:tblGrid>
        <w:gridCol w:w="1348"/>
        <w:gridCol w:w="3544"/>
        <w:gridCol w:w="1984"/>
        <w:gridCol w:w="1985"/>
      </w:tblGrid>
      <w:tr w:rsidR="007824CB" w:rsidRPr="007824CB" w14:paraId="700B2B4B" w14:textId="77777777" w:rsidTr="007824CB">
        <w:trPr>
          <w:trHeight w:val="765"/>
        </w:trPr>
        <w:tc>
          <w:tcPr>
            <w:tcW w:w="1348" w:type="dxa"/>
            <w:tcBorders>
              <w:top w:val="nil"/>
              <w:left w:val="nil"/>
              <w:bottom w:val="single" w:sz="4" w:space="0" w:color="auto"/>
              <w:right w:val="nil"/>
            </w:tcBorders>
            <w:shd w:val="clear" w:color="auto" w:fill="auto"/>
            <w:noWrap/>
            <w:vAlign w:val="bottom"/>
            <w:hideMark/>
          </w:tcPr>
          <w:p w14:paraId="25CC2B29" w14:textId="77777777" w:rsidR="007824CB" w:rsidRPr="007824CB" w:rsidRDefault="007824CB" w:rsidP="007824CB">
            <w:pPr>
              <w:spacing w:after="0" w:line="240" w:lineRule="auto"/>
              <w:ind w:left="0" w:right="0" w:firstLine="0"/>
              <w:jc w:val="left"/>
              <w:rPr>
                <w:rFonts w:eastAsia="Times New Roman" w:cs="Times New Roman"/>
                <w:b/>
                <w:bCs/>
                <w:sz w:val="16"/>
                <w:szCs w:val="16"/>
              </w:rPr>
            </w:pPr>
            <w:r w:rsidRPr="007824CB">
              <w:rPr>
                <w:rFonts w:eastAsia="Times New Roman" w:cs="Times New Roman"/>
                <w:b/>
                <w:bCs/>
                <w:sz w:val="16"/>
                <w:szCs w:val="16"/>
              </w:rPr>
              <w:t> </w:t>
            </w:r>
          </w:p>
        </w:tc>
        <w:tc>
          <w:tcPr>
            <w:tcW w:w="3544" w:type="dxa"/>
            <w:tcBorders>
              <w:top w:val="nil"/>
              <w:left w:val="nil"/>
              <w:bottom w:val="single" w:sz="4" w:space="0" w:color="auto"/>
              <w:right w:val="nil"/>
            </w:tcBorders>
            <w:shd w:val="clear" w:color="auto" w:fill="auto"/>
            <w:noWrap/>
            <w:vAlign w:val="center"/>
            <w:hideMark/>
          </w:tcPr>
          <w:p w14:paraId="24A0786C" w14:textId="77777777" w:rsidR="007824CB" w:rsidRPr="007824CB" w:rsidRDefault="007824CB" w:rsidP="007824CB">
            <w:pPr>
              <w:spacing w:after="0" w:line="240" w:lineRule="auto"/>
              <w:ind w:left="0" w:right="0" w:firstLine="0"/>
              <w:jc w:val="center"/>
              <w:rPr>
                <w:rFonts w:eastAsia="Times New Roman" w:cs="Times New Roman"/>
                <w:sz w:val="16"/>
                <w:szCs w:val="16"/>
              </w:rPr>
            </w:pPr>
            <w:bookmarkStart w:id="61" w:name="RANGE!C8"/>
            <w:r w:rsidRPr="007824CB">
              <w:rPr>
                <w:rFonts w:eastAsia="Times New Roman" w:cs="Times New Roman"/>
                <w:sz w:val="16"/>
                <w:szCs w:val="16"/>
              </w:rPr>
              <w:t> </w:t>
            </w:r>
            <w:bookmarkEnd w:id="61"/>
          </w:p>
        </w:tc>
        <w:tc>
          <w:tcPr>
            <w:tcW w:w="1984" w:type="dxa"/>
            <w:tcBorders>
              <w:top w:val="nil"/>
              <w:left w:val="nil"/>
              <w:bottom w:val="single" w:sz="4" w:space="0" w:color="auto"/>
              <w:right w:val="single" w:sz="4" w:space="0" w:color="auto"/>
            </w:tcBorders>
            <w:shd w:val="clear" w:color="auto" w:fill="auto"/>
            <w:noWrap/>
            <w:vAlign w:val="center"/>
            <w:hideMark/>
          </w:tcPr>
          <w:p w14:paraId="3B388760" w14:textId="77777777" w:rsidR="007824CB" w:rsidRPr="007824CB" w:rsidRDefault="007824CB" w:rsidP="007824CB">
            <w:pPr>
              <w:spacing w:after="0" w:line="240" w:lineRule="auto"/>
              <w:ind w:left="0" w:right="0" w:firstLine="0"/>
              <w:jc w:val="center"/>
              <w:rPr>
                <w:rFonts w:eastAsia="Times New Roman" w:cs="Times New Roman"/>
                <w:sz w:val="16"/>
                <w:szCs w:val="16"/>
              </w:rPr>
            </w:pPr>
            <w:r w:rsidRPr="007824CB">
              <w:rPr>
                <w:rFonts w:eastAsia="Times New Roman" w:cs="Times New Roman"/>
                <w:sz w:val="16"/>
                <w:szCs w:val="16"/>
              </w:rPr>
              <w:t> </w:t>
            </w:r>
          </w:p>
        </w:tc>
        <w:tc>
          <w:tcPr>
            <w:tcW w:w="1985" w:type="dxa"/>
            <w:tcBorders>
              <w:top w:val="single" w:sz="4" w:space="0" w:color="auto"/>
              <w:left w:val="nil"/>
              <w:bottom w:val="single" w:sz="4" w:space="0" w:color="auto"/>
              <w:right w:val="single" w:sz="4" w:space="0" w:color="auto"/>
            </w:tcBorders>
            <w:shd w:val="clear" w:color="000000" w:fill="C0C0C0"/>
            <w:vAlign w:val="center"/>
            <w:hideMark/>
          </w:tcPr>
          <w:p w14:paraId="02AE33F0"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FUNDUSZE  WŁASNE                w tys. zł</w:t>
            </w:r>
          </w:p>
        </w:tc>
      </w:tr>
      <w:tr w:rsidR="007824CB" w:rsidRPr="007824CB" w14:paraId="1494287C" w14:textId="77777777" w:rsidTr="007824CB">
        <w:trPr>
          <w:trHeight w:val="300"/>
        </w:trPr>
        <w:tc>
          <w:tcPr>
            <w:tcW w:w="1348" w:type="dxa"/>
            <w:tcBorders>
              <w:top w:val="nil"/>
              <w:left w:val="single" w:sz="4" w:space="0" w:color="auto"/>
              <w:bottom w:val="single" w:sz="4" w:space="0" w:color="auto"/>
              <w:right w:val="single" w:sz="4" w:space="0" w:color="auto"/>
            </w:tcBorders>
            <w:shd w:val="clear" w:color="000000" w:fill="C0C0C0"/>
            <w:noWrap/>
            <w:vAlign w:val="bottom"/>
            <w:hideMark/>
          </w:tcPr>
          <w:p w14:paraId="7788C36C"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proofErr w:type="spellStart"/>
            <w:r w:rsidRPr="007824CB">
              <w:rPr>
                <w:rFonts w:eastAsia="Times New Roman" w:cs="Times New Roman"/>
                <w:b/>
                <w:bCs/>
                <w:sz w:val="20"/>
                <w:szCs w:val="20"/>
              </w:rPr>
              <w:t>Lp</w:t>
            </w:r>
            <w:proofErr w:type="spellEnd"/>
          </w:p>
        </w:tc>
        <w:tc>
          <w:tcPr>
            <w:tcW w:w="3544" w:type="dxa"/>
            <w:tcBorders>
              <w:top w:val="nil"/>
              <w:left w:val="nil"/>
              <w:bottom w:val="single" w:sz="4" w:space="0" w:color="auto"/>
              <w:right w:val="single" w:sz="4" w:space="0" w:color="auto"/>
            </w:tcBorders>
            <w:shd w:val="clear" w:color="000000" w:fill="C0C0C0"/>
            <w:noWrap/>
            <w:vAlign w:val="center"/>
            <w:hideMark/>
          </w:tcPr>
          <w:p w14:paraId="54BDFBA5"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Opis</w:t>
            </w:r>
          </w:p>
        </w:tc>
        <w:tc>
          <w:tcPr>
            <w:tcW w:w="1984" w:type="dxa"/>
            <w:tcBorders>
              <w:top w:val="nil"/>
              <w:left w:val="nil"/>
              <w:bottom w:val="single" w:sz="4" w:space="0" w:color="auto"/>
              <w:right w:val="single" w:sz="4" w:space="0" w:color="auto"/>
            </w:tcBorders>
            <w:shd w:val="clear" w:color="000000" w:fill="FFFF99"/>
            <w:noWrap/>
            <w:vAlign w:val="center"/>
            <w:hideMark/>
          </w:tcPr>
          <w:p w14:paraId="176BDB0F"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Wynik</w:t>
            </w:r>
          </w:p>
        </w:tc>
        <w:tc>
          <w:tcPr>
            <w:tcW w:w="1985" w:type="dxa"/>
            <w:tcBorders>
              <w:top w:val="nil"/>
              <w:left w:val="nil"/>
              <w:bottom w:val="single" w:sz="4" w:space="0" w:color="auto"/>
              <w:right w:val="single" w:sz="4" w:space="0" w:color="auto"/>
            </w:tcBorders>
            <w:shd w:val="clear" w:color="000000" w:fill="FFFFCC"/>
            <w:noWrap/>
            <w:vAlign w:val="center"/>
            <w:hideMark/>
          </w:tcPr>
          <w:p w14:paraId="1FBF9A6E"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94 422,36</w:t>
            </w:r>
          </w:p>
        </w:tc>
      </w:tr>
      <w:tr w:rsidR="007824CB" w:rsidRPr="007824CB" w14:paraId="72BF7AB6" w14:textId="77777777" w:rsidTr="007824CB">
        <w:trPr>
          <w:trHeight w:val="300"/>
        </w:trPr>
        <w:tc>
          <w:tcPr>
            <w:tcW w:w="1348" w:type="dxa"/>
            <w:tcBorders>
              <w:top w:val="nil"/>
              <w:left w:val="single" w:sz="4" w:space="0" w:color="auto"/>
              <w:bottom w:val="single" w:sz="4" w:space="0" w:color="auto"/>
              <w:right w:val="single" w:sz="4" w:space="0" w:color="auto"/>
            </w:tcBorders>
            <w:shd w:val="clear" w:color="000000" w:fill="C0C0C0"/>
            <w:noWrap/>
            <w:vAlign w:val="center"/>
            <w:hideMark/>
          </w:tcPr>
          <w:p w14:paraId="12E1CB35"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1</w:t>
            </w:r>
          </w:p>
        </w:tc>
        <w:tc>
          <w:tcPr>
            <w:tcW w:w="3544" w:type="dxa"/>
            <w:tcBorders>
              <w:top w:val="nil"/>
              <w:left w:val="nil"/>
              <w:bottom w:val="single" w:sz="4" w:space="0" w:color="auto"/>
              <w:right w:val="single" w:sz="4" w:space="0" w:color="auto"/>
            </w:tcBorders>
            <w:shd w:val="clear" w:color="000000" w:fill="C0C0C0"/>
            <w:vAlign w:val="center"/>
            <w:hideMark/>
          </w:tcPr>
          <w:p w14:paraId="7B3D5F88"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Wynik Scenariusza Bazowego 1 (+200pb)</w:t>
            </w:r>
          </w:p>
        </w:tc>
        <w:tc>
          <w:tcPr>
            <w:tcW w:w="1984" w:type="dxa"/>
            <w:tcBorders>
              <w:top w:val="nil"/>
              <w:left w:val="nil"/>
              <w:bottom w:val="single" w:sz="4" w:space="0" w:color="auto"/>
              <w:right w:val="single" w:sz="4" w:space="0" w:color="auto"/>
            </w:tcBorders>
            <w:shd w:val="clear" w:color="000000" w:fill="FFFF99"/>
            <w:noWrap/>
            <w:vAlign w:val="center"/>
            <w:hideMark/>
          </w:tcPr>
          <w:p w14:paraId="7C86D5D8"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-4 760,07</w:t>
            </w:r>
          </w:p>
        </w:tc>
        <w:tc>
          <w:tcPr>
            <w:tcW w:w="1985" w:type="dxa"/>
            <w:tcBorders>
              <w:top w:val="nil"/>
              <w:left w:val="nil"/>
              <w:bottom w:val="single" w:sz="4" w:space="0" w:color="auto"/>
              <w:right w:val="single" w:sz="4" w:space="0" w:color="auto"/>
            </w:tcBorders>
            <w:shd w:val="clear" w:color="000000" w:fill="339966"/>
            <w:noWrap/>
            <w:vAlign w:val="center"/>
            <w:hideMark/>
          </w:tcPr>
          <w:p w14:paraId="5BC6BFF8"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-5,04%</w:t>
            </w:r>
          </w:p>
        </w:tc>
      </w:tr>
      <w:tr w:rsidR="007824CB" w:rsidRPr="007824CB" w14:paraId="7DAB23B6" w14:textId="77777777" w:rsidTr="007824CB">
        <w:trPr>
          <w:trHeight w:val="300"/>
        </w:trPr>
        <w:tc>
          <w:tcPr>
            <w:tcW w:w="1348" w:type="dxa"/>
            <w:tcBorders>
              <w:top w:val="nil"/>
              <w:left w:val="single" w:sz="4" w:space="0" w:color="auto"/>
              <w:bottom w:val="single" w:sz="4" w:space="0" w:color="auto"/>
              <w:right w:val="single" w:sz="4" w:space="0" w:color="auto"/>
            </w:tcBorders>
            <w:shd w:val="clear" w:color="000000" w:fill="C0C0C0"/>
            <w:noWrap/>
            <w:vAlign w:val="center"/>
            <w:hideMark/>
          </w:tcPr>
          <w:p w14:paraId="36D38E5B"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2</w:t>
            </w:r>
          </w:p>
        </w:tc>
        <w:tc>
          <w:tcPr>
            <w:tcW w:w="3544" w:type="dxa"/>
            <w:tcBorders>
              <w:top w:val="nil"/>
              <w:left w:val="nil"/>
              <w:bottom w:val="single" w:sz="4" w:space="0" w:color="auto"/>
              <w:right w:val="single" w:sz="4" w:space="0" w:color="auto"/>
            </w:tcBorders>
            <w:shd w:val="clear" w:color="000000" w:fill="C0C0C0"/>
            <w:vAlign w:val="center"/>
            <w:hideMark/>
          </w:tcPr>
          <w:p w14:paraId="6D0904CF"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Wynik scenariusza Bazowego 2 (-200pb)</w:t>
            </w:r>
          </w:p>
        </w:tc>
        <w:tc>
          <w:tcPr>
            <w:tcW w:w="1984" w:type="dxa"/>
            <w:tcBorders>
              <w:top w:val="nil"/>
              <w:left w:val="nil"/>
              <w:bottom w:val="single" w:sz="4" w:space="0" w:color="auto"/>
              <w:right w:val="single" w:sz="4" w:space="0" w:color="auto"/>
            </w:tcBorders>
            <w:shd w:val="clear" w:color="000000" w:fill="FFFF99"/>
            <w:noWrap/>
            <w:vAlign w:val="center"/>
            <w:hideMark/>
          </w:tcPr>
          <w:p w14:paraId="0E0A6B8B"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6 973,91</w:t>
            </w:r>
          </w:p>
        </w:tc>
        <w:tc>
          <w:tcPr>
            <w:tcW w:w="1985" w:type="dxa"/>
            <w:tcBorders>
              <w:top w:val="nil"/>
              <w:left w:val="nil"/>
              <w:bottom w:val="single" w:sz="4" w:space="0" w:color="auto"/>
              <w:right w:val="single" w:sz="4" w:space="0" w:color="auto"/>
            </w:tcBorders>
            <w:shd w:val="clear" w:color="000000" w:fill="339966"/>
            <w:noWrap/>
            <w:vAlign w:val="center"/>
            <w:hideMark/>
          </w:tcPr>
          <w:p w14:paraId="40CC6E2A"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7,39%</w:t>
            </w:r>
          </w:p>
        </w:tc>
      </w:tr>
      <w:tr w:rsidR="007824CB" w:rsidRPr="007824CB" w14:paraId="29E4C5AB" w14:textId="77777777" w:rsidTr="007824CB">
        <w:trPr>
          <w:trHeight w:val="300"/>
        </w:trPr>
        <w:tc>
          <w:tcPr>
            <w:tcW w:w="1348" w:type="dxa"/>
            <w:tcBorders>
              <w:top w:val="nil"/>
              <w:left w:val="single" w:sz="4" w:space="0" w:color="auto"/>
              <w:bottom w:val="single" w:sz="4" w:space="0" w:color="auto"/>
              <w:right w:val="single" w:sz="4" w:space="0" w:color="auto"/>
            </w:tcBorders>
            <w:shd w:val="clear" w:color="000000" w:fill="C0C0C0"/>
            <w:noWrap/>
            <w:vAlign w:val="center"/>
            <w:hideMark/>
          </w:tcPr>
          <w:p w14:paraId="2985F0E2"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3</w:t>
            </w:r>
          </w:p>
        </w:tc>
        <w:tc>
          <w:tcPr>
            <w:tcW w:w="3544" w:type="dxa"/>
            <w:tcBorders>
              <w:top w:val="nil"/>
              <w:left w:val="nil"/>
              <w:bottom w:val="single" w:sz="4" w:space="0" w:color="auto"/>
              <w:right w:val="single" w:sz="4" w:space="0" w:color="auto"/>
            </w:tcBorders>
            <w:shd w:val="clear" w:color="000000" w:fill="C0C0C0"/>
            <w:vAlign w:val="center"/>
            <w:hideMark/>
          </w:tcPr>
          <w:p w14:paraId="1276DA02"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Wynik scenariusza I</w:t>
            </w:r>
          </w:p>
        </w:tc>
        <w:tc>
          <w:tcPr>
            <w:tcW w:w="1984" w:type="dxa"/>
            <w:tcBorders>
              <w:top w:val="nil"/>
              <w:left w:val="nil"/>
              <w:bottom w:val="single" w:sz="4" w:space="0" w:color="auto"/>
              <w:right w:val="single" w:sz="4" w:space="0" w:color="auto"/>
            </w:tcBorders>
            <w:shd w:val="clear" w:color="000000" w:fill="FFFF99"/>
            <w:noWrap/>
            <w:vAlign w:val="center"/>
            <w:hideMark/>
          </w:tcPr>
          <w:p w14:paraId="74963246"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-5 702,94</w:t>
            </w:r>
          </w:p>
        </w:tc>
        <w:tc>
          <w:tcPr>
            <w:tcW w:w="1985" w:type="dxa"/>
            <w:tcBorders>
              <w:top w:val="nil"/>
              <w:left w:val="nil"/>
              <w:bottom w:val="single" w:sz="4" w:space="0" w:color="auto"/>
              <w:right w:val="single" w:sz="4" w:space="0" w:color="auto"/>
            </w:tcBorders>
            <w:shd w:val="clear" w:color="000000" w:fill="339966"/>
            <w:noWrap/>
            <w:vAlign w:val="center"/>
            <w:hideMark/>
          </w:tcPr>
          <w:p w14:paraId="4113A66F"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-6,04%</w:t>
            </w:r>
          </w:p>
        </w:tc>
      </w:tr>
      <w:tr w:rsidR="007824CB" w:rsidRPr="007824CB" w14:paraId="45364780" w14:textId="77777777" w:rsidTr="007824CB">
        <w:trPr>
          <w:trHeight w:val="300"/>
        </w:trPr>
        <w:tc>
          <w:tcPr>
            <w:tcW w:w="1348" w:type="dxa"/>
            <w:tcBorders>
              <w:top w:val="nil"/>
              <w:left w:val="single" w:sz="4" w:space="0" w:color="auto"/>
              <w:bottom w:val="single" w:sz="4" w:space="0" w:color="auto"/>
              <w:right w:val="single" w:sz="4" w:space="0" w:color="auto"/>
            </w:tcBorders>
            <w:shd w:val="clear" w:color="000000" w:fill="C0C0C0"/>
            <w:noWrap/>
            <w:vAlign w:val="center"/>
            <w:hideMark/>
          </w:tcPr>
          <w:p w14:paraId="488006B0"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4</w:t>
            </w:r>
          </w:p>
        </w:tc>
        <w:tc>
          <w:tcPr>
            <w:tcW w:w="3544" w:type="dxa"/>
            <w:tcBorders>
              <w:top w:val="nil"/>
              <w:left w:val="nil"/>
              <w:bottom w:val="single" w:sz="4" w:space="0" w:color="auto"/>
              <w:right w:val="single" w:sz="4" w:space="0" w:color="auto"/>
            </w:tcBorders>
            <w:shd w:val="clear" w:color="000000" w:fill="C0C0C0"/>
            <w:vAlign w:val="center"/>
            <w:hideMark/>
          </w:tcPr>
          <w:p w14:paraId="728D7868"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Wynik scenariusza II</w:t>
            </w:r>
          </w:p>
        </w:tc>
        <w:tc>
          <w:tcPr>
            <w:tcW w:w="1984" w:type="dxa"/>
            <w:tcBorders>
              <w:top w:val="nil"/>
              <w:left w:val="nil"/>
              <w:bottom w:val="single" w:sz="4" w:space="0" w:color="auto"/>
              <w:right w:val="single" w:sz="4" w:space="0" w:color="auto"/>
            </w:tcBorders>
            <w:shd w:val="clear" w:color="000000" w:fill="FFFF99"/>
            <w:noWrap/>
            <w:vAlign w:val="center"/>
            <w:hideMark/>
          </w:tcPr>
          <w:p w14:paraId="38513241"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9 210,30</w:t>
            </w:r>
          </w:p>
        </w:tc>
        <w:tc>
          <w:tcPr>
            <w:tcW w:w="1985" w:type="dxa"/>
            <w:tcBorders>
              <w:top w:val="nil"/>
              <w:left w:val="nil"/>
              <w:bottom w:val="single" w:sz="4" w:space="0" w:color="auto"/>
              <w:right w:val="single" w:sz="4" w:space="0" w:color="auto"/>
            </w:tcBorders>
            <w:shd w:val="clear" w:color="000000" w:fill="339966"/>
            <w:noWrap/>
            <w:vAlign w:val="center"/>
            <w:hideMark/>
          </w:tcPr>
          <w:p w14:paraId="1E01C6D9"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9,75%</w:t>
            </w:r>
          </w:p>
        </w:tc>
      </w:tr>
      <w:tr w:rsidR="007824CB" w:rsidRPr="007824CB" w14:paraId="164737D9" w14:textId="77777777" w:rsidTr="007824CB">
        <w:trPr>
          <w:trHeight w:val="300"/>
        </w:trPr>
        <w:tc>
          <w:tcPr>
            <w:tcW w:w="1348" w:type="dxa"/>
            <w:tcBorders>
              <w:top w:val="nil"/>
              <w:left w:val="single" w:sz="4" w:space="0" w:color="auto"/>
              <w:bottom w:val="single" w:sz="4" w:space="0" w:color="auto"/>
              <w:right w:val="single" w:sz="4" w:space="0" w:color="auto"/>
            </w:tcBorders>
            <w:shd w:val="clear" w:color="000000" w:fill="C0C0C0"/>
            <w:noWrap/>
            <w:vAlign w:val="center"/>
            <w:hideMark/>
          </w:tcPr>
          <w:p w14:paraId="4E61DD14"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5</w:t>
            </w:r>
          </w:p>
        </w:tc>
        <w:tc>
          <w:tcPr>
            <w:tcW w:w="3544" w:type="dxa"/>
            <w:tcBorders>
              <w:top w:val="nil"/>
              <w:left w:val="nil"/>
              <w:bottom w:val="single" w:sz="4" w:space="0" w:color="auto"/>
              <w:right w:val="single" w:sz="4" w:space="0" w:color="auto"/>
            </w:tcBorders>
            <w:shd w:val="clear" w:color="000000" w:fill="C0C0C0"/>
            <w:vAlign w:val="center"/>
            <w:hideMark/>
          </w:tcPr>
          <w:p w14:paraId="1B6B3178"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Wynik scenariusza III</w:t>
            </w:r>
          </w:p>
        </w:tc>
        <w:tc>
          <w:tcPr>
            <w:tcW w:w="1984" w:type="dxa"/>
            <w:tcBorders>
              <w:top w:val="nil"/>
              <w:left w:val="nil"/>
              <w:bottom w:val="single" w:sz="4" w:space="0" w:color="auto"/>
              <w:right w:val="single" w:sz="4" w:space="0" w:color="auto"/>
            </w:tcBorders>
            <w:shd w:val="clear" w:color="000000" w:fill="FFFF99"/>
            <w:noWrap/>
            <w:vAlign w:val="center"/>
            <w:hideMark/>
          </w:tcPr>
          <w:p w14:paraId="7A557CF7"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-4 702,07</w:t>
            </w:r>
          </w:p>
        </w:tc>
        <w:tc>
          <w:tcPr>
            <w:tcW w:w="1985" w:type="dxa"/>
            <w:tcBorders>
              <w:top w:val="nil"/>
              <w:left w:val="nil"/>
              <w:bottom w:val="single" w:sz="4" w:space="0" w:color="auto"/>
              <w:right w:val="single" w:sz="4" w:space="0" w:color="auto"/>
            </w:tcBorders>
            <w:shd w:val="clear" w:color="000000" w:fill="339966"/>
            <w:noWrap/>
            <w:vAlign w:val="center"/>
            <w:hideMark/>
          </w:tcPr>
          <w:p w14:paraId="3CA80EA9"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-4,98%</w:t>
            </w:r>
          </w:p>
        </w:tc>
      </w:tr>
      <w:tr w:rsidR="007824CB" w:rsidRPr="007824CB" w14:paraId="44C589C6" w14:textId="77777777" w:rsidTr="007824CB">
        <w:trPr>
          <w:trHeight w:val="300"/>
        </w:trPr>
        <w:tc>
          <w:tcPr>
            <w:tcW w:w="1348" w:type="dxa"/>
            <w:tcBorders>
              <w:top w:val="nil"/>
              <w:left w:val="single" w:sz="4" w:space="0" w:color="auto"/>
              <w:bottom w:val="single" w:sz="4" w:space="0" w:color="auto"/>
              <w:right w:val="single" w:sz="4" w:space="0" w:color="auto"/>
            </w:tcBorders>
            <w:shd w:val="clear" w:color="000000" w:fill="C0C0C0"/>
            <w:noWrap/>
            <w:vAlign w:val="center"/>
            <w:hideMark/>
          </w:tcPr>
          <w:p w14:paraId="45363A20"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6</w:t>
            </w:r>
          </w:p>
        </w:tc>
        <w:tc>
          <w:tcPr>
            <w:tcW w:w="3544" w:type="dxa"/>
            <w:tcBorders>
              <w:top w:val="nil"/>
              <w:left w:val="nil"/>
              <w:bottom w:val="single" w:sz="4" w:space="0" w:color="auto"/>
              <w:right w:val="single" w:sz="4" w:space="0" w:color="auto"/>
            </w:tcBorders>
            <w:shd w:val="clear" w:color="000000" w:fill="C0C0C0"/>
            <w:vAlign w:val="center"/>
            <w:hideMark/>
          </w:tcPr>
          <w:p w14:paraId="4C60C39A"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Wynik scenariusza IV</w:t>
            </w:r>
          </w:p>
        </w:tc>
        <w:tc>
          <w:tcPr>
            <w:tcW w:w="1984" w:type="dxa"/>
            <w:tcBorders>
              <w:top w:val="nil"/>
              <w:left w:val="nil"/>
              <w:bottom w:val="single" w:sz="4" w:space="0" w:color="auto"/>
              <w:right w:val="single" w:sz="4" w:space="0" w:color="auto"/>
            </w:tcBorders>
            <w:shd w:val="clear" w:color="000000" w:fill="FFFF99"/>
            <w:noWrap/>
            <w:vAlign w:val="center"/>
            <w:hideMark/>
          </w:tcPr>
          <w:p w14:paraId="373CCCF4"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3 666,65</w:t>
            </w:r>
          </w:p>
        </w:tc>
        <w:tc>
          <w:tcPr>
            <w:tcW w:w="1985" w:type="dxa"/>
            <w:tcBorders>
              <w:top w:val="nil"/>
              <w:left w:val="nil"/>
              <w:bottom w:val="single" w:sz="4" w:space="0" w:color="auto"/>
              <w:right w:val="single" w:sz="4" w:space="0" w:color="auto"/>
            </w:tcBorders>
            <w:shd w:val="clear" w:color="000000" w:fill="339966"/>
            <w:noWrap/>
            <w:vAlign w:val="center"/>
            <w:hideMark/>
          </w:tcPr>
          <w:p w14:paraId="328F7699"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3,88%</w:t>
            </w:r>
          </w:p>
        </w:tc>
      </w:tr>
      <w:tr w:rsidR="007824CB" w:rsidRPr="007824CB" w14:paraId="2DD2F984" w14:textId="77777777" w:rsidTr="007824CB">
        <w:trPr>
          <w:trHeight w:val="300"/>
        </w:trPr>
        <w:tc>
          <w:tcPr>
            <w:tcW w:w="1348" w:type="dxa"/>
            <w:tcBorders>
              <w:top w:val="nil"/>
              <w:left w:val="single" w:sz="4" w:space="0" w:color="auto"/>
              <w:bottom w:val="single" w:sz="4" w:space="0" w:color="auto"/>
              <w:right w:val="single" w:sz="4" w:space="0" w:color="auto"/>
            </w:tcBorders>
            <w:shd w:val="clear" w:color="000000" w:fill="C0C0C0"/>
            <w:noWrap/>
            <w:vAlign w:val="center"/>
            <w:hideMark/>
          </w:tcPr>
          <w:p w14:paraId="694341A0"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lastRenderedPageBreak/>
              <w:t>7</w:t>
            </w:r>
          </w:p>
        </w:tc>
        <w:tc>
          <w:tcPr>
            <w:tcW w:w="3544" w:type="dxa"/>
            <w:tcBorders>
              <w:top w:val="nil"/>
              <w:left w:val="nil"/>
              <w:bottom w:val="single" w:sz="4" w:space="0" w:color="auto"/>
              <w:right w:val="single" w:sz="4" w:space="0" w:color="auto"/>
            </w:tcBorders>
            <w:shd w:val="clear" w:color="000000" w:fill="C0C0C0"/>
            <w:vAlign w:val="center"/>
            <w:hideMark/>
          </w:tcPr>
          <w:p w14:paraId="54398904"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Wynik scenariusza V</w:t>
            </w:r>
          </w:p>
        </w:tc>
        <w:tc>
          <w:tcPr>
            <w:tcW w:w="1984" w:type="dxa"/>
            <w:tcBorders>
              <w:top w:val="nil"/>
              <w:left w:val="nil"/>
              <w:bottom w:val="single" w:sz="4" w:space="0" w:color="auto"/>
              <w:right w:val="single" w:sz="4" w:space="0" w:color="auto"/>
            </w:tcBorders>
            <w:shd w:val="clear" w:color="000000" w:fill="FFFF99"/>
            <w:noWrap/>
            <w:vAlign w:val="center"/>
            <w:hideMark/>
          </w:tcPr>
          <w:p w14:paraId="3E4A3BE4"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1 047,23</w:t>
            </w:r>
          </w:p>
        </w:tc>
        <w:tc>
          <w:tcPr>
            <w:tcW w:w="1985" w:type="dxa"/>
            <w:tcBorders>
              <w:top w:val="nil"/>
              <w:left w:val="nil"/>
              <w:bottom w:val="single" w:sz="4" w:space="0" w:color="auto"/>
              <w:right w:val="single" w:sz="4" w:space="0" w:color="auto"/>
            </w:tcBorders>
            <w:shd w:val="clear" w:color="000000" w:fill="339966"/>
            <w:noWrap/>
            <w:vAlign w:val="center"/>
            <w:hideMark/>
          </w:tcPr>
          <w:p w14:paraId="40E860B6"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1,11%</w:t>
            </w:r>
          </w:p>
        </w:tc>
      </w:tr>
      <w:tr w:rsidR="007824CB" w:rsidRPr="007824CB" w14:paraId="18D65CDF" w14:textId="77777777" w:rsidTr="007824CB">
        <w:trPr>
          <w:trHeight w:val="300"/>
        </w:trPr>
        <w:tc>
          <w:tcPr>
            <w:tcW w:w="1348" w:type="dxa"/>
            <w:tcBorders>
              <w:top w:val="nil"/>
              <w:left w:val="single" w:sz="4" w:space="0" w:color="auto"/>
              <w:bottom w:val="single" w:sz="4" w:space="0" w:color="auto"/>
              <w:right w:val="single" w:sz="4" w:space="0" w:color="auto"/>
            </w:tcBorders>
            <w:shd w:val="clear" w:color="000000" w:fill="C0C0C0"/>
            <w:noWrap/>
            <w:vAlign w:val="center"/>
            <w:hideMark/>
          </w:tcPr>
          <w:p w14:paraId="11BAF6CD"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8</w:t>
            </w:r>
          </w:p>
        </w:tc>
        <w:tc>
          <w:tcPr>
            <w:tcW w:w="3544" w:type="dxa"/>
            <w:tcBorders>
              <w:top w:val="nil"/>
              <w:left w:val="nil"/>
              <w:bottom w:val="single" w:sz="4" w:space="0" w:color="auto"/>
              <w:right w:val="single" w:sz="4" w:space="0" w:color="auto"/>
            </w:tcBorders>
            <w:shd w:val="clear" w:color="000000" w:fill="C0C0C0"/>
            <w:vAlign w:val="center"/>
            <w:hideMark/>
          </w:tcPr>
          <w:p w14:paraId="4C9AD2A4"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Wynik scenariusza VI</w:t>
            </w:r>
          </w:p>
        </w:tc>
        <w:tc>
          <w:tcPr>
            <w:tcW w:w="1984" w:type="dxa"/>
            <w:tcBorders>
              <w:top w:val="nil"/>
              <w:left w:val="nil"/>
              <w:bottom w:val="single" w:sz="4" w:space="0" w:color="auto"/>
              <w:right w:val="single" w:sz="4" w:space="0" w:color="auto"/>
            </w:tcBorders>
            <w:shd w:val="clear" w:color="000000" w:fill="FFFF99"/>
            <w:noWrap/>
            <w:vAlign w:val="center"/>
            <w:hideMark/>
          </w:tcPr>
          <w:p w14:paraId="6A8FB1F2"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-917,42</w:t>
            </w:r>
          </w:p>
        </w:tc>
        <w:tc>
          <w:tcPr>
            <w:tcW w:w="1985" w:type="dxa"/>
            <w:tcBorders>
              <w:top w:val="nil"/>
              <w:left w:val="nil"/>
              <w:bottom w:val="single" w:sz="4" w:space="0" w:color="auto"/>
              <w:right w:val="single" w:sz="4" w:space="0" w:color="auto"/>
            </w:tcBorders>
            <w:shd w:val="clear" w:color="000000" w:fill="339966"/>
            <w:noWrap/>
            <w:vAlign w:val="center"/>
            <w:hideMark/>
          </w:tcPr>
          <w:p w14:paraId="25AA7EFC"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-0,97%</w:t>
            </w:r>
          </w:p>
        </w:tc>
      </w:tr>
    </w:tbl>
    <w:p w14:paraId="30D469A3" w14:textId="77777777" w:rsidR="007824CB" w:rsidRDefault="007824CB" w:rsidP="007824CB">
      <w:pPr>
        <w:jc w:val="center"/>
        <w:rPr>
          <w:rFonts w:ascii="Times New Roman" w:hAnsi="Times New Roman" w:cs="Times New Roman"/>
          <w:b/>
          <w:szCs w:val="24"/>
        </w:rPr>
      </w:pPr>
    </w:p>
    <w:p w14:paraId="7698D763" w14:textId="74EC0224" w:rsidR="007824CB" w:rsidRDefault="007824CB" w:rsidP="007824CB">
      <w:pPr>
        <w:jc w:val="center"/>
        <w:rPr>
          <w:rFonts w:ascii="Times New Roman" w:hAnsi="Times New Roman" w:cs="Times New Roman"/>
          <w:b/>
          <w:szCs w:val="24"/>
        </w:rPr>
      </w:pPr>
      <w:r w:rsidRPr="007824CB">
        <w:rPr>
          <w:rFonts w:ascii="Times New Roman" w:hAnsi="Times New Roman" w:cs="Times New Roman"/>
          <w:b/>
          <w:szCs w:val="24"/>
        </w:rPr>
        <w:t>Nadzorczy test warunków skrajnych wartości odstających</w:t>
      </w:r>
    </w:p>
    <w:tbl>
      <w:tblPr>
        <w:tblW w:w="8861" w:type="dxa"/>
        <w:tblInd w:w="70" w:type="dxa"/>
        <w:tblCellMar>
          <w:left w:w="70" w:type="dxa"/>
          <w:right w:w="70" w:type="dxa"/>
        </w:tblCellMar>
        <w:tblLook w:val="04A0" w:firstRow="1" w:lastRow="0" w:firstColumn="1" w:lastColumn="0" w:noHBand="0" w:noVBand="1"/>
      </w:tblPr>
      <w:tblGrid>
        <w:gridCol w:w="1206"/>
        <w:gridCol w:w="3686"/>
        <w:gridCol w:w="1984"/>
        <w:gridCol w:w="1985"/>
      </w:tblGrid>
      <w:tr w:rsidR="007824CB" w:rsidRPr="007824CB" w14:paraId="74541AD7" w14:textId="77777777" w:rsidTr="007824CB">
        <w:trPr>
          <w:trHeight w:val="510"/>
        </w:trPr>
        <w:tc>
          <w:tcPr>
            <w:tcW w:w="1206" w:type="dxa"/>
            <w:tcBorders>
              <w:top w:val="nil"/>
              <w:left w:val="nil"/>
              <w:bottom w:val="single" w:sz="4" w:space="0" w:color="auto"/>
              <w:right w:val="nil"/>
            </w:tcBorders>
            <w:shd w:val="clear" w:color="auto" w:fill="auto"/>
            <w:noWrap/>
            <w:vAlign w:val="bottom"/>
            <w:hideMark/>
          </w:tcPr>
          <w:p w14:paraId="1B6F1B4D" w14:textId="77777777" w:rsidR="007824CB" w:rsidRPr="007824CB" w:rsidRDefault="007824CB" w:rsidP="007824CB">
            <w:pPr>
              <w:spacing w:after="0" w:line="240" w:lineRule="auto"/>
              <w:ind w:left="0" w:right="0" w:firstLine="0"/>
              <w:jc w:val="left"/>
              <w:rPr>
                <w:rFonts w:eastAsia="Times New Roman" w:cs="Times New Roman"/>
                <w:b/>
                <w:bCs/>
                <w:sz w:val="16"/>
                <w:szCs w:val="16"/>
              </w:rPr>
            </w:pPr>
            <w:r w:rsidRPr="007824CB">
              <w:rPr>
                <w:rFonts w:eastAsia="Times New Roman" w:cs="Times New Roman"/>
                <w:b/>
                <w:bCs/>
                <w:sz w:val="16"/>
                <w:szCs w:val="16"/>
              </w:rPr>
              <w:t> </w:t>
            </w:r>
          </w:p>
        </w:tc>
        <w:tc>
          <w:tcPr>
            <w:tcW w:w="3686" w:type="dxa"/>
            <w:tcBorders>
              <w:top w:val="nil"/>
              <w:left w:val="nil"/>
              <w:bottom w:val="single" w:sz="4" w:space="0" w:color="auto"/>
              <w:right w:val="nil"/>
            </w:tcBorders>
            <w:shd w:val="clear" w:color="auto" w:fill="auto"/>
            <w:noWrap/>
            <w:vAlign w:val="center"/>
            <w:hideMark/>
          </w:tcPr>
          <w:p w14:paraId="1077276D" w14:textId="77777777" w:rsidR="007824CB" w:rsidRPr="007824CB" w:rsidRDefault="007824CB" w:rsidP="007824CB">
            <w:pPr>
              <w:spacing w:after="0" w:line="240" w:lineRule="auto"/>
              <w:ind w:left="0" w:right="0" w:firstLine="0"/>
              <w:jc w:val="center"/>
              <w:rPr>
                <w:rFonts w:eastAsia="Times New Roman" w:cs="Times New Roman"/>
                <w:sz w:val="16"/>
                <w:szCs w:val="16"/>
              </w:rPr>
            </w:pPr>
            <w:r w:rsidRPr="007824CB">
              <w:rPr>
                <w:rFonts w:eastAsia="Times New Roman" w:cs="Times New Roman"/>
                <w:sz w:val="16"/>
                <w:szCs w:val="16"/>
              </w:rPr>
              <w:t> </w:t>
            </w:r>
          </w:p>
        </w:tc>
        <w:tc>
          <w:tcPr>
            <w:tcW w:w="1984" w:type="dxa"/>
            <w:tcBorders>
              <w:top w:val="nil"/>
              <w:left w:val="nil"/>
              <w:bottom w:val="single" w:sz="4" w:space="0" w:color="auto"/>
              <w:right w:val="single" w:sz="4" w:space="0" w:color="auto"/>
            </w:tcBorders>
            <w:shd w:val="clear" w:color="auto" w:fill="auto"/>
            <w:noWrap/>
            <w:vAlign w:val="center"/>
            <w:hideMark/>
          </w:tcPr>
          <w:p w14:paraId="46303AE4" w14:textId="77777777" w:rsidR="007824CB" w:rsidRPr="007824CB" w:rsidRDefault="007824CB" w:rsidP="007824CB">
            <w:pPr>
              <w:spacing w:after="0" w:line="240" w:lineRule="auto"/>
              <w:ind w:left="0" w:right="0" w:firstLine="0"/>
              <w:jc w:val="center"/>
              <w:rPr>
                <w:rFonts w:eastAsia="Times New Roman" w:cs="Times New Roman"/>
                <w:sz w:val="16"/>
                <w:szCs w:val="16"/>
              </w:rPr>
            </w:pPr>
            <w:r w:rsidRPr="007824CB">
              <w:rPr>
                <w:rFonts w:eastAsia="Times New Roman" w:cs="Times New Roman"/>
                <w:sz w:val="16"/>
                <w:szCs w:val="16"/>
              </w:rPr>
              <w:t> </w:t>
            </w:r>
          </w:p>
        </w:tc>
        <w:tc>
          <w:tcPr>
            <w:tcW w:w="1985" w:type="dxa"/>
            <w:tcBorders>
              <w:top w:val="single" w:sz="4" w:space="0" w:color="auto"/>
              <w:left w:val="nil"/>
              <w:bottom w:val="single" w:sz="4" w:space="0" w:color="auto"/>
              <w:right w:val="single" w:sz="4" w:space="0" w:color="auto"/>
            </w:tcBorders>
            <w:shd w:val="clear" w:color="000000" w:fill="C0C0C0"/>
            <w:vAlign w:val="center"/>
            <w:hideMark/>
          </w:tcPr>
          <w:p w14:paraId="435022CE"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TIER 1                        w tys. zł</w:t>
            </w:r>
          </w:p>
        </w:tc>
      </w:tr>
      <w:tr w:rsidR="007824CB" w:rsidRPr="007824CB" w14:paraId="42552F2C" w14:textId="77777777" w:rsidTr="007824CB">
        <w:trPr>
          <w:trHeight w:val="300"/>
        </w:trPr>
        <w:tc>
          <w:tcPr>
            <w:tcW w:w="1206" w:type="dxa"/>
            <w:tcBorders>
              <w:top w:val="nil"/>
              <w:left w:val="single" w:sz="4" w:space="0" w:color="auto"/>
              <w:bottom w:val="single" w:sz="4" w:space="0" w:color="auto"/>
              <w:right w:val="single" w:sz="4" w:space="0" w:color="auto"/>
            </w:tcBorders>
            <w:shd w:val="clear" w:color="000000" w:fill="C0C0C0"/>
            <w:noWrap/>
            <w:vAlign w:val="bottom"/>
            <w:hideMark/>
          </w:tcPr>
          <w:p w14:paraId="59969A6C"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proofErr w:type="spellStart"/>
            <w:r w:rsidRPr="007824CB">
              <w:rPr>
                <w:rFonts w:eastAsia="Times New Roman" w:cs="Times New Roman"/>
                <w:b/>
                <w:bCs/>
                <w:sz w:val="20"/>
                <w:szCs w:val="20"/>
              </w:rPr>
              <w:t>Lp</w:t>
            </w:r>
            <w:proofErr w:type="spellEnd"/>
          </w:p>
        </w:tc>
        <w:tc>
          <w:tcPr>
            <w:tcW w:w="3686" w:type="dxa"/>
            <w:tcBorders>
              <w:top w:val="nil"/>
              <w:left w:val="nil"/>
              <w:bottom w:val="single" w:sz="4" w:space="0" w:color="auto"/>
              <w:right w:val="single" w:sz="4" w:space="0" w:color="auto"/>
            </w:tcBorders>
            <w:shd w:val="clear" w:color="000000" w:fill="C0C0C0"/>
            <w:noWrap/>
            <w:vAlign w:val="center"/>
            <w:hideMark/>
          </w:tcPr>
          <w:p w14:paraId="01AF05DE"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Opis</w:t>
            </w:r>
          </w:p>
        </w:tc>
        <w:tc>
          <w:tcPr>
            <w:tcW w:w="1984" w:type="dxa"/>
            <w:tcBorders>
              <w:top w:val="nil"/>
              <w:left w:val="nil"/>
              <w:bottom w:val="single" w:sz="4" w:space="0" w:color="auto"/>
              <w:right w:val="single" w:sz="4" w:space="0" w:color="auto"/>
            </w:tcBorders>
            <w:shd w:val="clear" w:color="000000" w:fill="FFFF99"/>
            <w:noWrap/>
            <w:vAlign w:val="center"/>
            <w:hideMark/>
          </w:tcPr>
          <w:p w14:paraId="3280C6F4"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Wynik</w:t>
            </w:r>
          </w:p>
        </w:tc>
        <w:tc>
          <w:tcPr>
            <w:tcW w:w="1985" w:type="dxa"/>
            <w:tcBorders>
              <w:top w:val="nil"/>
              <w:left w:val="nil"/>
              <w:bottom w:val="single" w:sz="4" w:space="0" w:color="auto"/>
              <w:right w:val="single" w:sz="4" w:space="0" w:color="auto"/>
            </w:tcBorders>
            <w:shd w:val="clear" w:color="000000" w:fill="FFFFCC"/>
            <w:noWrap/>
            <w:vAlign w:val="center"/>
            <w:hideMark/>
          </w:tcPr>
          <w:p w14:paraId="115D460E"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89 729,54</w:t>
            </w:r>
          </w:p>
        </w:tc>
      </w:tr>
      <w:tr w:rsidR="007824CB" w:rsidRPr="007824CB" w14:paraId="3E6D328A" w14:textId="77777777" w:rsidTr="007824CB">
        <w:trPr>
          <w:trHeight w:val="300"/>
        </w:trPr>
        <w:tc>
          <w:tcPr>
            <w:tcW w:w="1206" w:type="dxa"/>
            <w:tcBorders>
              <w:top w:val="nil"/>
              <w:left w:val="single" w:sz="4" w:space="0" w:color="auto"/>
              <w:bottom w:val="single" w:sz="4" w:space="0" w:color="auto"/>
              <w:right w:val="single" w:sz="4" w:space="0" w:color="auto"/>
            </w:tcBorders>
            <w:shd w:val="clear" w:color="000000" w:fill="C0C0C0"/>
            <w:noWrap/>
            <w:vAlign w:val="center"/>
            <w:hideMark/>
          </w:tcPr>
          <w:p w14:paraId="58FF8BA4"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1</w:t>
            </w:r>
          </w:p>
        </w:tc>
        <w:tc>
          <w:tcPr>
            <w:tcW w:w="3686" w:type="dxa"/>
            <w:tcBorders>
              <w:top w:val="nil"/>
              <w:left w:val="nil"/>
              <w:bottom w:val="single" w:sz="4" w:space="0" w:color="auto"/>
              <w:right w:val="single" w:sz="4" w:space="0" w:color="auto"/>
            </w:tcBorders>
            <w:shd w:val="clear" w:color="000000" w:fill="C0C0C0"/>
            <w:vAlign w:val="center"/>
            <w:hideMark/>
          </w:tcPr>
          <w:p w14:paraId="5E9CF88E"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Wynik Scenariusza Bazowego 1 (+200pb)</w:t>
            </w:r>
          </w:p>
        </w:tc>
        <w:tc>
          <w:tcPr>
            <w:tcW w:w="1984" w:type="dxa"/>
            <w:tcBorders>
              <w:top w:val="nil"/>
              <w:left w:val="nil"/>
              <w:bottom w:val="single" w:sz="4" w:space="0" w:color="auto"/>
              <w:right w:val="single" w:sz="4" w:space="0" w:color="auto"/>
            </w:tcBorders>
            <w:shd w:val="clear" w:color="000000" w:fill="FFFF99"/>
            <w:noWrap/>
            <w:vAlign w:val="center"/>
            <w:hideMark/>
          </w:tcPr>
          <w:p w14:paraId="46F84198"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-4 760,07</w:t>
            </w:r>
          </w:p>
        </w:tc>
        <w:tc>
          <w:tcPr>
            <w:tcW w:w="1985" w:type="dxa"/>
            <w:tcBorders>
              <w:top w:val="nil"/>
              <w:left w:val="nil"/>
              <w:bottom w:val="single" w:sz="4" w:space="0" w:color="auto"/>
              <w:right w:val="single" w:sz="4" w:space="0" w:color="auto"/>
            </w:tcBorders>
            <w:shd w:val="clear" w:color="000000" w:fill="339966"/>
            <w:noWrap/>
            <w:vAlign w:val="center"/>
            <w:hideMark/>
          </w:tcPr>
          <w:p w14:paraId="3CF92E2C"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-5,30%</w:t>
            </w:r>
          </w:p>
        </w:tc>
      </w:tr>
      <w:tr w:rsidR="007824CB" w:rsidRPr="007824CB" w14:paraId="673226F7" w14:textId="77777777" w:rsidTr="007824CB">
        <w:trPr>
          <w:trHeight w:val="300"/>
        </w:trPr>
        <w:tc>
          <w:tcPr>
            <w:tcW w:w="1206" w:type="dxa"/>
            <w:tcBorders>
              <w:top w:val="nil"/>
              <w:left w:val="single" w:sz="4" w:space="0" w:color="auto"/>
              <w:bottom w:val="single" w:sz="4" w:space="0" w:color="auto"/>
              <w:right w:val="single" w:sz="4" w:space="0" w:color="auto"/>
            </w:tcBorders>
            <w:shd w:val="clear" w:color="000000" w:fill="C0C0C0"/>
            <w:noWrap/>
            <w:vAlign w:val="center"/>
            <w:hideMark/>
          </w:tcPr>
          <w:p w14:paraId="7E38A8D4"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2</w:t>
            </w:r>
          </w:p>
        </w:tc>
        <w:tc>
          <w:tcPr>
            <w:tcW w:w="3686" w:type="dxa"/>
            <w:tcBorders>
              <w:top w:val="nil"/>
              <w:left w:val="nil"/>
              <w:bottom w:val="single" w:sz="4" w:space="0" w:color="auto"/>
              <w:right w:val="single" w:sz="4" w:space="0" w:color="auto"/>
            </w:tcBorders>
            <w:shd w:val="clear" w:color="000000" w:fill="C0C0C0"/>
            <w:vAlign w:val="center"/>
            <w:hideMark/>
          </w:tcPr>
          <w:p w14:paraId="5EB1BEE8"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Wynik Scenariusza Bazowego 2 (-200pb)</w:t>
            </w:r>
          </w:p>
        </w:tc>
        <w:tc>
          <w:tcPr>
            <w:tcW w:w="1984" w:type="dxa"/>
            <w:tcBorders>
              <w:top w:val="nil"/>
              <w:left w:val="nil"/>
              <w:bottom w:val="single" w:sz="4" w:space="0" w:color="auto"/>
              <w:right w:val="single" w:sz="4" w:space="0" w:color="auto"/>
            </w:tcBorders>
            <w:shd w:val="clear" w:color="000000" w:fill="FFFF99"/>
            <w:noWrap/>
            <w:vAlign w:val="center"/>
            <w:hideMark/>
          </w:tcPr>
          <w:p w14:paraId="63F5A7B7"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2 701,61</w:t>
            </w:r>
          </w:p>
        </w:tc>
        <w:tc>
          <w:tcPr>
            <w:tcW w:w="1985" w:type="dxa"/>
            <w:tcBorders>
              <w:top w:val="nil"/>
              <w:left w:val="nil"/>
              <w:bottom w:val="single" w:sz="4" w:space="0" w:color="auto"/>
              <w:right w:val="single" w:sz="4" w:space="0" w:color="auto"/>
            </w:tcBorders>
            <w:shd w:val="clear" w:color="000000" w:fill="339966"/>
            <w:noWrap/>
            <w:vAlign w:val="center"/>
            <w:hideMark/>
          </w:tcPr>
          <w:p w14:paraId="623004B9"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3,01%</w:t>
            </w:r>
          </w:p>
        </w:tc>
      </w:tr>
      <w:tr w:rsidR="007824CB" w:rsidRPr="007824CB" w14:paraId="742CA141" w14:textId="77777777" w:rsidTr="007824CB">
        <w:trPr>
          <w:trHeight w:val="300"/>
        </w:trPr>
        <w:tc>
          <w:tcPr>
            <w:tcW w:w="1206" w:type="dxa"/>
            <w:tcBorders>
              <w:top w:val="nil"/>
              <w:left w:val="single" w:sz="4" w:space="0" w:color="auto"/>
              <w:bottom w:val="single" w:sz="4" w:space="0" w:color="auto"/>
              <w:right w:val="single" w:sz="4" w:space="0" w:color="auto"/>
            </w:tcBorders>
            <w:shd w:val="clear" w:color="000000" w:fill="C0C0C0"/>
            <w:noWrap/>
            <w:vAlign w:val="center"/>
            <w:hideMark/>
          </w:tcPr>
          <w:p w14:paraId="0A0DB1F1"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3</w:t>
            </w:r>
          </w:p>
        </w:tc>
        <w:tc>
          <w:tcPr>
            <w:tcW w:w="3686" w:type="dxa"/>
            <w:tcBorders>
              <w:top w:val="nil"/>
              <w:left w:val="nil"/>
              <w:bottom w:val="single" w:sz="4" w:space="0" w:color="auto"/>
              <w:right w:val="single" w:sz="4" w:space="0" w:color="auto"/>
            </w:tcBorders>
            <w:shd w:val="clear" w:color="000000" w:fill="C0C0C0"/>
            <w:vAlign w:val="center"/>
            <w:hideMark/>
          </w:tcPr>
          <w:p w14:paraId="4A7026B8"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Wynik Scenariusza I</w:t>
            </w:r>
          </w:p>
        </w:tc>
        <w:tc>
          <w:tcPr>
            <w:tcW w:w="1984" w:type="dxa"/>
            <w:tcBorders>
              <w:top w:val="nil"/>
              <w:left w:val="nil"/>
              <w:bottom w:val="single" w:sz="4" w:space="0" w:color="auto"/>
              <w:right w:val="single" w:sz="4" w:space="0" w:color="auto"/>
            </w:tcBorders>
            <w:shd w:val="clear" w:color="000000" w:fill="FFFF99"/>
            <w:noWrap/>
            <w:vAlign w:val="center"/>
            <w:hideMark/>
          </w:tcPr>
          <w:p w14:paraId="4B8A3536"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-5 702,94</w:t>
            </w:r>
          </w:p>
        </w:tc>
        <w:tc>
          <w:tcPr>
            <w:tcW w:w="1985" w:type="dxa"/>
            <w:tcBorders>
              <w:top w:val="nil"/>
              <w:left w:val="nil"/>
              <w:bottom w:val="single" w:sz="4" w:space="0" w:color="auto"/>
              <w:right w:val="single" w:sz="4" w:space="0" w:color="auto"/>
            </w:tcBorders>
            <w:shd w:val="clear" w:color="000000" w:fill="339966"/>
            <w:noWrap/>
            <w:vAlign w:val="center"/>
            <w:hideMark/>
          </w:tcPr>
          <w:p w14:paraId="102846B1"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-6,36%</w:t>
            </w:r>
          </w:p>
        </w:tc>
      </w:tr>
      <w:tr w:rsidR="007824CB" w:rsidRPr="007824CB" w14:paraId="1CFD699F" w14:textId="77777777" w:rsidTr="007824CB">
        <w:trPr>
          <w:trHeight w:val="300"/>
        </w:trPr>
        <w:tc>
          <w:tcPr>
            <w:tcW w:w="1206" w:type="dxa"/>
            <w:tcBorders>
              <w:top w:val="nil"/>
              <w:left w:val="single" w:sz="4" w:space="0" w:color="auto"/>
              <w:bottom w:val="single" w:sz="4" w:space="0" w:color="auto"/>
              <w:right w:val="single" w:sz="4" w:space="0" w:color="auto"/>
            </w:tcBorders>
            <w:shd w:val="clear" w:color="000000" w:fill="C0C0C0"/>
            <w:noWrap/>
            <w:vAlign w:val="center"/>
            <w:hideMark/>
          </w:tcPr>
          <w:p w14:paraId="6F333A37"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4</w:t>
            </w:r>
          </w:p>
        </w:tc>
        <w:tc>
          <w:tcPr>
            <w:tcW w:w="3686" w:type="dxa"/>
            <w:tcBorders>
              <w:top w:val="nil"/>
              <w:left w:val="nil"/>
              <w:bottom w:val="single" w:sz="4" w:space="0" w:color="auto"/>
              <w:right w:val="single" w:sz="4" w:space="0" w:color="auto"/>
            </w:tcBorders>
            <w:shd w:val="clear" w:color="000000" w:fill="C0C0C0"/>
            <w:vAlign w:val="center"/>
            <w:hideMark/>
          </w:tcPr>
          <w:p w14:paraId="1B4D36B6"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Wynik Scenariusza II</w:t>
            </w:r>
          </w:p>
        </w:tc>
        <w:tc>
          <w:tcPr>
            <w:tcW w:w="1984" w:type="dxa"/>
            <w:tcBorders>
              <w:top w:val="nil"/>
              <w:left w:val="nil"/>
              <w:bottom w:val="single" w:sz="4" w:space="0" w:color="auto"/>
              <w:right w:val="single" w:sz="4" w:space="0" w:color="auto"/>
            </w:tcBorders>
            <w:shd w:val="clear" w:color="000000" w:fill="FFFF99"/>
            <w:noWrap/>
            <w:vAlign w:val="center"/>
            <w:hideMark/>
          </w:tcPr>
          <w:p w14:paraId="7C3898CA"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2 701,14</w:t>
            </w:r>
          </w:p>
        </w:tc>
        <w:tc>
          <w:tcPr>
            <w:tcW w:w="1985" w:type="dxa"/>
            <w:tcBorders>
              <w:top w:val="nil"/>
              <w:left w:val="nil"/>
              <w:bottom w:val="single" w:sz="4" w:space="0" w:color="auto"/>
              <w:right w:val="single" w:sz="4" w:space="0" w:color="auto"/>
            </w:tcBorders>
            <w:shd w:val="clear" w:color="000000" w:fill="339966"/>
            <w:noWrap/>
            <w:vAlign w:val="center"/>
            <w:hideMark/>
          </w:tcPr>
          <w:p w14:paraId="224A71D3"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3,01%</w:t>
            </w:r>
          </w:p>
        </w:tc>
      </w:tr>
      <w:tr w:rsidR="007824CB" w:rsidRPr="007824CB" w14:paraId="6723D974" w14:textId="77777777" w:rsidTr="007824CB">
        <w:trPr>
          <w:trHeight w:val="300"/>
        </w:trPr>
        <w:tc>
          <w:tcPr>
            <w:tcW w:w="1206" w:type="dxa"/>
            <w:tcBorders>
              <w:top w:val="nil"/>
              <w:left w:val="single" w:sz="4" w:space="0" w:color="auto"/>
              <w:bottom w:val="single" w:sz="4" w:space="0" w:color="auto"/>
              <w:right w:val="single" w:sz="4" w:space="0" w:color="auto"/>
            </w:tcBorders>
            <w:shd w:val="clear" w:color="000000" w:fill="C0C0C0"/>
            <w:noWrap/>
            <w:vAlign w:val="center"/>
            <w:hideMark/>
          </w:tcPr>
          <w:p w14:paraId="40C9B48E"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5</w:t>
            </w:r>
          </w:p>
        </w:tc>
        <w:tc>
          <w:tcPr>
            <w:tcW w:w="3686" w:type="dxa"/>
            <w:tcBorders>
              <w:top w:val="nil"/>
              <w:left w:val="nil"/>
              <w:bottom w:val="single" w:sz="4" w:space="0" w:color="auto"/>
              <w:right w:val="single" w:sz="4" w:space="0" w:color="auto"/>
            </w:tcBorders>
            <w:shd w:val="clear" w:color="000000" w:fill="C0C0C0"/>
            <w:vAlign w:val="center"/>
            <w:hideMark/>
          </w:tcPr>
          <w:p w14:paraId="1520837B"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Wynik Scenariusza III</w:t>
            </w:r>
          </w:p>
        </w:tc>
        <w:tc>
          <w:tcPr>
            <w:tcW w:w="1984" w:type="dxa"/>
            <w:tcBorders>
              <w:top w:val="nil"/>
              <w:left w:val="nil"/>
              <w:bottom w:val="single" w:sz="4" w:space="0" w:color="auto"/>
              <w:right w:val="single" w:sz="4" w:space="0" w:color="auto"/>
            </w:tcBorders>
            <w:shd w:val="clear" w:color="000000" w:fill="FFFF99"/>
            <w:noWrap/>
            <w:vAlign w:val="center"/>
            <w:hideMark/>
          </w:tcPr>
          <w:p w14:paraId="1B60BBA2"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-3 828,69</w:t>
            </w:r>
          </w:p>
        </w:tc>
        <w:tc>
          <w:tcPr>
            <w:tcW w:w="1985" w:type="dxa"/>
            <w:tcBorders>
              <w:top w:val="nil"/>
              <w:left w:val="nil"/>
              <w:bottom w:val="single" w:sz="4" w:space="0" w:color="auto"/>
              <w:right w:val="single" w:sz="4" w:space="0" w:color="auto"/>
            </w:tcBorders>
            <w:shd w:val="clear" w:color="000000" w:fill="339966"/>
            <w:noWrap/>
            <w:vAlign w:val="center"/>
            <w:hideMark/>
          </w:tcPr>
          <w:p w14:paraId="690B074C"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-4,27%</w:t>
            </w:r>
          </w:p>
        </w:tc>
      </w:tr>
      <w:tr w:rsidR="007824CB" w:rsidRPr="007824CB" w14:paraId="44884F3B" w14:textId="77777777" w:rsidTr="007824CB">
        <w:trPr>
          <w:trHeight w:val="300"/>
        </w:trPr>
        <w:tc>
          <w:tcPr>
            <w:tcW w:w="1206" w:type="dxa"/>
            <w:tcBorders>
              <w:top w:val="nil"/>
              <w:left w:val="single" w:sz="4" w:space="0" w:color="auto"/>
              <w:bottom w:val="single" w:sz="4" w:space="0" w:color="auto"/>
              <w:right w:val="single" w:sz="4" w:space="0" w:color="auto"/>
            </w:tcBorders>
            <w:shd w:val="clear" w:color="000000" w:fill="C0C0C0"/>
            <w:noWrap/>
            <w:vAlign w:val="center"/>
            <w:hideMark/>
          </w:tcPr>
          <w:p w14:paraId="655A3817"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6</w:t>
            </w:r>
          </w:p>
        </w:tc>
        <w:tc>
          <w:tcPr>
            <w:tcW w:w="3686" w:type="dxa"/>
            <w:tcBorders>
              <w:top w:val="nil"/>
              <w:left w:val="nil"/>
              <w:bottom w:val="single" w:sz="4" w:space="0" w:color="auto"/>
              <w:right w:val="single" w:sz="4" w:space="0" w:color="auto"/>
            </w:tcBorders>
            <w:shd w:val="clear" w:color="000000" w:fill="C0C0C0"/>
            <w:vAlign w:val="center"/>
            <w:hideMark/>
          </w:tcPr>
          <w:p w14:paraId="5126BB59"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Wynik Scenariusza IV</w:t>
            </w:r>
          </w:p>
        </w:tc>
        <w:tc>
          <w:tcPr>
            <w:tcW w:w="1984" w:type="dxa"/>
            <w:tcBorders>
              <w:top w:val="nil"/>
              <w:left w:val="nil"/>
              <w:bottom w:val="single" w:sz="4" w:space="0" w:color="auto"/>
              <w:right w:val="single" w:sz="4" w:space="0" w:color="auto"/>
            </w:tcBorders>
            <w:shd w:val="clear" w:color="000000" w:fill="FFFF99"/>
            <w:noWrap/>
            <w:vAlign w:val="center"/>
            <w:hideMark/>
          </w:tcPr>
          <w:p w14:paraId="55EE1BE0"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1 833,32</w:t>
            </w:r>
          </w:p>
        </w:tc>
        <w:tc>
          <w:tcPr>
            <w:tcW w:w="1985" w:type="dxa"/>
            <w:tcBorders>
              <w:top w:val="nil"/>
              <w:left w:val="nil"/>
              <w:bottom w:val="single" w:sz="4" w:space="0" w:color="auto"/>
              <w:right w:val="single" w:sz="4" w:space="0" w:color="auto"/>
            </w:tcBorders>
            <w:shd w:val="clear" w:color="000000" w:fill="339966"/>
            <w:noWrap/>
            <w:vAlign w:val="center"/>
            <w:hideMark/>
          </w:tcPr>
          <w:p w14:paraId="2AB03259"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2,04%</w:t>
            </w:r>
          </w:p>
        </w:tc>
      </w:tr>
      <w:tr w:rsidR="007824CB" w:rsidRPr="007824CB" w14:paraId="1D659767" w14:textId="77777777" w:rsidTr="007824CB">
        <w:trPr>
          <w:trHeight w:val="300"/>
        </w:trPr>
        <w:tc>
          <w:tcPr>
            <w:tcW w:w="1206" w:type="dxa"/>
            <w:tcBorders>
              <w:top w:val="nil"/>
              <w:left w:val="single" w:sz="4" w:space="0" w:color="auto"/>
              <w:bottom w:val="single" w:sz="4" w:space="0" w:color="auto"/>
              <w:right w:val="single" w:sz="4" w:space="0" w:color="auto"/>
            </w:tcBorders>
            <w:shd w:val="clear" w:color="000000" w:fill="C0C0C0"/>
            <w:noWrap/>
            <w:vAlign w:val="center"/>
            <w:hideMark/>
          </w:tcPr>
          <w:p w14:paraId="3C546E8A"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7</w:t>
            </w:r>
          </w:p>
        </w:tc>
        <w:tc>
          <w:tcPr>
            <w:tcW w:w="3686" w:type="dxa"/>
            <w:tcBorders>
              <w:top w:val="nil"/>
              <w:left w:val="nil"/>
              <w:bottom w:val="single" w:sz="4" w:space="0" w:color="auto"/>
              <w:right w:val="single" w:sz="4" w:space="0" w:color="auto"/>
            </w:tcBorders>
            <w:shd w:val="clear" w:color="000000" w:fill="C0C0C0"/>
            <w:vAlign w:val="center"/>
            <w:hideMark/>
          </w:tcPr>
          <w:p w14:paraId="0E217163"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Wynik Scenariusza V</w:t>
            </w:r>
          </w:p>
        </w:tc>
        <w:tc>
          <w:tcPr>
            <w:tcW w:w="1984" w:type="dxa"/>
            <w:tcBorders>
              <w:top w:val="nil"/>
              <w:left w:val="nil"/>
              <w:bottom w:val="single" w:sz="4" w:space="0" w:color="auto"/>
              <w:right w:val="single" w:sz="4" w:space="0" w:color="auto"/>
            </w:tcBorders>
            <w:shd w:val="clear" w:color="000000" w:fill="FFFF99"/>
            <w:noWrap/>
            <w:vAlign w:val="center"/>
            <w:hideMark/>
          </w:tcPr>
          <w:p w14:paraId="3407A0DB"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523,62</w:t>
            </w:r>
          </w:p>
        </w:tc>
        <w:tc>
          <w:tcPr>
            <w:tcW w:w="1985" w:type="dxa"/>
            <w:tcBorders>
              <w:top w:val="nil"/>
              <w:left w:val="nil"/>
              <w:bottom w:val="single" w:sz="4" w:space="0" w:color="auto"/>
              <w:right w:val="single" w:sz="4" w:space="0" w:color="auto"/>
            </w:tcBorders>
            <w:shd w:val="clear" w:color="000000" w:fill="339966"/>
            <w:noWrap/>
            <w:vAlign w:val="center"/>
            <w:hideMark/>
          </w:tcPr>
          <w:p w14:paraId="23B2CCC0"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0,58%</w:t>
            </w:r>
          </w:p>
        </w:tc>
      </w:tr>
      <w:tr w:rsidR="007824CB" w:rsidRPr="007824CB" w14:paraId="08FF47FE" w14:textId="77777777" w:rsidTr="007824CB">
        <w:trPr>
          <w:trHeight w:val="300"/>
        </w:trPr>
        <w:tc>
          <w:tcPr>
            <w:tcW w:w="1206" w:type="dxa"/>
            <w:tcBorders>
              <w:top w:val="nil"/>
              <w:left w:val="single" w:sz="4" w:space="0" w:color="auto"/>
              <w:bottom w:val="single" w:sz="4" w:space="0" w:color="auto"/>
              <w:right w:val="single" w:sz="4" w:space="0" w:color="auto"/>
            </w:tcBorders>
            <w:shd w:val="clear" w:color="000000" w:fill="C0C0C0"/>
            <w:noWrap/>
            <w:vAlign w:val="center"/>
            <w:hideMark/>
          </w:tcPr>
          <w:p w14:paraId="5D6DFFFD"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8</w:t>
            </w:r>
          </w:p>
        </w:tc>
        <w:tc>
          <w:tcPr>
            <w:tcW w:w="3686" w:type="dxa"/>
            <w:tcBorders>
              <w:top w:val="nil"/>
              <w:left w:val="nil"/>
              <w:bottom w:val="single" w:sz="4" w:space="0" w:color="auto"/>
              <w:right w:val="single" w:sz="4" w:space="0" w:color="auto"/>
            </w:tcBorders>
            <w:shd w:val="clear" w:color="000000" w:fill="C0C0C0"/>
            <w:vAlign w:val="center"/>
            <w:hideMark/>
          </w:tcPr>
          <w:p w14:paraId="6002883E" w14:textId="77777777" w:rsidR="007824CB" w:rsidRPr="007824CB" w:rsidRDefault="007824CB" w:rsidP="007824CB">
            <w:pPr>
              <w:spacing w:after="0" w:line="240" w:lineRule="auto"/>
              <w:ind w:left="0" w:right="0" w:firstLine="0"/>
              <w:jc w:val="center"/>
              <w:rPr>
                <w:rFonts w:eastAsia="Times New Roman" w:cs="Times New Roman"/>
                <w:sz w:val="20"/>
                <w:szCs w:val="20"/>
              </w:rPr>
            </w:pPr>
            <w:r w:rsidRPr="007824CB">
              <w:rPr>
                <w:rFonts w:eastAsia="Times New Roman" w:cs="Times New Roman"/>
                <w:sz w:val="20"/>
                <w:szCs w:val="20"/>
              </w:rPr>
              <w:t>Wynik Scenariusza VI</w:t>
            </w:r>
          </w:p>
        </w:tc>
        <w:tc>
          <w:tcPr>
            <w:tcW w:w="1984" w:type="dxa"/>
            <w:tcBorders>
              <w:top w:val="nil"/>
              <w:left w:val="nil"/>
              <w:bottom w:val="single" w:sz="4" w:space="0" w:color="auto"/>
              <w:right w:val="single" w:sz="4" w:space="0" w:color="auto"/>
            </w:tcBorders>
            <w:shd w:val="clear" w:color="000000" w:fill="FFFF99"/>
            <w:noWrap/>
            <w:vAlign w:val="center"/>
            <w:hideMark/>
          </w:tcPr>
          <w:p w14:paraId="5C318B9D"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593,99</w:t>
            </w:r>
          </w:p>
        </w:tc>
        <w:tc>
          <w:tcPr>
            <w:tcW w:w="1985" w:type="dxa"/>
            <w:tcBorders>
              <w:top w:val="nil"/>
              <w:left w:val="nil"/>
              <w:bottom w:val="single" w:sz="4" w:space="0" w:color="auto"/>
              <w:right w:val="single" w:sz="4" w:space="0" w:color="auto"/>
            </w:tcBorders>
            <w:shd w:val="clear" w:color="000000" w:fill="339966"/>
            <w:noWrap/>
            <w:vAlign w:val="center"/>
            <w:hideMark/>
          </w:tcPr>
          <w:p w14:paraId="73C5DEBF" w14:textId="77777777" w:rsidR="007824CB" w:rsidRPr="007824CB" w:rsidRDefault="007824CB" w:rsidP="007824CB">
            <w:pPr>
              <w:spacing w:after="0" w:line="240" w:lineRule="auto"/>
              <w:ind w:left="0" w:right="0" w:firstLine="0"/>
              <w:jc w:val="center"/>
              <w:rPr>
                <w:rFonts w:eastAsia="Times New Roman" w:cs="Times New Roman"/>
                <w:b/>
                <w:bCs/>
                <w:sz w:val="20"/>
                <w:szCs w:val="20"/>
              </w:rPr>
            </w:pPr>
            <w:r w:rsidRPr="007824CB">
              <w:rPr>
                <w:rFonts w:eastAsia="Times New Roman" w:cs="Times New Roman"/>
                <w:b/>
                <w:bCs/>
                <w:sz w:val="20"/>
                <w:szCs w:val="20"/>
              </w:rPr>
              <w:t>0,66%</w:t>
            </w:r>
          </w:p>
        </w:tc>
      </w:tr>
    </w:tbl>
    <w:p w14:paraId="5937CC3C" w14:textId="77777777" w:rsidR="00720A0C" w:rsidRDefault="00720A0C" w:rsidP="007824CB">
      <w:pPr>
        <w:pStyle w:val="Default"/>
        <w:spacing w:line="276" w:lineRule="auto"/>
        <w:ind w:right="8" w:firstLine="708"/>
        <w:jc w:val="both"/>
        <w:rPr>
          <w:rFonts w:eastAsia="Calibri"/>
          <w:color w:val="000000" w:themeColor="text1"/>
        </w:rPr>
      </w:pPr>
    </w:p>
    <w:p w14:paraId="1364C4DB" w14:textId="17990592" w:rsidR="007824CB" w:rsidRPr="007824CB" w:rsidRDefault="007824CB" w:rsidP="007824CB">
      <w:pPr>
        <w:pStyle w:val="Default"/>
        <w:spacing w:line="276" w:lineRule="auto"/>
        <w:ind w:right="8" w:firstLine="708"/>
        <w:jc w:val="both"/>
        <w:rPr>
          <w:rFonts w:eastAsia="Calibri"/>
          <w:color w:val="000000" w:themeColor="text1"/>
        </w:rPr>
      </w:pPr>
      <w:r w:rsidRPr="007824CB">
        <w:rPr>
          <w:rFonts w:eastAsia="Calibri"/>
          <w:color w:val="000000" w:themeColor="text1"/>
        </w:rPr>
        <w:t xml:space="preserve">Wyniki nadzorczych testów warunków skrajnych wg stanu na 31.12.2020 r., pokazują, że nawet w najdotkliwszym scenariuszu testu wartości odstających spadek wartości ekonomicznej kapitału nie przekroczył wyznaczonego limitu 15% kapitału podstawowego </w:t>
      </w:r>
      <w:proofErr w:type="spellStart"/>
      <w:r w:rsidRPr="007824CB">
        <w:rPr>
          <w:rFonts w:eastAsia="Calibri"/>
          <w:color w:val="000000" w:themeColor="text1"/>
        </w:rPr>
        <w:t>Tier</w:t>
      </w:r>
      <w:proofErr w:type="spellEnd"/>
      <w:r w:rsidRPr="007824CB">
        <w:rPr>
          <w:rFonts w:eastAsia="Calibri"/>
          <w:color w:val="000000" w:themeColor="text1"/>
        </w:rPr>
        <w:t xml:space="preserve"> 1 Banku. Podobnie spadek wartości ekonomicznej kapitału w standardowym scenariuszu nagłego wpływu równoległego przesunięcia krzywej dochodowości o +/-200 punktów bazowych z nie przekroczył również wyznaczonego limitu 20% funduszy własnych.</w:t>
      </w:r>
    </w:p>
    <w:p w14:paraId="53FFA4CE" w14:textId="77777777" w:rsidR="007824CB" w:rsidRPr="007824CB" w:rsidRDefault="007824CB" w:rsidP="007824CB">
      <w:pPr>
        <w:pStyle w:val="Default"/>
        <w:spacing w:line="276" w:lineRule="auto"/>
        <w:ind w:right="8" w:firstLine="708"/>
        <w:jc w:val="both"/>
        <w:rPr>
          <w:rFonts w:eastAsia="Calibri"/>
          <w:color w:val="000000" w:themeColor="text1"/>
        </w:rPr>
      </w:pPr>
      <w:r w:rsidRPr="007824CB">
        <w:rPr>
          <w:rFonts w:eastAsia="Calibri"/>
          <w:color w:val="000000" w:themeColor="text1"/>
        </w:rPr>
        <w:t>Limity określone w wytycznych EBA/GL/2018/02 z dnia 19.07.2018 r. w sprawie zarządzania ryzykiem stopy procentowej z tytułu działalności zaliczonej do portfela bankowego zostały zachowane, w związku z czym nie było potrzeby informowania KNF.</w:t>
      </w:r>
    </w:p>
    <w:p w14:paraId="539A6FAC" w14:textId="47FE5A38" w:rsidR="00D46C09" w:rsidRPr="007824CB" w:rsidRDefault="0026498E" w:rsidP="007824CB">
      <w:pPr>
        <w:pStyle w:val="Default"/>
        <w:spacing w:line="276" w:lineRule="auto"/>
        <w:ind w:right="8" w:firstLine="708"/>
        <w:jc w:val="both"/>
        <w:rPr>
          <w:color w:val="000000" w:themeColor="text1"/>
        </w:rPr>
      </w:pPr>
      <w:r w:rsidRPr="007824CB">
        <w:rPr>
          <w:color w:val="000000" w:themeColor="text1"/>
        </w:rPr>
        <w:t>Na dzień 31.12.20</w:t>
      </w:r>
      <w:r w:rsidR="007824CB" w:rsidRPr="007824CB">
        <w:rPr>
          <w:color w:val="000000" w:themeColor="text1"/>
        </w:rPr>
        <w:t>20</w:t>
      </w:r>
      <w:r w:rsidR="00F60B57" w:rsidRPr="007824CB">
        <w:rPr>
          <w:color w:val="000000" w:themeColor="text1"/>
        </w:rPr>
        <w:t xml:space="preserve"> r. wyznaczono dodatkowy wymóg k</w:t>
      </w:r>
      <w:r w:rsidR="00D77833" w:rsidRPr="007824CB">
        <w:rPr>
          <w:color w:val="000000" w:themeColor="text1"/>
        </w:rPr>
        <w:t>apitałowy z tytułu ryzyka stopy procentowej (</w:t>
      </w:r>
      <w:r w:rsidR="00F60B57" w:rsidRPr="007824CB">
        <w:rPr>
          <w:color w:val="000000" w:themeColor="text1"/>
        </w:rPr>
        <w:t xml:space="preserve">w ramach ryzyka bazowego) w wysokości </w:t>
      </w:r>
      <w:r w:rsidR="00D64B6F">
        <w:rPr>
          <w:color w:val="000000" w:themeColor="text1"/>
        </w:rPr>
        <w:t>843</w:t>
      </w:r>
      <w:r w:rsidR="000E696A" w:rsidRPr="007824CB">
        <w:rPr>
          <w:color w:val="000000" w:themeColor="text1"/>
        </w:rPr>
        <w:t xml:space="preserve"> </w:t>
      </w:r>
      <w:r w:rsidR="00F60B57" w:rsidRPr="007824CB">
        <w:rPr>
          <w:color w:val="000000" w:themeColor="text1"/>
        </w:rPr>
        <w:t>tys. zł. Wyznaczony dodatkowy wymóg kapi</w:t>
      </w:r>
      <w:r w:rsidR="00D77833" w:rsidRPr="007824CB">
        <w:rPr>
          <w:color w:val="000000" w:themeColor="text1"/>
        </w:rPr>
        <w:t>tałowy z tytułu ryzyka bazowego</w:t>
      </w:r>
      <w:r w:rsidR="00F60B57" w:rsidRPr="007824CB">
        <w:rPr>
          <w:color w:val="000000" w:themeColor="text1"/>
        </w:rPr>
        <w:t xml:space="preserve"> stanowił nadwyżkę wyliczonych skutków zmian wartości ekonomicznej kapitałów powyżej </w:t>
      </w:r>
      <w:r w:rsidR="00D707EC" w:rsidRPr="007824CB">
        <w:rPr>
          <w:color w:val="000000" w:themeColor="text1"/>
        </w:rPr>
        <w:t>1</w:t>
      </w:r>
      <w:r w:rsidR="00F60B57" w:rsidRPr="007824CB">
        <w:rPr>
          <w:color w:val="000000" w:themeColor="text1"/>
        </w:rPr>
        <w:t>% funduszy własnych Banku</w:t>
      </w:r>
      <w:r w:rsidR="00A67BCC" w:rsidRPr="007824CB">
        <w:rPr>
          <w:color w:val="000000" w:themeColor="text1"/>
        </w:rPr>
        <w:t>.</w:t>
      </w:r>
    </w:p>
    <w:p w14:paraId="66BAEE73" w14:textId="77777777" w:rsidR="003F4FD0" w:rsidRPr="00065790" w:rsidRDefault="003F4FD0" w:rsidP="003F4FD0">
      <w:pPr>
        <w:pStyle w:val="Default"/>
        <w:spacing w:before="120" w:line="276" w:lineRule="auto"/>
        <w:ind w:right="8"/>
        <w:rPr>
          <w:color w:val="FF0000"/>
        </w:rPr>
      </w:pPr>
    </w:p>
    <w:p w14:paraId="2C5AB13B" w14:textId="77777777" w:rsidR="002C50F6" w:rsidRPr="001013A1" w:rsidRDefault="00E81BF6">
      <w:pPr>
        <w:pStyle w:val="Nagwek1"/>
        <w:ind w:left="-5" w:right="7"/>
        <w:rPr>
          <w:rFonts w:ascii="Times New Roman" w:hAnsi="Times New Roman" w:cs="Times New Roman"/>
          <w:color w:val="000000" w:themeColor="text1"/>
        </w:rPr>
      </w:pPr>
      <w:bookmarkStart w:id="62" w:name="_Toc75336290"/>
      <w:r w:rsidRPr="001013A1">
        <w:rPr>
          <w:rFonts w:ascii="Times New Roman" w:hAnsi="Times New Roman" w:cs="Times New Roman"/>
          <w:color w:val="000000" w:themeColor="text1"/>
        </w:rPr>
        <w:t>16. Ekspozycja na pozycje sekurytyzacyjne – art. 449 Rozporządzenia CRR</w:t>
      </w:r>
      <w:bookmarkEnd w:id="62"/>
    </w:p>
    <w:p w14:paraId="2E4DFD26" w14:textId="77777777" w:rsidR="002C50F6" w:rsidRPr="001013A1" w:rsidRDefault="00E81BF6" w:rsidP="003F4FD0">
      <w:pPr>
        <w:spacing w:after="0" w:line="276" w:lineRule="auto"/>
        <w:ind w:left="-6" w:right="6" w:hanging="11"/>
        <w:rPr>
          <w:rFonts w:ascii="Times New Roman" w:hAnsi="Times New Roman" w:cs="Times New Roman"/>
          <w:color w:val="000000" w:themeColor="text1"/>
        </w:rPr>
      </w:pPr>
      <w:r w:rsidRPr="001013A1">
        <w:rPr>
          <w:rFonts w:ascii="Times New Roman" w:hAnsi="Times New Roman" w:cs="Times New Roman"/>
          <w:color w:val="000000" w:themeColor="text1"/>
        </w:rPr>
        <w:t xml:space="preserve">Nie dotyczy. </w:t>
      </w:r>
    </w:p>
    <w:p w14:paraId="00F5770C" w14:textId="77777777" w:rsidR="002C50F6" w:rsidRPr="001013A1" w:rsidRDefault="00E81BF6" w:rsidP="003F4FD0">
      <w:pPr>
        <w:spacing w:after="0" w:line="276" w:lineRule="auto"/>
        <w:ind w:left="-6" w:right="6" w:hanging="11"/>
        <w:rPr>
          <w:rFonts w:ascii="Times New Roman" w:hAnsi="Times New Roman" w:cs="Times New Roman"/>
          <w:color w:val="000000" w:themeColor="text1"/>
        </w:rPr>
      </w:pPr>
      <w:r w:rsidRPr="001013A1">
        <w:rPr>
          <w:rFonts w:ascii="Times New Roman" w:hAnsi="Times New Roman" w:cs="Times New Roman"/>
          <w:color w:val="000000" w:themeColor="text1"/>
        </w:rPr>
        <w:t>Bank nie prowadzi działalności sekurytyzacyjnej.</w:t>
      </w:r>
    </w:p>
    <w:p w14:paraId="63E4AB79" w14:textId="77777777" w:rsidR="003F4FD0" w:rsidRPr="00F03B83" w:rsidRDefault="003F4FD0" w:rsidP="003F4FD0">
      <w:pPr>
        <w:spacing w:after="0" w:line="276" w:lineRule="auto"/>
        <w:ind w:left="-6" w:right="6" w:hanging="11"/>
        <w:rPr>
          <w:rFonts w:ascii="Times New Roman" w:hAnsi="Times New Roman" w:cs="Times New Roman"/>
          <w:color w:val="auto"/>
        </w:rPr>
      </w:pPr>
    </w:p>
    <w:p w14:paraId="56932FED" w14:textId="77777777" w:rsidR="00FE5D46" w:rsidRPr="00F03B83" w:rsidRDefault="00E81BF6">
      <w:pPr>
        <w:pStyle w:val="Nagwek1"/>
        <w:spacing w:after="298"/>
        <w:ind w:left="-5" w:right="7"/>
        <w:rPr>
          <w:rFonts w:ascii="Times New Roman" w:hAnsi="Times New Roman" w:cs="Times New Roman"/>
          <w:color w:val="auto"/>
        </w:rPr>
      </w:pPr>
      <w:bookmarkStart w:id="63" w:name="_Toc75336291"/>
      <w:r w:rsidRPr="00F03B83">
        <w:rPr>
          <w:rFonts w:ascii="Times New Roman" w:hAnsi="Times New Roman" w:cs="Times New Roman"/>
          <w:color w:val="auto"/>
        </w:rPr>
        <w:lastRenderedPageBreak/>
        <w:t>17. Polityka w zakresie wynagrodzeń – art. 450 Rozporządzenia CRR</w:t>
      </w:r>
      <w:bookmarkEnd w:id="63"/>
      <w:r w:rsidRPr="00F03B83">
        <w:rPr>
          <w:rFonts w:ascii="Times New Roman" w:hAnsi="Times New Roman" w:cs="Times New Roman"/>
          <w:color w:val="auto"/>
        </w:rPr>
        <w:t xml:space="preserve"> </w:t>
      </w:r>
    </w:p>
    <w:p w14:paraId="658916BC" w14:textId="53707569" w:rsidR="003A635E" w:rsidRDefault="00F03B83" w:rsidP="00F03B83">
      <w:pPr>
        <w:spacing w:after="0" w:line="276" w:lineRule="auto"/>
        <w:ind w:left="11" w:right="6" w:hanging="11"/>
        <w:rPr>
          <w:rFonts w:ascii="Times New Roman" w:hAnsi="Times New Roman" w:cs="Times New Roman"/>
          <w:color w:val="auto"/>
        </w:rPr>
      </w:pPr>
      <w:r w:rsidRPr="00F03B83">
        <w:rPr>
          <w:rFonts w:ascii="Times New Roman" w:hAnsi="Times New Roman" w:cs="Times New Roman"/>
          <w:color w:val="auto"/>
        </w:rPr>
        <w:t>W Banku wdrożono pisemne procedury w zakresie wynagrodzeń zgodnie z Rozporządzeniem  Ministra Rozwoju i Finansów z dnia 6 marca 2017 r. w sprawie systemu zarządzania ryzykiem i systemu kontroli wewnętrznej, polityki wynagrodzeń oraz szczegółowego sposobu szacowania kapitału wewnętrznego w bankach. Ponadto Bank przyjmując Politykę wynagrodzeń kierował się wytycznymi zawartymi w Rozporządzeniu CRR oraz Rozporządzeniu delegowanym Komisji nr 604/2014. Polityka wynagrodzeń przygotowywana jest przez Zarząd Banku i zatwierdzana przez Radę Nadzorczą Banku. Na dzień 1 stycznia 2020 roku obowiązywała Polityka wynagrodzeń wprowadzona Uchwałą Zarządu nr 6/18/2019 z dnia 22.10.2019 r., zatwierdzona Uchwałą Rady Nadzorczej nr 6/5/2019 z dnia 23.10.2019 r. W trakcie 2020 roku dokonano j</w:t>
      </w:r>
      <w:r w:rsidR="006F0D80">
        <w:rPr>
          <w:rFonts w:ascii="Times New Roman" w:hAnsi="Times New Roman" w:cs="Times New Roman"/>
          <w:color w:val="auto"/>
        </w:rPr>
        <w:t>ednokrotnie jej aktualizacji- w</w:t>
      </w:r>
      <w:r w:rsidRPr="00F03B83">
        <w:rPr>
          <w:rFonts w:ascii="Times New Roman" w:hAnsi="Times New Roman" w:cs="Times New Roman"/>
          <w:color w:val="auto"/>
        </w:rPr>
        <w:t xml:space="preserve"> październiku 2020 roku Uchwałą Zarządu nr 2/20/2020 z dnia 13.10.2020 r., Rady Nadzorczej nr 2/4/2020 z dnia 20.10.2020 r.</w:t>
      </w:r>
    </w:p>
    <w:p w14:paraId="1534018E" w14:textId="77777777" w:rsidR="00977E61" w:rsidRPr="00F03B83" w:rsidRDefault="00977E61" w:rsidP="00F03B83">
      <w:pPr>
        <w:spacing w:after="0" w:line="276" w:lineRule="auto"/>
        <w:ind w:left="11" w:right="6" w:hanging="11"/>
        <w:rPr>
          <w:color w:val="auto"/>
        </w:rPr>
      </w:pPr>
    </w:p>
    <w:p w14:paraId="573A0ACE" w14:textId="77777777" w:rsidR="003A635E" w:rsidRPr="00F03B83" w:rsidRDefault="003A635E" w:rsidP="003A635E">
      <w:pPr>
        <w:pStyle w:val="Nagwek2"/>
        <w:rPr>
          <w:rFonts w:ascii="Times New Roman" w:hAnsi="Times New Roman" w:cs="Times New Roman"/>
          <w:color w:val="auto"/>
        </w:rPr>
      </w:pPr>
      <w:bookmarkStart w:id="64" w:name="_Toc75336292"/>
      <w:r w:rsidRPr="00F03B83">
        <w:rPr>
          <w:rFonts w:ascii="Times New Roman" w:hAnsi="Times New Roman" w:cs="Times New Roman"/>
          <w:color w:val="auto"/>
        </w:rPr>
        <w:t>17.1. Informacje dotyczące procesu decyzyjnego stosowanego przy ustalaniu polityki w zakresie wynagrodzeń, a także liczby posiedzeń organizowanych w danym roku obrachunkowym przez organ zarządzający, pełniący nadzór nad wynagrodzeniami, w tym – w stosownych przypadkach – informacje na temat składu i zakresu zadań komisji ds. wynagrodzeń, konsultanta zewnętrznego, z którego usług skorzystano przy ustalaniu polityki w zakresie wynagrodzeń oraz roli odpowiednich zainteresowanych stron</w:t>
      </w:r>
      <w:bookmarkEnd w:id="64"/>
    </w:p>
    <w:p w14:paraId="68BD6743" w14:textId="77777777" w:rsidR="003A635E" w:rsidRPr="00065790" w:rsidRDefault="003A635E" w:rsidP="003A635E">
      <w:pPr>
        <w:spacing w:after="0" w:line="276" w:lineRule="auto"/>
        <w:ind w:left="-6" w:right="6" w:hanging="11"/>
        <w:rPr>
          <w:rFonts w:ascii="Times New Roman" w:hAnsi="Times New Roman" w:cs="Times New Roman"/>
          <w:color w:val="FF0000"/>
        </w:rPr>
      </w:pPr>
    </w:p>
    <w:p w14:paraId="224320DC" w14:textId="77777777" w:rsidR="00F03B83" w:rsidRPr="00E52C55" w:rsidRDefault="00F03B83" w:rsidP="00F03B83">
      <w:pPr>
        <w:spacing w:after="0" w:line="276" w:lineRule="auto"/>
        <w:ind w:left="-6" w:right="6" w:hanging="11"/>
        <w:rPr>
          <w:rFonts w:ascii="Times New Roman" w:hAnsi="Times New Roman" w:cs="Times New Roman"/>
          <w:color w:val="auto"/>
        </w:rPr>
      </w:pPr>
      <w:r w:rsidRPr="00E52C55">
        <w:rPr>
          <w:rFonts w:ascii="Times New Roman" w:hAnsi="Times New Roman" w:cs="Times New Roman"/>
          <w:color w:val="auto"/>
        </w:rPr>
        <w:t xml:space="preserve">W roku 2020 Rada Nadzorcza w zakresie nadzoru nad wynagrodzeniami odbyła 4 posiedzenia. Jedno z posiedzeń dotyczyło przeglądu i oceny </w:t>
      </w:r>
      <w:r w:rsidRPr="00E52C55">
        <w:rPr>
          <w:rFonts w:ascii="Times New Roman" w:hAnsi="Times New Roman" w:cs="Times New Roman"/>
          <w:i/>
          <w:iCs/>
          <w:color w:val="auto"/>
        </w:rPr>
        <w:t>Polityki wynagrodzeń</w:t>
      </w:r>
      <w:r w:rsidRPr="00E52C55">
        <w:rPr>
          <w:rFonts w:ascii="Times New Roman" w:hAnsi="Times New Roman" w:cs="Times New Roman"/>
          <w:color w:val="auto"/>
        </w:rPr>
        <w:t>. Efektem przeglądu była jej aktualizacja uwzględniająca zmiany, które zostały przyjęte:</w:t>
      </w:r>
    </w:p>
    <w:p w14:paraId="04506BB2" w14:textId="77777777" w:rsidR="00F03B83" w:rsidRPr="00E52C55" w:rsidRDefault="00F03B83" w:rsidP="00F03B83">
      <w:pPr>
        <w:pStyle w:val="Akapitzlist"/>
        <w:numPr>
          <w:ilvl w:val="0"/>
          <w:numId w:val="90"/>
        </w:numPr>
        <w:spacing w:line="276" w:lineRule="auto"/>
        <w:ind w:right="6"/>
        <w:jc w:val="both"/>
        <w:rPr>
          <w:sz w:val="24"/>
          <w:szCs w:val="24"/>
        </w:rPr>
      </w:pPr>
      <w:r w:rsidRPr="00E52C55">
        <w:rPr>
          <w:sz w:val="24"/>
          <w:szCs w:val="24"/>
        </w:rPr>
        <w:t xml:space="preserve">Uchwałą Zarządu nr 2/20/2020 z dnia 13.10.2020 r. i zatwierdzone Uchwałą Rady Nadzorczej nr 2/4/2020 z dnia 20.10.2020 r. Wprowadzona </w:t>
      </w:r>
      <w:r w:rsidRPr="00E52C55">
        <w:rPr>
          <w:i/>
          <w:iCs/>
          <w:sz w:val="24"/>
          <w:szCs w:val="24"/>
        </w:rPr>
        <w:t>Polityka wynagrodzeń</w:t>
      </w:r>
      <w:r w:rsidRPr="00E52C55">
        <w:rPr>
          <w:sz w:val="24"/>
          <w:szCs w:val="24"/>
        </w:rPr>
        <w:t xml:space="preserve"> uwzględniała zmianę:</w:t>
      </w:r>
    </w:p>
    <w:p w14:paraId="1C4041FD" w14:textId="77777777" w:rsidR="00F03B83" w:rsidRPr="00E52C55" w:rsidRDefault="00F03B83" w:rsidP="00F03B83">
      <w:pPr>
        <w:pStyle w:val="Akapitzlist"/>
        <w:spacing w:line="276" w:lineRule="auto"/>
        <w:ind w:left="703" w:right="6"/>
        <w:jc w:val="both"/>
        <w:rPr>
          <w:sz w:val="24"/>
          <w:szCs w:val="24"/>
        </w:rPr>
      </w:pPr>
      <w:r w:rsidRPr="00E52C55">
        <w:rPr>
          <w:sz w:val="24"/>
          <w:szCs w:val="24"/>
        </w:rPr>
        <w:t xml:space="preserve">- </w:t>
      </w:r>
      <w:r w:rsidRPr="00E52C55">
        <w:rPr>
          <w:i/>
          <w:iCs/>
          <w:sz w:val="24"/>
          <w:szCs w:val="24"/>
        </w:rPr>
        <w:t xml:space="preserve">Listy pracowników, których działalność zawodowa ma istotny wpływ na profil ryzyka w Banku </w:t>
      </w:r>
      <w:r w:rsidRPr="00E52C55">
        <w:rPr>
          <w:sz w:val="24"/>
          <w:szCs w:val="24"/>
        </w:rPr>
        <w:t>w związku nową organizacja komórek Centrali Banku ustaloną w Regulaminie organizacyjnym wprowadzonym w październiku 2020 r.,</w:t>
      </w:r>
    </w:p>
    <w:p w14:paraId="683054D5" w14:textId="77777777" w:rsidR="00F03B83" w:rsidRPr="00E52C55" w:rsidRDefault="00F03B83" w:rsidP="00F03B83">
      <w:pPr>
        <w:pStyle w:val="Akapitzlist"/>
        <w:spacing w:line="276" w:lineRule="auto"/>
        <w:ind w:left="703" w:right="6"/>
        <w:jc w:val="both"/>
        <w:rPr>
          <w:sz w:val="24"/>
          <w:szCs w:val="24"/>
        </w:rPr>
      </w:pPr>
      <w:r w:rsidRPr="00E52C55">
        <w:rPr>
          <w:sz w:val="24"/>
          <w:szCs w:val="24"/>
        </w:rPr>
        <w:t xml:space="preserve">- zasad wyłaniania pracowników, których działalność zawodowa ma istotny wpływ na profil </w:t>
      </w:r>
      <w:proofErr w:type="spellStart"/>
      <w:r w:rsidRPr="00E52C55">
        <w:rPr>
          <w:sz w:val="24"/>
          <w:szCs w:val="24"/>
        </w:rPr>
        <w:t>ryzka</w:t>
      </w:r>
      <w:proofErr w:type="spellEnd"/>
      <w:r w:rsidRPr="00E52C55">
        <w:rPr>
          <w:sz w:val="24"/>
          <w:szCs w:val="24"/>
        </w:rPr>
        <w:t xml:space="preserve"> w Banku.</w:t>
      </w:r>
    </w:p>
    <w:p w14:paraId="4CC27F02" w14:textId="77777777" w:rsidR="00F03B83" w:rsidRPr="00946EC8" w:rsidRDefault="00F03B83" w:rsidP="00F03B83">
      <w:pPr>
        <w:spacing w:after="0" w:line="276" w:lineRule="auto"/>
        <w:ind w:right="6"/>
        <w:rPr>
          <w:rFonts w:ascii="Times New Roman" w:hAnsi="Times New Roman" w:cs="Times New Roman"/>
          <w:color w:val="auto"/>
          <w:szCs w:val="24"/>
        </w:rPr>
      </w:pPr>
      <w:r w:rsidRPr="00946EC8">
        <w:rPr>
          <w:rFonts w:ascii="Times New Roman" w:hAnsi="Times New Roman" w:cs="Times New Roman"/>
          <w:color w:val="auto"/>
          <w:szCs w:val="24"/>
        </w:rPr>
        <w:t>Posiedzenie Rady Nadzorczej z dnia 12 marca 2020 roku w zakresie wynagrodzeń dotyczyło oceny efektów pracy, w tym realizacji celów przez poszczególnych Członków Zarządu oraz wyznaczenia celów do realizacji na rok 2020. Rada Nadzorcza oceniła wyniki finansowe Banku jako całości za okres 3 lat oraz wykonanie celów finansowych i niefinansowych za rok 2019 dla wszystkich Członków Zarządu. Rada Nadzorcza pozytywnie oceniła efekty pracy poszczególnych Członków Zarządu oraz wyznaczyła cele do realizacji na rok 2020, podejmując w tej sprawie odpowiednie Uchwały.</w:t>
      </w:r>
    </w:p>
    <w:p w14:paraId="00DAC7C8" w14:textId="2E8D590C" w:rsidR="00F03B83" w:rsidRPr="00946EC8" w:rsidRDefault="00F03B83" w:rsidP="00F03B83">
      <w:pPr>
        <w:spacing w:after="0" w:line="276" w:lineRule="auto"/>
        <w:ind w:right="6"/>
        <w:rPr>
          <w:rFonts w:ascii="Times New Roman" w:hAnsi="Times New Roman" w:cs="Times New Roman"/>
          <w:color w:val="auto"/>
          <w:szCs w:val="24"/>
        </w:rPr>
      </w:pPr>
      <w:r w:rsidRPr="00946EC8">
        <w:rPr>
          <w:rFonts w:ascii="Times New Roman" w:hAnsi="Times New Roman" w:cs="Times New Roman"/>
          <w:color w:val="auto"/>
          <w:szCs w:val="24"/>
        </w:rPr>
        <w:lastRenderedPageBreak/>
        <w:t>Posiedzenie Rady Nadzorczej z dnia 04 czerwca 2020 roku w zakresie wynagrodzeń dotyczyło oceny efektów pracy, w tym realizacji celów i oraz premii za rok 2019 oraz opiniowania i monitorowania składników wynagrodzeń dla pracowników mających wpływ na profil ryzyka ocenianych przez Członków Zarządu. Rada Nadzorcza określiła swoje stanowisko w niniejszej sprawie, pozytywnie oceniając zmienne składniki wynagrodzeń (premię) pracowników mających istotny wpływ na profil ryzyka Banku.</w:t>
      </w:r>
    </w:p>
    <w:p w14:paraId="7905226F" w14:textId="5026E0D8" w:rsidR="00F03B83" w:rsidRPr="00946EC8" w:rsidRDefault="00F03B83" w:rsidP="00F03B83">
      <w:pPr>
        <w:spacing w:after="0" w:line="276" w:lineRule="auto"/>
        <w:ind w:right="6"/>
        <w:rPr>
          <w:rFonts w:ascii="Times New Roman" w:hAnsi="Times New Roman" w:cs="Times New Roman"/>
          <w:color w:val="auto"/>
          <w:szCs w:val="24"/>
        </w:rPr>
      </w:pPr>
      <w:r w:rsidRPr="00065790">
        <w:rPr>
          <w:rFonts w:ascii="Times New Roman" w:hAnsi="Times New Roman" w:cs="Times New Roman"/>
          <w:color w:val="FF0000"/>
          <w:szCs w:val="24"/>
        </w:rPr>
        <w:t xml:space="preserve"> </w:t>
      </w:r>
      <w:r w:rsidRPr="00946EC8">
        <w:rPr>
          <w:rFonts w:ascii="Times New Roman" w:hAnsi="Times New Roman" w:cs="Times New Roman"/>
          <w:color w:val="auto"/>
          <w:szCs w:val="24"/>
        </w:rPr>
        <w:t xml:space="preserve">Posiedzenie Rady Nadzorczej z dnia 29 lipca 2020 roku w zakresie wynagrodzeń dotyczyło podjęcia uchwał w sprawie ustalenia premii za rok 2019 dla Członków Zarządu. Rada Nadzorcza kierując się dobrą sytuacją </w:t>
      </w:r>
      <w:r w:rsidR="00977E61">
        <w:rPr>
          <w:rFonts w:ascii="Times New Roman" w:hAnsi="Times New Roman" w:cs="Times New Roman"/>
          <w:color w:val="auto"/>
          <w:szCs w:val="24"/>
        </w:rPr>
        <w:t>ekonomiczno-finansową, pozytywną</w:t>
      </w:r>
      <w:r w:rsidRPr="00946EC8">
        <w:rPr>
          <w:rFonts w:ascii="Times New Roman" w:hAnsi="Times New Roman" w:cs="Times New Roman"/>
          <w:color w:val="auto"/>
          <w:szCs w:val="24"/>
        </w:rPr>
        <w:t xml:space="preserve"> oceną efektów pracy, w tym realizacją celów oraz przedłożoną informacją o braku przesłanek ograniczających wysokość lub wykluczających przyznanie i wypłatę wynagrodzenia zmiennego, podjęła decyzję o wysokości i wypłacie zmiennych składników wynagrodzeń (premii) za oceniany rok.</w:t>
      </w:r>
    </w:p>
    <w:p w14:paraId="550701D8" w14:textId="77777777" w:rsidR="00F03B83" w:rsidRPr="00065790" w:rsidRDefault="00F03B83" w:rsidP="00F03B83">
      <w:pPr>
        <w:spacing w:after="0" w:line="276" w:lineRule="auto"/>
        <w:ind w:right="6"/>
        <w:rPr>
          <w:rFonts w:ascii="Times New Roman" w:hAnsi="Times New Roman" w:cs="Times New Roman"/>
          <w:color w:val="FF0000"/>
          <w:szCs w:val="24"/>
        </w:rPr>
      </w:pPr>
    </w:p>
    <w:p w14:paraId="08DEAFB0" w14:textId="77777777" w:rsidR="00F03B83" w:rsidRPr="00946EC8" w:rsidRDefault="00F03B83" w:rsidP="00F03B83">
      <w:pPr>
        <w:spacing w:after="0" w:line="276" w:lineRule="auto"/>
        <w:ind w:right="6"/>
        <w:rPr>
          <w:rFonts w:ascii="Times New Roman" w:hAnsi="Times New Roman" w:cs="Times New Roman"/>
          <w:color w:val="auto"/>
          <w:szCs w:val="24"/>
        </w:rPr>
      </w:pPr>
      <w:r w:rsidRPr="00946EC8">
        <w:rPr>
          <w:rFonts w:ascii="Times New Roman" w:hAnsi="Times New Roman" w:cs="Times New Roman"/>
          <w:color w:val="auto"/>
          <w:szCs w:val="24"/>
        </w:rPr>
        <w:t>Na dzień 31.12.2020 r. lista pracowników mających wpływ na profil ryzyka obejmowała 14 osób.</w:t>
      </w:r>
    </w:p>
    <w:p w14:paraId="62069BD9" w14:textId="77777777" w:rsidR="00F03B83" w:rsidRPr="00946EC8" w:rsidRDefault="00F03B83" w:rsidP="00F03B83">
      <w:pPr>
        <w:spacing w:after="0" w:line="276" w:lineRule="auto"/>
        <w:ind w:left="11" w:right="0" w:hanging="11"/>
        <w:rPr>
          <w:rFonts w:ascii="Times New Roman" w:hAnsi="Times New Roman" w:cs="Times New Roman"/>
          <w:color w:val="auto"/>
        </w:rPr>
      </w:pPr>
      <w:r w:rsidRPr="00946EC8">
        <w:rPr>
          <w:rFonts w:ascii="Times New Roman" w:hAnsi="Times New Roman" w:cs="Times New Roman"/>
          <w:color w:val="auto"/>
        </w:rPr>
        <w:t>Za wyznaczanie pracownikowi celów i ocenę efektów pracy odpowiedzialna/y jest:</w:t>
      </w:r>
    </w:p>
    <w:p w14:paraId="3295B46A" w14:textId="77777777" w:rsidR="00F03B83" w:rsidRPr="00946EC8" w:rsidRDefault="00F03B83" w:rsidP="00F03B83">
      <w:pPr>
        <w:pStyle w:val="Akapitzlist"/>
        <w:numPr>
          <w:ilvl w:val="0"/>
          <w:numId w:val="83"/>
        </w:numPr>
        <w:spacing w:line="276" w:lineRule="auto"/>
        <w:rPr>
          <w:sz w:val="24"/>
          <w:szCs w:val="24"/>
        </w:rPr>
      </w:pPr>
      <w:r w:rsidRPr="00946EC8">
        <w:rPr>
          <w:sz w:val="24"/>
          <w:szCs w:val="24"/>
        </w:rPr>
        <w:t>Rada Nadzorcza w odniesieniu do członków Zarządu,</w:t>
      </w:r>
    </w:p>
    <w:p w14:paraId="34372585" w14:textId="77777777" w:rsidR="00F03B83" w:rsidRPr="00946EC8" w:rsidRDefault="00F03B83" w:rsidP="00F03B83">
      <w:pPr>
        <w:pStyle w:val="Akapitzlist"/>
        <w:numPr>
          <w:ilvl w:val="0"/>
          <w:numId w:val="83"/>
        </w:numPr>
        <w:spacing w:line="276" w:lineRule="auto"/>
        <w:rPr>
          <w:sz w:val="24"/>
          <w:szCs w:val="24"/>
        </w:rPr>
      </w:pPr>
      <w:r w:rsidRPr="00946EC8">
        <w:rPr>
          <w:sz w:val="24"/>
          <w:szCs w:val="24"/>
        </w:rPr>
        <w:t>Członek Zarządu w odniesieniu do podległych pracowników.</w:t>
      </w:r>
    </w:p>
    <w:p w14:paraId="42A71F15" w14:textId="77777777" w:rsidR="00F03B83" w:rsidRPr="00946EC8" w:rsidRDefault="00F03B83" w:rsidP="00F03B83">
      <w:pPr>
        <w:spacing w:line="276" w:lineRule="auto"/>
        <w:ind w:right="6"/>
        <w:rPr>
          <w:rFonts w:ascii="Times New Roman" w:hAnsi="Times New Roman" w:cs="Times New Roman"/>
          <w:color w:val="auto"/>
          <w:szCs w:val="24"/>
        </w:rPr>
      </w:pPr>
      <w:r w:rsidRPr="00946EC8">
        <w:rPr>
          <w:rFonts w:ascii="Times New Roman" w:hAnsi="Times New Roman" w:cs="Times New Roman"/>
          <w:color w:val="auto"/>
          <w:szCs w:val="24"/>
        </w:rPr>
        <w:t xml:space="preserve">Wynagrodzenie dla Rady Nadzorczej ustala Walne Zgromadzenie. Rada nie korzysta ze zmiennych składników wynagrodzeń. </w:t>
      </w:r>
    </w:p>
    <w:p w14:paraId="20603236" w14:textId="77777777" w:rsidR="00F03B83" w:rsidRPr="00946EC8" w:rsidRDefault="00F03B83" w:rsidP="00F03B83">
      <w:pPr>
        <w:spacing w:after="0" w:line="276" w:lineRule="auto"/>
        <w:ind w:left="-6" w:right="6" w:hanging="11"/>
        <w:rPr>
          <w:rFonts w:ascii="Times New Roman" w:hAnsi="Times New Roman" w:cs="Times New Roman"/>
          <w:color w:val="auto"/>
        </w:rPr>
      </w:pPr>
      <w:r w:rsidRPr="00946EC8">
        <w:rPr>
          <w:rFonts w:ascii="Times New Roman" w:hAnsi="Times New Roman" w:cs="Times New Roman"/>
          <w:color w:val="auto"/>
        </w:rPr>
        <w:t>Z uwagi na skalę działalności Banku nie powoływano komisji/komitetu ds. wynagrodzeń. Bank nie korzystał z konsultanta zewnętrznego w zakresie ustalania polityki w zakresie wynagrodzeń.</w:t>
      </w:r>
    </w:p>
    <w:p w14:paraId="7868E573" w14:textId="77777777" w:rsidR="003A635E" w:rsidRPr="00F03B83" w:rsidRDefault="003A635E" w:rsidP="003A635E">
      <w:pPr>
        <w:spacing w:after="0" w:line="276" w:lineRule="auto"/>
        <w:ind w:left="-6" w:right="6" w:hanging="11"/>
        <w:rPr>
          <w:rFonts w:ascii="Times New Roman" w:hAnsi="Times New Roman" w:cs="Times New Roman"/>
          <w:color w:val="auto"/>
        </w:rPr>
      </w:pPr>
      <w:r w:rsidRPr="00F03B83">
        <w:rPr>
          <w:rFonts w:ascii="Times New Roman" w:hAnsi="Times New Roman" w:cs="Times New Roman"/>
          <w:color w:val="auto"/>
        </w:rPr>
        <w:t xml:space="preserve"> </w:t>
      </w:r>
    </w:p>
    <w:p w14:paraId="6B375992" w14:textId="77777777" w:rsidR="003A635E" w:rsidRPr="00F03B83" w:rsidRDefault="003A635E" w:rsidP="003A635E">
      <w:pPr>
        <w:pStyle w:val="Nagwek2"/>
        <w:ind w:left="-5" w:right="7"/>
        <w:rPr>
          <w:rFonts w:ascii="Times New Roman" w:hAnsi="Times New Roman" w:cs="Times New Roman"/>
          <w:color w:val="auto"/>
        </w:rPr>
      </w:pPr>
      <w:bookmarkStart w:id="65" w:name="_Toc75336293"/>
      <w:r w:rsidRPr="00F03B83">
        <w:rPr>
          <w:rFonts w:ascii="Times New Roman" w:hAnsi="Times New Roman" w:cs="Times New Roman"/>
          <w:color w:val="auto"/>
        </w:rPr>
        <w:t>17.2. Informacje na temat powiązania między wynagrodzeniem a wynikami</w:t>
      </w:r>
      <w:bookmarkEnd w:id="65"/>
    </w:p>
    <w:p w14:paraId="19C8FDE2" w14:textId="77777777" w:rsidR="00F03B83" w:rsidRPr="00F03B83" w:rsidRDefault="00F03B83" w:rsidP="00F03B83">
      <w:pPr>
        <w:spacing w:after="0" w:line="276" w:lineRule="auto"/>
        <w:ind w:left="11" w:right="0" w:hanging="11"/>
        <w:rPr>
          <w:rFonts w:ascii="Times New Roman" w:hAnsi="Times New Roman" w:cs="Times New Roman"/>
          <w:color w:val="auto"/>
        </w:rPr>
      </w:pPr>
      <w:r w:rsidRPr="00F03B83">
        <w:rPr>
          <w:rFonts w:ascii="Times New Roman" w:hAnsi="Times New Roman" w:cs="Times New Roman"/>
          <w:color w:val="auto"/>
        </w:rPr>
        <w:t xml:space="preserve">Wypłata zmiennych składników wynagrodzeń osób mających wpływ na profil ryzyka w Banku uwarunkowane jest oceną obejmującą efekty pracy pracownika za okres 3 lat oraz wykonaniem zadań planowych w co najmniej 90%. </w:t>
      </w:r>
    </w:p>
    <w:p w14:paraId="14D64B58" w14:textId="77777777" w:rsidR="003A635E" w:rsidRPr="00065790" w:rsidRDefault="003A635E" w:rsidP="003A635E">
      <w:pPr>
        <w:spacing w:after="0" w:line="276" w:lineRule="auto"/>
        <w:ind w:left="11" w:right="0" w:hanging="11"/>
        <w:rPr>
          <w:rFonts w:ascii="Times New Roman" w:hAnsi="Times New Roman" w:cs="Times New Roman"/>
          <w:color w:val="FF0000"/>
        </w:rPr>
      </w:pPr>
    </w:p>
    <w:p w14:paraId="7C152FDA" w14:textId="77777777" w:rsidR="003A635E" w:rsidRPr="00F03B83" w:rsidRDefault="003A635E" w:rsidP="003A635E">
      <w:pPr>
        <w:pStyle w:val="Nagwek2"/>
        <w:ind w:left="-5" w:right="7"/>
        <w:rPr>
          <w:rFonts w:ascii="Times New Roman" w:hAnsi="Times New Roman" w:cs="Times New Roman"/>
          <w:color w:val="auto"/>
        </w:rPr>
      </w:pPr>
      <w:bookmarkStart w:id="66" w:name="_Toc75336294"/>
      <w:r w:rsidRPr="00F03B83">
        <w:rPr>
          <w:rFonts w:ascii="Times New Roman" w:hAnsi="Times New Roman" w:cs="Times New Roman"/>
          <w:color w:val="auto"/>
        </w:rPr>
        <w:t>17.3. Najważniejsze informacje na temat cech charakterystycznych systemu wynagrodzeń, w tym informacje na temat kryteriów stosowanych przy pomiarze wyników i korekcie o ryzyko, polityki odraczania płatności i kryteriów nabywania uprawnień</w:t>
      </w:r>
      <w:bookmarkEnd w:id="66"/>
    </w:p>
    <w:p w14:paraId="642A04DC" w14:textId="77777777" w:rsidR="00F03B83" w:rsidRPr="00946EC8" w:rsidRDefault="00F03B83" w:rsidP="00F03B83">
      <w:pPr>
        <w:spacing w:after="0" w:line="276" w:lineRule="auto"/>
        <w:ind w:left="0" w:right="0" w:firstLine="0"/>
        <w:rPr>
          <w:rFonts w:ascii="Times New Roman" w:eastAsia="Times New Roman" w:hAnsi="Times New Roman" w:cs="Times New Roman"/>
          <w:color w:val="auto"/>
          <w:szCs w:val="24"/>
        </w:rPr>
      </w:pPr>
      <w:r w:rsidRPr="00946EC8">
        <w:rPr>
          <w:rFonts w:ascii="Times New Roman" w:eastAsia="Times New Roman" w:hAnsi="Times New Roman" w:cs="Times New Roman"/>
          <w:color w:val="auto"/>
          <w:szCs w:val="24"/>
        </w:rPr>
        <w:t xml:space="preserve">Wynagrodzenie zmienne (premia), dla osób mających wpływ na profil ryzyka w Banku przyznawane jest na podstawie pozytywnej oceny realizacji celów w danym okresie. Przy ocenie realizacji celów bierze się pod uwagę kryteria ilościowe i jakościowe. Cele wyznaczane pracownikom stanowią wypadkową głównych celów finansowych i niefinansowych Banku i uwzględniają zakres odpowiedzialności pracownika na danym stanowisku. </w:t>
      </w:r>
    </w:p>
    <w:p w14:paraId="3B094C48" w14:textId="77777777" w:rsidR="00F03B83" w:rsidRPr="00946EC8" w:rsidRDefault="00F03B83" w:rsidP="00F03B83">
      <w:pPr>
        <w:spacing w:after="0" w:line="276" w:lineRule="auto"/>
        <w:ind w:left="0" w:right="0" w:firstLine="0"/>
        <w:rPr>
          <w:rFonts w:ascii="Times New Roman" w:eastAsia="Times New Roman" w:hAnsi="Times New Roman" w:cs="Times New Roman"/>
          <w:color w:val="auto"/>
          <w:szCs w:val="24"/>
        </w:rPr>
      </w:pPr>
      <w:r w:rsidRPr="00946EC8">
        <w:rPr>
          <w:rFonts w:ascii="Times New Roman" w:eastAsia="Times New Roman" w:hAnsi="Times New Roman" w:cs="Times New Roman"/>
          <w:color w:val="auto"/>
          <w:szCs w:val="24"/>
        </w:rPr>
        <w:t>Cele finansowe i niefinansowe uwzględniają w szczególności koszt ryzyka Banku, koszt kapitału i ryzyka płynności w perspektywie długoterminowej oraz cykl koniunkturalny.</w:t>
      </w:r>
    </w:p>
    <w:p w14:paraId="6EC03BB9" w14:textId="77777777" w:rsidR="00F03B83" w:rsidRPr="00946EC8" w:rsidRDefault="00F03B83" w:rsidP="00F03B83">
      <w:pPr>
        <w:spacing w:after="0" w:line="276" w:lineRule="auto"/>
        <w:ind w:left="0" w:right="0" w:firstLine="0"/>
        <w:rPr>
          <w:rFonts w:ascii="Times New Roman" w:eastAsia="Times New Roman" w:hAnsi="Times New Roman" w:cs="Times New Roman"/>
          <w:color w:val="auto"/>
          <w:szCs w:val="24"/>
        </w:rPr>
      </w:pPr>
      <w:r w:rsidRPr="00946EC8">
        <w:rPr>
          <w:rFonts w:ascii="Times New Roman" w:eastAsia="Times New Roman" w:hAnsi="Times New Roman" w:cs="Times New Roman"/>
          <w:color w:val="auto"/>
          <w:szCs w:val="24"/>
        </w:rPr>
        <w:lastRenderedPageBreak/>
        <w:t>Ocena wyników odbywa się za okres co najmniej 3 lat.</w:t>
      </w:r>
    </w:p>
    <w:p w14:paraId="5FC012AE" w14:textId="77777777" w:rsidR="00F03B83" w:rsidRPr="00946EC8" w:rsidRDefault="00F03B83" w:rsidP="00F03B83">
      <w:pPr>
        <w:spacing w:after="0" w:line="276" w:lineRule="auto"/>
        <w:ind w:left="0" w:right="0" w:firstLine="0"/>
        <w:rPr>
          <w:rFonts w:ascii="Times New Roman" w:eastAsia="Times New Roman" w:hAnsi="Times New Roman" w:cs="Times New Roman"/>
          <w:color w:val="auto"/>
          <w:szCs w:val="24"/>
        </w:rPr>
      </w:pPr>
      <w:r w:rsidRPr="00946EC8">
        <w:rPr>
          <w:rFonts w:ascii="Times New Roman" w:eastAsia="Times New Roman" w:hAnsi="Times New Roman" w:cs="Times New Roman"/>
          <w:color w:val="auto"/>
          <w:szCs w:val="24"/>
        </w:rPr>
        <w:t>Wskaźnikami finansowymi, przyjmowanymi w celu określenia zmiennych składników wynagrodzeń są:</w:t>
      </w:r>
    </w:p>
    <w:p w14:paraId="66997B65" w14:textId="77777777" w:rsidR="00F03B83" w:rsidRPr="00946EC8" w:rsidRDefault="00F03B83" w:rsidP="00F03B83">
      <w:pPr>
        <w:spacing w:after="0" w:line="276" w:lineRule="auto"/>
        <w:ind w:left="567" w:right="0" w:hanging="567"/>
        <w:rPr>
          <w:rFonts w:ascii="Times New Roman" w:eastAsia="Times New Roman" w:hAnsi="Times New Roman" w:cs="Times New Roman"/>
          <w:color w:val="auto"/>
          <w:szCs w:val="24"/>
        </w:rPr>
      </w:pPr>
      <w:r w:rsidRPr="00946EC8">
        <w:rPr>
          <w:rFonts w:ascii="Times New Roman" w:eastAsia="Times New Roman" w:hAnsi="Times New Roman" w:cs="Times New Roman"/>
          <w:color w:val="auto"/>
          <w:szCs w:val="24"/>
        </w:rPr>
        <w:t>1)</w:t>
      </w:r>
      <w:r w:rsidRPr="00946EC8">
        <w:rPr>
          <w:rFonts w:ascii="Times New Roman" w:eastAsia="Times New Roman" w:hAnsi="Times New Roman" w:cs="Times New Roman"/>
          <w:color w:val="auto"/>
          <w:szCs w:val="24"/>
        </w:rPr>
        <w:tab/>
        <w:t xml:space="preserve">Koszt ryzyka Banku określany przez: wymóg kapitałowy na pokrycie wszystkich zidentyfikowanych </w:t>
      </w:r>
      <w:proofErr w:type="spellStart"/>
      <w:r w:rsidRPr="00946EC8">
        <w:rPr>
          <w:rFonts w:ascii="Times New Roman" w:eastAsia="Times New Roman" w:hAnsi="Times New Roman" w:cs="Times New Roman"/>
          <w:color w:val="auto"/>
          <w:szCs w:val="24"/>
        </w:rPr>
        <w:t>ryzyk</w:t>
      </w:r>
      <w:proofErr w:type="spellEnd"/>
      <w:r w:rsidRPr="00946EC8">
        <w:rPr>
          <w:rFonts w:ascii="Times New Roman" w:eastAsia="Times New Roman" w:hAnsi="Times New Roman" w:cs="Times New Roman"/>
          <w:color w:val="auto"/>
          <w:szCs w:val="24"/>
        </w:rPr>
        <w:t>, wynik na rezerwach w ocenianym okresie;</w:t>
      </w:r>
    </w:p>
    <w:p w14:paraId="291FB7E5" w14:textId="77777777" w:rsidR="00F03B83" w:rsidRPr="00946EC8" w:rsidRDefault="00F03B83" w:rsidP="00F03B83">
      <w:pPr>
        <w:spacing w:after="0" w:line="276" w:lineRule="auto"/>
        <w:ind w:left="567" w:right="0" w:hanging="567"/>
        <w:rPr>
          <w:rFonts w:ascii="Times New Roman" w:eastAsia="Times New Roman" w:hAnsi="Times New Roman" w:cs="Times New Roman"/>
          <w:color w:val="auto"/>
          <w:szCs w:val="24"/>
        </w:rPr>
      </w:pPr>
      <w:r w:rsidRPr="00946EC8">
        <w:rPr>
          <w:rFonts w:ascii="Times New Roman" w:eastAsia="Times New Roman" w:hAnsi="Times New Roman" w:cs="Times New Roman"/>
          <w:color w:val="auto"/>
          <w:szCs w:val="24"/>
        </w:rPr>
        <w:t>2)</w:t>
      </w:r>
      <w:r w:rsidRPr="00946EC8">
        <w:rPr>
          <w:rFonts w:ascii="Times New Roman" w:eastAsia="Times New Roman" w:hAnsi="Times New Roman" w:cs="Times New Roman"/>
          <w:color w:val="auto"/>
          <w:szCs w:val="24"/>
        </w:rPr>
        <w:tab/>
        <w:t>Koszt kapitału – dywidenda;</w:t>
      </w:r>
    </w:p>
    <w:p w14:paraId="40DE9CBD" w14:textId="77777777" w:rsidR="00F03B83" w:rsidRPr="00946EC8" w:rsidRDefault="00F03B83" w:rsidP="00F03B83">
      <w:pPr>
        <w:spacing w:after="0" w:line="276" w:lineRule="auto"/>
        <w:ind w:left="567" w:right="0" w:hanging="567"/>
        <w:rPr>
          <w:rFonts w:ascii="Times New Roman" w:eastAsia="Times New Roman" w:hAnsi="Times New Roman" w:cs="Times New Roman"/>
          <w:color w:val="auto"/>
          <w:szCs w:val="24"/>
        </w:rPr>
      </w:pPr>
      <w:r w:rsidRPr="00946EC8">
        <w:rPr>
          <w:rFonts w:ascii="Times New Roman" w:eastAsia="Times New Roman" w:hAnsi="Times New Roman" w:cs="Times New Roman"/>
          <w:color w:val="auto"/>
          <w:szCs w:val="24"/>
        </w:rPr>
        <w:t>3)</w:t>
      </w:r>
      <w:r w:rsidRPr="00946EC8">
        <w:rPr>
          <w:rFonts w:ascii="Times New Roman" w:eastAsia="Times New Roman" w:hAnsi="Times New Roman" w:cs="Times New Roman"/>
          <w:color w:val="auto"/>
          <w:szCs w:val="24"/>
        </w:rPr>
        <w:tab/>
        <w:t xml:space="preserve">Ryzyko płynności w perspektywie długoterminowej: nadzorcza miara płynności </w:t>
      </w:r>
      <w:r>
        <w:rPr>
          <w:rFonts w:ascii="Times New Roman" w:eastAsia="Times New Roman" w:hAnsi="Times New Roman" w:cs="Times New Roman"/>
          <w:color w:val="auto"/>
          <w:szCs w:val="24"/>
        </w:rPr>
        <w:t>M3,</w:t>
      </w:r>
      <w:r w:rsidRPr="00946EC8">
        <w:rPr>
          <w:rFonts w:ascii="Times New Roman" w:eastAsia="Times New Roman" w:hAnsi="Times New Roman" w:cs="Times New Roman"/>
          <w:color w:val="auto"/>
          <w:szCs w:val="24"/>
        </w:rPr>
        <w:t>M4;</w:t>
      </w:r>
    </w:p>
    <w:p w14:paraId="372FE29E" w14:textId="77777777" w:rsidR="00F03B83" w:rsidRPr="00946EC8" w:rsidRDefault="00F03B83" w:rsidP="00F03B83">
      <w:pPr>
        <w:spacing w:after="0" w:line="276" w:lineRule="auto"/>
        <w:ind w:left="567" w:right="0" w:hanging="567"/>
        <w:rPr>
          <w:rFonts w:ascii="Times New Roman" w:eastAsia="Times New Roman" w:hAnsi="Times New Roman" w:cs="Times New Roman"/>
          <w:color w:val="auto"/>
          <w:szCs w:val="24"/>
        </w:rPr>
      </w:pPr>
      <w:r w:rsidRPr="00946EC8">
        <w:rPr>
          <w:rFonts w:ascii="Times New Roman" w:eastAsia="Times New Roman" w:hAnsi="Times New Roman" w:cs="Times New Roman"/>
          <w:color w:val="auto"/>
          <w:szCs w:val="24"/>
        </w:rPr>
        <w:t>4)</w:t>
      </w:r>
      <w:r w:rsidRPr="00946EC8">
        <w:rPr>
          <w:rFonts w:ascii="Times New Roman" w:eastAsia="Times New Roman" w:hAnsi="Times New Roman" w:cs="Times New Roman"/>
          <w:color w:val="auto"/>
          <w:szCs w:val="24"/>
        </w:rPr>
        <w:tab/>
        <w:t>Wskaźniki kapitałowe: łączny współczynnik kapitałowy;</w:t>
      </w:r>
    </w:p>
    <w:p w14:paraId="431586B7" w14:textId="77777777" w:rsidR="00F03B83" w:rsidRPr="00946EC8" w:rsidRDefault="00F03B83" w:rsidP="00F03B83">
      <w:pPr>
        <w:spacing w:after="0" w:line="276" w:lineRule="auto"/>
        <w:ind w:left="567" w:right="0" w:hanging="567"/>
        <w:rPr>
          <w:rFonts w:ascii="Times New Roman" w:eastAsia="Times New Roman" w:hAnsi="Times New Roman" w:cs="Times New Roman"/>
          <w:color w:val="auto"/>
          <w:szCs w:val="24"/>
        </w:rPr>
      </w:pPr>
      <w:r w:rsidRPr="00946EC8">
        <w:rPr>
          <w:rFonts w:ascii="Times New Roman" w:eastAsia="Times New Roman" w:hAnsi="Times New Roman" w:cs="Times New Roman"/>
          <w:color w:val="auto"/>
          <w:szCs w:val="24"/>
        </w:rPr>
        <w:t>5)</w:t>
      </w:r>
      <w:r w:rsidRPr="00946EC8">
        <w:rPr>
          <w:rFonts w:ascii="Times New Roman" w:eastAsia="Times New Roman" w:hAnsi="Times New Roman" w:cs="Times New Roman"/>
          <w:color w:val="auto"/>
          <w:szCs w:val="24"/>
        </w:rPr>
        <w:tab/>
        <w:t>Wskaźniki rentowości: zwrot na aktywach – ROA, koszty działania w wyniku na działalności bankowej – C/I;</w:t>
      </w:r>
    </w:p>
    <w:p w14:paraId="2BDDE09D" w14:textId="77777777" w:rsidR="00F03B83" w:rsidRPr="00946EC8" w:rsidRDefault="00F03B83" w:rsidP="00F03B83">
      <w:pPr>
        <w:spacing w:after="0" w:line="276" w:lineRule="auto"/>
        <w:ind w:left="0" w:right="0" w:firstLine="0"/>
        <w:rPr>
          <w:rFonts w:ascii="Times New Roman" w:eastAsia="Times New Roman" w:hAnsi="Times New Roman" w:cs="Times New Roman"/>
          <w:color w:val="auto"/>
          <w:szCs w:val="24"/>
        </w:rPr>
      </w:pPr>
      <w:r w:rsidRPr="00946EC8">
        <w:rPr>
          <w:rFonts w:ascii="Times New Roman" w:eastAsia="Times New Roman" w:hAnsi="Times New Roman" w:cs="Times New Roman"/>
          <w:color w:val="auto"/>
          <w:szCs w:val="24"/>
        </w:rPr>
        <w:t>6)</w:t>
      </w:r>
      <w:r w:rsidRPr="00946EC8">
        <w:rPr>
          <w:rFonts w:ascii="Times New Roman" w:eastAsia="Times New Roman" w:hAnsi="Times New Roman" w:cs="Times New Roman"/>
          <w:color w:val="auto"/>
          <w:szCs w:val="24"/>
        </w:rPr>
        <w:tab/>
        <w:t>Zysk netto.</w:t>
      </w:r>
    </w:p>
    <w:p w14:paraId="79FEC178" w14:textId="77777777" w:rsidR="00F03B83" w:rsidRPr="00946EC8" w:rsidRDefault="00F03B83" w:rsidP="00F03B83">
      <w:pPr>
        <w:tabs>
          <w:tab w:val="num" w:pos="720"/>
        </w:tabs>
        <w:spacing w:before="120" w:after="120" w:line="276" w:lineRule="auto"/>
        <w:ind w:right="0"/>
        <w:rPr>
          <w:rFonts w:ascii="Times New Roman" w:hAnsi="Times New Roman" w:cs="Times New Roman"/>
          <w:bCs/>
          <w:color w:val="auto"/>
          <w:szCs w:val="24"/>
          <w:lang w:eastAsia="en-US"/>
        </w:rPr>
      </w:pPr>
      <w:r w:rsidRPr="00946EC8">
        <w:rPr>
          <w:rFonts w:ascii="Times New Roman" w:hAnsi="Times New Roman" w:cs="Times New Roman"/>
          <w:bCs/>
          <w:color w:val="auto"/>
          <w:szCs w:val="24"/>
          <w:lang w:eastAsia="en-US"/>
        </w:rPr>
        <w:t>Kryteria finansowe i niefinansowe wyznaczane są zgodnie z zasadą SMART, tj. są formułowane w sposób zrozumiały, mają charakter mierzalny, motywujący, a także wynikają ze strategii Banku i są adekwatne do zadań realizowanych na danym stanowisku oraz w oparciu o metodę kaskadowania, tj. są przekładane z celów strategicznych na cele pojedynczych pracowników na coraz niższych szczeblach w organizacji.</w:t>
      </w:r>
    </w:p>
    <w:p w14:paraId="3D512203" w14:textId="77777777" w:rsidR="00F03B83" w:rsidRPr="00946EC8" w:rsidRDefault="00F03B83" w:rsidP="00F03B83">
      <w:pPr>
        <w:tabs>
          <w:tab w:val="num" w:pos="720"/>
        </w:tabs>
        <w:spacing w:before="120" w:after="120" w:line="276" w:lineRule="auto"/>
        <w:ind w:right="0"/>
        <w:rPr>
          <w:rFonts w:ascii="Times New Roman" w:hAnsi="Times New Roman" w:cs="Times New Roman"/>
          <w:bCs/>
          <w:color w:val="auto"/>
          <w:szCs w:val="24"/>
          <w:lang w:eastAsia="en-US"/>
        </w:rPr>
      </w:pPr>
      <w:r w:rsidRPr="00946EC8">
        <w:rPr>
          <w:rFonts w:ascii="Times New Roman" w:hAnsi="Times New Roman" w:cs="Times New Roman"/>
          <w:bCs/>
          <w:color w:val="auto"/>
          <w:szCs w:val="24"/>
          <w:lang w:eastAsia="en-US"/>
        </w:rPr>
        <w:t>Osoby objęte Polityką wynagrodzeń mają prawo do zmiennych składników wynagrodzeń, jeżeli średnia wartość wykonania planowych zadań w okresie podlegającym ocenie wynosi co najmniej 90% oraz nie istnieją przesłanki ograniczające bądź wykluczające przyznanie premii.</w:t>
      </w:r>
    </w:p>
    <w:p w14:paraId="6C92AC06" w14:textId="77777777" w:rsidR="00F03B83" w:rsidRPr="00946EC8" w:rsidRDefault="00F03B83" w:rsidP="00F03B83">
      <w:pPr>
        <w:spacing w:after="0" w:line="276" w:lineRule="auto"/>
        <w:ind w:left="0" w:right="0" w:firstLine="0"/>
        <w:rPr>
          <w:rFonts w:ascii="Times New Roman" w:eastAsia="Times New Roman" w:hAnsi="Times New Roman" w:cs="Times New Roman"/>
          <w:color w:val="auto"/>
          <w:szCs w:val="24"/>
        </w:rPr>
      </w:pPr>
      <w:r w:rsidRPr="00946EC8">
        <w:rPr>
          <w:rFonts w:ascii="Times New Roman" w:eastAsia="Times New Roman" w:hAnsi="Times New Roman" w:cs="Times New Roman"/>
          <w:color w:val="auto"/>
          <w:szCs w:val="24"/>
        </w:rPr>
        <w:t xml:space="preserve">Stosując zasadę proporcjonalności odzwierciedloną w § 29 ust 2 </w:t>
      </w:r>
      <w:proofErr w:type="spellStart"/>
      <w:r w:rsidRPr="00946EC8">
        <w:rPr>
          <w:rFonts w:ascii="Times New Roman" w:eastAsia="Times New Roman" w:hAnsi="Times New Roman" w:cs="Times New Roman"/>
          <w:color w:val="auto"/>
          <w:szCs w:val="24"/>
        </w:rPr>
        <w:t>RMRiF</w:t>
      </w:r>
      <w:proofErr w:type="spellEnd"/>
      <w:r w:rsidRPr="00946EC8">
        <w:rPr>
          <w:rFonts w:ascii="Times New Roman" w:eastAsia="Times New Roman" w:hAnsi="Times New Roman" w:cs="Times New Roman"/>
          <w:color w:val="auto"/>
          <w:szCs w:val="24"/>
        </w:rPr>
        <w:t xml:space="preserve"> z dnia 6 marca 2017 roku Bank odstępuje od zasady odraczania wynagrodzenia zmiennego, którego wartość jest niższa niż 60% stałych składników wynagrodzenia. W przypadku obowiązku zastosowania odroczenia części wynagrodzenia zmiennego, okres odroczenia wynosi 3 lata. Pracownicy objęci Polityką rozpoczynający pracę w Banku, którym nie postawiono celów na pierwszy rok pracy, nie podlegają w tym roku ocenie efektów pracy.</w:t>
      </w:r>
    </w:p>
    <w:p w14:paraId="5D1E7F06" w14:textId="77777777" w:rsidR="003A635E" w:rsidRPr="00065790" w:rsidRDefault="003A635E" w:rsidP="003A635E">
      <w:pPr>
        <w:spacing w:after="0" w:line="276" w:lineRule="auto"/>
        <w:ind w:left="0" w:right="0" w:firstLine="0"/>
        <w:rPr>
          <w:rFonts w:ascii="Times New Roman" w:eastAsia="Times New Roman" w:hAnsi="Times New Roman" w:cs="Times New Roman"/>
          <w:color w:val="FF0000"/>
          <w:szCs w:val="24"/>
        </w:rPr>
      </w:pPr>
    </w:p>
    <w:p w14:paraId="75FBFAC5" w14:textId="77777777" w:rsidR="003A635E" w:rsidRPr="001272EA" w:rsidRDefault="003A635E" w:rsidP="003A635E">
      <w:pPr>
        <w:pStyle w:val="Nagwek2"/>
        <w:ind w:left="-5" w:right="7"/>
        <w:rPr>
          <w:rFonts w:ascii="Times New Roman" w:hAnsi="Times New Roman" w:cs="Times New Roman"/>
          <w:color w:val="auto"/>
        </w:rPr>
      </w:pPr>
      <w:bookmarkStart w:id="67" w:name="_Toc75336295"/>
      <w:r w:rsidRPr="001272EA">
        <w:rPr>
          <w:rFonts w:ascii="Times New Roman" w:hAnsi="Times New Roman" w:cs="Times New Roman"/>
          <w:color w:val="auto"/>
        </w:rPr>
        <w:t>17.4. Stosunek stałych składników wynagrodzenia do składników zmiennych, ustalony zgodnie z art. 94 ust. 1 lit. g) dyrektywy 36/2013</w:t>
      </w:r>
      <w:bookmarkEnd w:id="67"/>
    </w:p>
    <w:p w14:paraId="74308E86" w14:textId="77777777" w:rsidR="00684CC1" w:rsidRPr="001272EA" w:rsidRDefault="00684CC1" w:rsidP="00684CC1">
      <w:pPr>
        <w:spacing w:after="0" w:line="276" w:lineRule="auto"/>
        <w:ind w:left="-6" w:right="6" w:hanging="11"/>
        <w:rPr>
          <w:rFonts w:ascii="Times New Roman" w:hAnsi="Times New Roman" w:cs="Times New Roman"/>
          <w:color w:val="auto"/>
        </w:rPr>
      </w:pPr>
      <w:r w:rsidRPr="001272EA">
        <w:rPr>
          <w:rFonts w:ascii="Times New Roman" w:hAnsi="Times New Roman" w:cs="Times New Roman"/>
          <w:color w:val="auto"/>
        </w:rPr>
        <w:t>Stosunek wynagrodzenia zmiennego do stałego u pracowników mających istotny wpływ na profil ryzyka w Banku nie może przekroczyć 100%.</w:t>
      </w:r>
    </w:p>
    <w:p w14:paraId="76209C36" w14:textId="77777777" w:rsidR="003A635E" w:rsidRPr="001272EA" w:rsidRDefault="003A635E" w:rsidP="003A635E">
      <w:pPr>
        <w:spacing w:after="0" w:line="360" w:lineRule="auto"/>
        <w:ind w:left="-6" w:right="6" w:hanging="11"/>
        <w:rPr>
          <w:rFonts w:ascii="Times New Roman" w:hAnsi="Times New Roman" w:cs="Times New Roman"/>
          <w:color w:val="auto"/>
          <w:sz w:val="23"/>
          <w:szCs w:val="23"/>
        </w:rPr>
      </w:pPr>
    </w:p>
    <w:p w14:paraId="5C15C2D8" w14:textId="77777777" w:rsidR="003A635E" w:rsidRPr="001272EA" w:rsidRDefault="003A635E" w:rsidP="003A635E">
      <w:pPr>
        <w:pStyle w:val="Nagwek2"/>
        <w:ind w:left="-5" w:right="7"/>
        <w:rPr>
          <w:rFonts w:ascii="Times New Roman" w:hAnsi="Times New Roman" w:cs="Times New Roman"/>
          <w:color w:val="auto"/>
        </w:rPr>
      </w:pPr>
      <w:bookmarkStart w:id="68" w:name="_Toc75336296"/>
      <w:r w:rsidRPr="001272EA">
        <w:rPr>
          <w:rFonts w:ascii="Times New Roman" w:hAnsi="Times New Roman" w:cs="Times New Roman"/>
          <w:color w:val="auto"/>
        </w:rPr>
        <w:t>17.5. Informacje na temat kryteriów dotyczących osiąganych wyników, stanowiących podstawę uprawnień do akcji, opcji na akcje lub zmiennych elementów wynagrodzenia</w:t>
      </w:r>
      <w:bookmarkEnd w:id="68"/>
    </w:p>
    <w:p w14:paraId="49E0C2CB" w14:textId="77777777" w:rsidR="003A635E" w:rsidRPr="001272EA" w:rsidRDefault="003A635E" w:rsidP="003A635E">
      <w:pPr>
        <w:spacing w:line="259" w:lineRule="auto"/>
        <w:ind w:left="-5" w:right="8"/>
        <w:rPr>
          <w:rFonts w:ascii="Times New Roman" w:hAnsi="Times New Roman" w:cs="Times New Roman"/>
          <w:color w:val="auto"/>
        </w:rPr>
      </w:pPr>
      <w:r w:rsidRPr="001272EA">
        <w:rPr>
          <w:rFonts w:ascii="Times New Roman" w:hAnsi="Times New Roman" w:cs="Times New Roman"/>
          <w:color w:val="auto"/>
        </w:rPr>
        <w:t>Nie dotyczy.</w:t>
      </w:r>
    </w:p>
    <w:p w14:paraId="4E9DB5EB" w14:textId="77777777" w:rsidR="003A635E" w:rsidRPr="001272EA" w:rsidRDefault="003A635E" w:rsidP="003A635E">
      <w:pPr>
        <w:pStyle w:val="Nagwek2"/>
        <w:ind w:left="-5" w:right="7"/>
        <w:rPr>
          <w:rFonts w:ascii="Times New Roman" w:hAnsi="Times New Roman" w:cs="Times New Roman"/>
          <w:color w:val="auto"/>
        </w:rPr>
      </w:pPr>
      <w:bookmarkStart w:id="69" w:name="_Toc75336297"/>
      <w:r w:rsidRPr="001272EA">
        <w:rPr>
          <w:rFonts w:ascii="Times New Roman" w:hAnsi="Times New Roman" w:cs="Times New Roman"/>
          <w:color w:val="auto"/>
        </w:rPr>
        <w:lastRenderedPageBreak/>
        <w:t>17.6. Główne parametry oraz uzasadnienie wszelkiego rodzaju systemu elementów zmiennych i wszelkich innych świadczeń pieniężnych</w:t>
      </w:r>
      <w:bookmarkEnd w:id="69"/>
    </w:p>
    <w:p w14:paraId="5420FBCE" w14:textId="77777777" w:rsidR="001272EA" w:rsidRPr="00AA3E1A" w:rsidRDefault="001272EA" w:rsidP="001272EA">
      <w:pPr>
        <w:spacing w:after="0" w:line="276" w:lineRule="auto"/>
        <w:ind w:left="-6" w:right="6" w:hanging="11"/>
        <w:rPr>
          <w:rFonts w:ascii="Times New Roman" w:hAnsi="Times New Roman" w:cs="Times New Roman"/>
          <w:color w:val="auto"/>
          <w:szCs w:val="24"/>
        </w:rPr>
      </w:pPr>
      <w:r w:rsidRPr="00AA3E1A">
        <w:rPr>
          <w:rFonts w:ascii="Times New Roman" w:hAnsi="Times New Roman" w:cs="Times New Roman"/>
          <w:color w:val="auto"/>
          <w:szCs w:val="24"/>
        </w:rPr>
        <w:t xml:space="preserve">Wynagrodzenia osób mających istotny wpływ na profil ryzyka w Banku są ustalane zgodnie z obowiązującymi regulacjami wewnętrznymi, tj. </w:t>
      </w:r>
      <w:r w:rsidRPr="00AA3E1A">
        <w:rPr>
          <w:rFonts w:ascii="Times New Roman" w:hAnsi="Times New Roman" w:cs="Times New Roman"/>
          <w:i/>
          <w:iCs/>
          <w:color w:val="auto"/>
          <w:szCs w:val="24"/>
        </w:rPr>
        <w:t>Polityką wynagrodzeń w Warmińsko-Mazurskim</w:t>
      </w:r>
      <w:r w:rsidRPr="00AA3E1A">
        <w:rPr>
          <w:rFonts w:ascii="Times New Roman" w:hAnsi="Times New Roman" w:cs="Times New Roman"/>
          <w:color w:val="auto"/>
          <w:szCs w:val="24"/>
        </w:rPr>
        <w:t xml:space="preserve"> </w:t>
      </w:r>
      <w:r w:rsidRPr="00AA3E1A">
        <w:rPr>
          <w:rFonts w:ascii="Times New Roman" w:hAnsi="Times New Roman" w:cs="Times New Roman"/>
          <w:i/>
          <w:iCs/>
          <w:color w:val="auto"/>
          <w:szCs w:val="24"/>
        </w:rPr>
        <w:t>Banku Spółdzielczym</w:t>
      </w:r>
      <w:r w:rsidRPr="00AA3E1A">
        <w:rPr>
          <w:rFonts w:ascii="Times New Roman" w:hAnsi="Times New Roman" w:cs="Times New Roman"/>
          <w:color w:val="auto"/>
          <w:szCs w:val="24"/>
        </w:rPr>
        <w:t xml:space="preserve">, </w:t>
      </w:r>
      <w:r w:rsidRPr="00AA3E1A">
        <w:rPr>
          <w:rFonts w:ascii="Times New Roman" w:hAnsi="Times New Roman" w:cs="Times New Roman"/>
          <w:i/>
          <w:iCs/>
          <w:color w:val="auto"/>
          <w:szCs w:val="24"/>
        </w:rPr>
        <w:t xml:space="preserve">Regulaminem wynagradzania pracowników Warmińsko-Mazurskiego Banku Spółdzielczego </w:t>
      </w:r>
      <w:r w:rsidRPr="00AA3E1A">
        <w:rPr>
          <w:rFonts w:ascii="Times New Roman" w:hAnsi="Times New Roman" w:cs="Times New Roman"/>
          <w:color w:val="auto"/>
          <w:szCs w:val="24"/>
        </w:rPr>
        <w:t xml:space="preserve">oraz </w:t>
      </w:r>
      <w:r w:rsidRPr="00AA3E1A">
        <w:rPr>
          <w:rFonts w:ascii="Times New Roman" w:hAnsi="Times New Roman" w:cs="Times New Roman"/>
          <w:i/>
          <w:iCs/>
          <w:color w:val="auto"/>
          <w:szCs w:val="24"/>
        </w:rPr>
        <w:t>Regulaminem ocen pracowniczych Warmińsko-Mazurskiego Banku Spółdzielczego</w:t>
      </w:r>
      <w:r w:rsidRPr="00AA3E1A">
        <w:rPr>
          <w:rFonts w:ascii="Times New Roman" w:hAnsi="Times New Roman" w:cs="Times New Roman"/>
          <w:color w:val="auto"/>
          <w:szCs w:val="24"/>
        </w:rPr>
        <w:t>.</w:t>
      </w:r>
    </w:p>
    <w:p w14:paraId="106901AE" w14:textId="77777777" w:rsidR="001272EA" w:rsidRPr="00AA3E1A" w:rsidRDefault="001272EA" w:rsidP="001272EA">
      <w:pPr>
        <w:spacing w:after="0" w:line="276" w:lineRule="auto"/>
        <w:ind w:left="-6" w:right="6" w:hanging="11"/>
        <w:rPr>
          <w:rFonts w:ascii="Times New Roman" w:hAnsi="Times New Roman" w:cs="Times New Roman"/>
          <w:color w:val="auto"/>
          <w:szCs w:val="24"/>
        </w:rPr>
      </w:pPr>
      <w:r w:rsidRPr="00AA3E1A">
        <w:rPr>
          <w:rFonts w:ascii="Times New Roman" w:hAnsi="Times New Roman" w:cs="Times New Roman"/>
          <w:color w:val="auto"/>
          <w:szCs w:val="24"/>
        </w:rPr>
        <w:t>Wynagrodzenie całkowite pracowników składa się z wynagrodzenia stałego oraz zmiennego. Stosunek wynagrodzenia zmiennego do stałego u pracownika nie może przekraczać 100%. Wynagrodzenie zmienne dla pracowników mających wpływ na profil ryzyka w Banku wypłacane jest w okresach rocznych.</w:t>
      </w:r>
    </w:p>
    <w:p w14:paraId="27721CA5" w14:textId="77777777" w:rsidR="001272EA" w:rsidRPr="00AA3E1A" w:rsidRDefault="001272EA" w:rsidP="001272EA">
      <w:pPr>
        <w:spacing w:after="0" w:line="276" w:lineRule="auto"/>
        <w:ind w:left="-6" w:right="6" w:hanging="11"/>
        <w:rPr>
          <w:rFonts w:ascii="Times New Roman" w:hAnsi="Times New Roman" w:cs="Times New Roman"/>
          <w:color w:val="auto"/>
          <w:szCs w:val="24"/>
        </w:rPr>
      </w:pPr>
      <w:r w:rsidRPr="00AA3E1A">
        <w:rPr>
          <w:rFonts w:ascii="Times New Roman" w:hAnsi="Times New Roman" w:cs="Times New Roman"/>
          <w:color w:val="auto"/>
          <w:szCs w:val="24"/>
        </w:rPr>
        <w:t>Wynagrodzenie całkowite jest adekwatne do sytuacji ekonomiczno-finansowej Banku i uwzględnia cele Polityki, a proporcje pomiędzy stałym wynagrodzeniem a wynagrodzeniem zmiennym umożliwiają prowadzenie elastycznej polityki wynagrodzeń. Łączne wynagrodzenie zmienne przyznawane pracownikom nie ogranicza zdolności Banku do podwyższania funduszy własnych.</w:t>
      </w:r>
    </w:p>
    <w:p w14:paraId="3DE68B8F" w14:textId="77777777" w:rsidR="003A635E" w:rsidRPr="00065790" w:rsidRDefault="003A635E" w:rsidP="003A635E">
      <w:pPr>
        <w:spacing w:after="0" w:line="276" w:lineRule="auto"/>
        <w:ind w:left="-6" w:right="6" w:hanging="11"/>
        <w:rPr>
          <w:rFonts w:ascii="Times New Roman" w:hAnsi="Times New Roman" w:cs="Times New Roman"/>
          <w:color w:val="FF0000"/>
          <w:szCs w:val="24"/>
        </w:rPr>
      </w:pPr>
    </w:p>
    <w:p w14:paraId="5084C3F1" w14:textId="77777777" w:rsidR="003A635E" w:rsidRPr="001272EA" w:rsidRDefault="003A635E" w:rsidP="003A635E">
      <w:pPr>
        <w:pStyle w:val="Nagwek2"/>
        <w:spacing w:line="269" w:lineRule="auto"/>
        <w:ind w:left="-6" w:right="6" w:hanging="11"/>
        <w:rPr>
          <w:rFonts w:ascii="Times New Roman" w:hAnsi="Times New Roman" w:cs="Times New Roman"/>
          <w:color w:val="auto"/>
        </w:rPr>
      </w:pPr>
      <w:bookmarkStart w:id="70" w:name="_Toc75336298"/>
      <w:r w:rsidRPr="001272EA">
        <w:rPr>
          <w:rFonts w:ascii="Times New Roman" w:hAnsi="Times New Roman" w:cs="Times New Roman"/>
          <w:color w:val="auto"/>
        </w:rPr>
        <w:t>17.7. Zagregowane informacje ilościowe dotyczące wynagrodzenia, z podziałem na obszary działalności przedsiębiorstwa</w:t>
      </w:r>
      <w:bookmarkEnd w:id="70"/>
    </w:p>
    <w:p w14:paraId="1B554037" w14:textId="14CEF53C" w:rsidR="001272EA" w:rsidRPr="001272EA" w:rsidRDefault="001272EA" w:rsidP="001272EA">
      <w:pPr>
        <w:spacing w:after="44" w:line="276" w:lineRule="auto"/>
        <w:rPr>
          <w:rFonts w:ascii="Times New Roman" w:eastAsia="Times New Roman" w:hAnsi="Times New Roman" w:cs="Times New Roman"/>
          <w:color w:val="auto"/>
          <w:szCs w:val="24"/>
        </w:rPr>
      </w:pPr>
      <w:r w:rsidRPr="001272EA">
        <w:rPr>
          <w:rFonts w:ascii="Times New Roman" w:eastAsia="Times New Roman" w:hAnsi="Times New Roman" w:cs="Times New Roman"/>
          <w:color w:val="auto"/>
          <w:szCs w:val="24"/>
        </w:rPr>
        <w:t xml:space="preserve">Tabela – łącze koszty osobowe brutto wypłacone w 2020 r. – wynagrodzenie zasadnicze, premie, pozostałe składniki – dane w tys. zł (brutto) dla poszczególnych obszarów działalności </w:t>
      </w:r>
      <w:r w:rsidR="00A72CE0">
        <w:rPr>
          <w:rFonts w:ascii="Times New Roman" w:eastAsia="Times New Roman" w:hAnsi="Times New Roman" w:cs="Times New Roman"/>
          <w:color w:val="auto"/>
          <w:szCs w:val="24"/>
        </w:rPr>
        <w:t xml:space="preserve">dotyczące osób mających istotny wpływ na profil ryzyka </w:t>
      </w:r>
      <w:r w:rsidRPr="001272EA">
        <w:rPr>
          <w:rFonts w:ascii="Times New Roman" w:eastAsia="Times New Roman" w:hAnsi="Times New Roman" w:cs="Times New Roman"/>
          <w:color w:val="auto"/>
          <w:szCs w:val="24"/>
        </w:rPr>
        <w:t>wynosiły:</w:t>
      </w:r>
    </w:p>
    <w:p w14:paraId="308D404B" w14:textId="77777777" w:rsidR="001272EA" w:rsidRPr="001272EA" w:rsidRDefault="001272EA" w:rsidP="001272EA">
      <w:pPr>
        <w:spacing w:after="272" w:line="268" w:lineRule="auto"/>
        <w:ind w:left="-6" w:right="6" w:hanging="11"/>
        <w:outlineLvl w:val="1"/>
        <w:rPr>
          <w:rFonts w:ascii="Times New Roman" w:eastAsia="Times New Roman" w:hAnsi="Times New Roman" w:cs="Times New Roman"/>
          <w:bCs/>
          <w:color w:val="auto"/>
          <w:sz w:val="20"/>
          <w:szCs w:val="20"/>
        </w:rPr>
      </w:pPr>
      <w:r w:rsidRPr="001272EA">
        <w:rPr>
          <w:rFonts w:ascii="Times New Roman" w:eastAsia="Times New Roman" w:hAnsi="Times New Roman" w:cs="Times New Roman"/>
          <w:color w:val="auto"/>
          <w:szCs w:val="24"/>
        </w:rPr>
        <w:t> </w:t>
      </w:r>
      <w:bookmarkStart w:id="71" w:name="_Toc75336299"/>
      <w:r w:rsidRPr="001272EA">
        <w:rPr>
          <w:rFonts w:ascii="Times New Roman" w:eastAsia="Times New Roman" w:hAnsi="Times New Roman" w:cs="Times New Roman"/>
          <w:bCs/>
          <w:color w:val="auto"/>
          <w:sz w:val="20"/>
          <w:szCs w:val="20"/>
        </w:rPr>
        <w:t>Tabela – Zagregowane informacje ilościowe z podziałem na obszary, dotyczące wynagrodzeń brutto wypłaconych w 2020 roku (dane w tys. zł)</w:t>
      </w:r>
      <w:bookmarkEnd w:id="71"/>
    </w:p>
    <w:tbl>
      <w:tblPr>
        <w:tblStyle w:val="Tabela-Siatka"/>
        <w:tblW w:w="5000" w:type="pct"/>
        <w:tblLook w:val="04A0" w:firstRow="1" w:lastRow="0" w:firstColumn="1" w:lastColumn="0" w:noHBand="0" w:noVBand="1"/>
      </w:tblPr>
      <w:tblGrid>
        <w:gridCol w:w="2314"/>
        <w:gridCol w:w="995"/>
        <w:gridCol w:w="1995"/>
        <w:gridCol w:w="2355"/>
        <w:gridCol w:w="1688"/>
      </w:tblGrid>
      <w:tr w:rsidR="001272EA" w:rsidRPr="001272EA" w14:paraId="41A18B41" w14:textId="77777777" w:rsidTr="004C4D30">
        <w:trPr>
          <w:trHeight w:val="851"/>
        </w:trPr>
        <w:tc>
          <w:tcPr>
            <w:tcW w:w="1238" w:type="pct"/>
            <w:shd w:val="clear" w:color="auto" w:fill="D9D9D9" w:themeFill="background1" w:themeFillShade="D9"/>
            <w:vAlign w:val="center"/>
          </w:tcPr>
          <w:p w14:paraId="35E84D92" w14:textId="77777777" w:rsidR="001272EA" w:rsidRPr="001272EA" w:rsidRDefault="001272EA" w:rsidP="004C4D30">
            <w:pPr>
              <w:spacing w:after="44" w:line="256" w:lineRule="auto"/>
              <w:jc w:val="center"/>
              <w:rPr>
                <w:rFonts w:ascii="Times New Roman" w:eastAsia="Times New Roman" w:hAnsi="Times New Roman" w:cs="Times New Roman"/>
                <w:b/>
                <w:bCs/>
                <w:color w:val="auto"/>
                <w:szCs w:val="24"/>
              </w:rPr>
            </w:pPr>
            <w:r w:rsidRPr="001272EA">
              <w:rPr>
                <w:rFonts w:ascii="Times New Roman" w:eastAsia="Times New Roman" w:hAnsi="Times New Roman" w:cs="Times New Roman"/>
                <w:b/>
                <w:bCs/>
                <w:color w:val="auto"/>
                <w:szCs w:val="24"/>
              </w:rPr>
              <w:t>Wyszczególnienie</w:t>
            </w:r>
          </w:p>
        </w:tc>
        <w:tc>
          <w:tcPr>
            <w:tcW w:w="532" w:type="pct"/>
            <w:shd w:val="clear" w:color="auto" w:fill="D9D9D9" w:themeFill="background1" w:themeFillShade="D9"/>
            <w:vAlign w:val="center"/>
          </w:tcPr>
          <w:p w14:paraId="2BF4A917" w14:textId="77777777" w:rsidR="001272EA" w:rsidRPr="001272EA" w:rsidRDefault="001272EA" w:rsidP="004C4D30">
            <w:pPr>
              <w:spacing w:after="44" w:line="256" w:lineRule="auto"/>
              <w:jc w:val="center"/>
              <w:rPr>
                <w:rFonts w:ascii="Times New Roman" w:eastAsia="Times New Roman" w:hAnsi="Times New Roman" w:cs="Times New Roman"/>
                <w:b/>
                <w:bCs/>
                <w:color w:val="auto"/>
                <w:szCs w:val="24"/>
              </w:rPr>
            </w:pPr>
            <w:r w:rsidRPr="001272EA">
              <w:rPr>
                <w:rFonts w:ascii="Times New Roman" w:eastAsia="Times New Roman" w:hAnsi="Times New Roman" w:cs="Times New Roman"/>
                <w:b/>
                <w:bCs/>
                <w:color w:val="auto"/>
                <w:szCs w:val="24"/>
              </w:rPr>
              <w:t>Liczba osób</w:t>
            </w:r>
          </w:p>
        </w:tc>
        <w:tc>
          <w:tcPr>
            <w:tcW w:w="1067" w:type="pct"/>
            <w:shd w:val="clear" w:color="auto" w:fill="D9D9D9" w:themeFill="background1" w:themeFillShade="D9"/>
            <w:vAlign w:val="center"/>
          </w:tcPr>
          <w:p w14:paraId="6407A308" w14:textId="77777777" w:rsidR="001272EA" w:rsidRPr="001272EA" w:rsidRDefault="001272EA" w:rsidP="004C4D30">
            <w:pPr>
              <w:spacing w:after="44" w:line="256" w:lineRule="auto"/>
              <w:jc w:val="center"/>
              <w:rPr>
                <w:rFonts w:ascii="Times New Roman" w:eastAsia="Times New Roman" w:hAnsi="Times New Roman" w:cs="Times New Roman"/>
                <w:b/>
                <w:bCs/>
                <w:color w:val="auto"/>
                <w:szCs w:val="24"/>
              </w:rPr>
            </w:pPr>
            <w:r w:rsidRPr="001272EA">
              <w:rPr>
                <w:rFonts w:ascii="Times New Roman" w:eastAsia="Times New Roman" w:hAnsi="Times New Roman" w:cs="Times New Roman"/>
                <w:b/>
                <w:bCs/>
                <w:color w:val="auto"/>
                <w:szCs w:val="24"/>
              </w:rPr>
              <w:t>Wynagrodzenie stałe</w:t>
            </w:r>
          </w:p>
        </w:tc>
        <w:tc>
          <w:tcPr>
            <w:tcW w:w="1260" w:type="pct"/>
            <w:shd w:val="clear" w:color="auto" w:fill="D9D9D9" w:themeFill="background1" w:themeFillShade="D9"/>
            <w:vAlign w:val="center"/>
          </w:tcPr>
          <w:p w14:paraId="14065548" w14:textId="77777777" w:rsidR="001272EA" w:rsidRPr="001272EA" w:rsidRDefault="001272EA" w:rsidP="004C4D30">
            <w:pPr>
              <w:spacing w:after="44" w:line="256" w:lineRule="auto"/>
              <w:jc w:val="center"/>
              <w:rPr>
                <w:rFonts w:ascii="Times New Roman" w:eastAsia="Times New Roman" w:hAnsi="Times New Roman" w:cs="Times New Roman"/>
                <w:b/>
                <w:bCs/>
                <w:color w:val="auto"/>
                <w:szCs w:val="24"/>
              </w:rPr>
            </w:pPr>
            <w:r w:rsidRPr="001272EA">
              <w:rPr>
                <w:rFonts w:ascii="Times New Roman" w:eastAsia="Times New Roman" w:hAnsi="Times New Roman" w:cs="Times New Roman"/>
                <w:b/>
                <w:bCs/>
                <w:color w:val="auto"/>
                <w:szCs w:val="24"/>
              </w:rPr>
              <w:t>Wynagrodzenie zmienne</w:t>
            </w:r>
          </w:p>
        </w:tc>
        <w:tc>
          <w:tcPr>
            <w:tcW w:w="903" w:type="pct"/>
            <w:shd w:val="clear" w:color="auto" w:fill="D9D9D9" w:themeFill="background1" w:themeFillShade="D9"/>
            <w:vAlign w:val="center"/>
          </w:tcPr>
          <w:p w14:paraId="520269CC" w14:textId="77777777" w:rsidR="001272EA" w:rsidRPr="001272EA" w:rsidRDefault="001272EA" w:rsidP="004C4D30">
            <w:pPr>
              <w:spacing w:after="44" w:line="256" w:lineRule="auto"/>
              <w:jc w:val="center"/>
              <w:rPr>
                <w:rFonts w:ascii="Times New Roman" w:eastAsia="Times New Roman" w:hAnsi="Times New Roman" w:cs="Times New Roman"/>
                <w:b/>
                <w:bCs/>
                <w:color w:val="auto"/>
                <w:szCs w:val="24"/>
              </w:rPr>
            </w:pPr>
            <w:r w:rsidRPr="001272EA">
              <w:rPr>
                <w:rFonts w:ascii="Times New Roman" w:eastAsia="Times New Roman" w:hAnsi="Times New Roman" w:cs="Times New Roman"/>
                <w:b/>
                <w:bCs/>
                <w:color w:val="auto"/>
                <w:szCs w:val="24"/>
              </w:rPr>
              <w:t>Razem</w:t>
            </w:r>
          </w:p>
        </w:tc>
      </w:tr>
      <w:tr w:rsidR="001272EA" w:rsidRPr="001272EA" w14:paraId="45C1E471" w14:textId="77777777" w:rsidTr="004C4D30">
        <w:trPr>
          <w:trHeight w:val="851"/>
        </w:trPr>
        <w:tc>
          <w:tcPr>
            <w:tcW w:w="1238" w:type="pct"/>
            <w:shd w:val="clear" w:color="auto" w:fill="D9D9D9" w:themeFill="background1" w:themeFillShade="D9"/>
            <w:vAlign w:val="center"/>
          </w:tcPr>
          <w:p w14:paraId="6D6815C7" w14:textId="77777777" w:rsidR="001272EA" w:rsidRPr="001272EA" w:rsidRDefault="001272EA" w:rsidP="004C4D30">
            <w:pPr>
              <w:spacing w:after="44" w:line="256" w:lineRule="auto"/>
              <w:rPr>
                <w:rFonts w:ascii="Times New Roman" w:eastAsia="Times New Roman" w:hAnsi="Times New Roman" w:cs="Times New Roman"/>
                <w:b/>
                <w:bCs/>
                <w:color w:val="auto"/>
                <w:szCs w:val="24"/>
              </w:rPr>
            </w:pPr>
            <w:r w:rsidRPr="001272EA">
              <w:rPr>
                <w:rFonts w:ascii="Times New Roman" w:eastAsia="Times New Roman" w:hAnsi="Times New Roman" w:cs="Times New Roman"/>
                <w:b/>
                <w:bCs/>
                <w:color w:val="auto"/>
                <w:szCs w:val="24"/>
              </w:rPr>
              <w:t xml:space="preserve">Obszar organizacji, kontroli i nadzoru nad </w:t>
            </w:r>
            <w:proofErr w:type="spellStart"/>
            <w:r w:rsidRPr="001272EA">
              <w:rPr>
                <w:rFonts w:ascii="Times New Roman" w:eastAsia="Times New Roman" w:hAnsi="Times New Roman" w:cs="Times New Roman"/>
                <w:b/>
                <w:bCs/>
                <w:color w:val="auto"/>
                <w:szCs w:val="24"/>
              </w:rPr>
              <w:t>ryzykami</w:t>
            </w:r>
            <w:proofErr w:type="spellEnd"/>
            <w:r w:rsidRPr="001272EA">
              <w:rPr>
                <w:rFonts w:ascii="Times New Roman" w:eastAsia="Times New Roman" w:hAnsi="Times New Roman" w:cs="Times New Roman"/>
                <w:b/>
                <w:bCs/>
                <w:color w:val="auto"/>
                <w:szCs w:val="24"/>
              </w:rPr>
              <w:t xml:space="preserve"> </w:t>
            </w:r>
          </w:p>
        </w:tc>
        <w:tc>
          <w:tcPr>
            <w:tcW w:w="532" w:type="pct"/>
            <w:vAlign w:val="center"/>
          </w:tcPr>
          <w:p w14:paraId="4D1852FA" w14:textId="77777777" w:rsidR="001272EA" w:rsidRPr="001272EA" w:rsidRDefault="001272EA" w:rsidP="004C4D30">
            <w:pPr>
              <w:spacing w:after="44" w:line="256"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7</w:t>
            </w:r>
          </w:p>
        </w:tc>
        <w:tc>
          <w:tcPr>
            <w:tcW w:w="1067" w:type="pct"/>
            <w:vAlign w:val="center"/>
          </w:tcPr>
          <w:p w14:paraId="39341903" w14:textId="77777777" w:rsidR="001272EA" w:rsidRPr="001272EA" w:rsidRDefault="001272EA" w:rsidP="004C4D30">
            <w:pPr>
              <w:spacing w:after="44" w:line="256"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1 161</w:t>
            </w:r>
          </w:p>
        </w:tc>
        <w:tc>
          <w:tcPr>
            <w:tcW w:w="1260" w:type="pct"/>
            <w:vAlign w:val="center"/>
          </w:tcPr>
          <w:p w14:paraId="1EB059EA" w14:textId="77777777" w:rsidR="001272EA" w:rsidRPr="001272EA" w:rsidRDefault="001272EA" w:rsidP="004C4D30">
            <w:pPr>
              <w:spacing w:after="44" w:line="256"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399</w:t>
            </w:r>
          </w:p>
        </w:tc>
        <w:tc>
          <w:tcPr>
            <w:tcW w:w="903" w:type="pct"/>
            <w:vAlign w:val="center"/>
          </w:tcPr>
          <w:p w14:paraId="6E7626F8" w14:textId="77777777" w:rsidR="001272EA" w:rsidRPr="001272EA" w:rsidRDefault="001272EA" w:rsidP="004C4D30">
            <w:pPr>
              <w:spacing w:after="44" w:line="256"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1 560</w:t>
            </w:r>
          </w:p>
        </w:tc>
      </w:tr>
      <w:tr w:rsidR="001272EA" w:rsidRPr="001272EA" w14:paraId="4D4FA48C" w14:textId="77777777" w:rsidTr="004C4D30">
        <w:trPr>
          <w:trHeight w:val="851"/>
        </w:trPr>
        <w:tc>
          <w:tcPr>
            <w:tcW w:w="1238" w:type="pct"/>
            <w:shd w:val="clear" w:color="auto" w:fill="D9D9D9" w:themeFill="background1" w:themeFillShade="D9"/>
            <w:vAlign w:val="center"/>
          </w:tcPr>
          <w:p w14:paraId="3A658FB4" w14:textId="77777777" w:rsidR="001272EA" w:rsidRPr="001272EA" w:rsidRDefault="001272EA" w:rsidP="004C4D30">
            <w:pPr>
              <w:spacing w:after="44" w:line="256" w:lineRule="auto"/>
              <w:rPr>
                <w:rFonts w:ascii="Times New Roman" w:eastAsia="Times New Roman" w:hAnsi="Times New Roman" w:cs="Times New Roman"/>
                <w:b/>
                <w:bCs/>
                <w:color w:val="auto"/>
                <w:szCs w:val="24"/>
              </w:rPr>
            </w:pPr>
            <w:r w:rsidRPr="001272EA">
              <w:rPr>
                <w:rFonts w:ascii="Times New Roman" w:eastAsia="Times New Roman" w:hAnsi="Times New Roman" w:cs="Times New Roman"/>
                <w:b/>
                <w:bCs/>
                <w:color w:val="auto"/>
                <w:szCs w:val="24"/>
              </w:rPr>
              <w:t>Obszar operacyjny (handlowy, informatyki i bezpieczeństwa, finansowo-księgowy)</w:t>
            </w:r>
          </w:p>
        </w:tc>
        <w:tc>
          <w:tcPr>
            <w:tcW w:w="532" w:type="pct"/>
            <w:vAlign w:val="center"/>
          </w:tcPr>
          <w:p w14:paraId="6546BF42" w14:textId="77777777" w:rsidR="001272EA" w:rsidRPr="001272EA" w:rsidRDefault="001272EA" w:rsidP="004C4D30">
            <w:pPr>
              <w:spacing w:after="44" w:line="256"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7</w:t>
            </w:r>
          </w:p>
        </w:tc>
        <w:tc>
          <w:tcPr>
            <w:tcW w:w="1067" w:type="pct"/>
            <w:vAlign w:val="center"/>
          </w:tcPr>
          <w:p w14:paraId="66244321" w14:textId="77777777" w:rsidR="001272EA" w:rsidRPr="001272EA" w:rsidRDefault="001272EA" w:rsidP="004C4D30">
            <w:pPr>
              <w:spacing w:after="44" w:line="256"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983</w:t>
            </w:r>
          </w:p>
        </w:tc>
        <w:tc>
          <w:tcPr>
            <w:tcW w:w="1260" w:type="pct"/>
            <w:vAlign w:val="center"/>
          </w:tcPr>
          <w:p w14:paraId="1830485E" w14:textId="77777777" w:rsidR="001272EA" w:rsidRPr="001272EA" w:rsidRDefault="001272EA" w:rsidP="004C4D30">
            <w:pPr>
              <w:spacing w:after="44" w:line="256"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321</w:t>
            </w:r>
          </w:p>
        </w:tc>
        <w:tc>
          <w:tcPr>
            <w:tcW w:w="903" w:type="pct"/>
            <w:vAlign w:val="center"/>
          </w:tcPr>
          <w:p w14:paraId="0F550FE6" w14:textId="77777777" w:rsidR="001272EA" w:rsidRPr="001272EA" w:rsidRDefault="001272EA" w:rsidP="004C4D30">
            <w:pPr>
              <w:spacing w:after="44" w:line="256"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1 304</w:t>
            </w:r>
          </w:p>
        </w:tc>
      </w:tr>
      <w:tr w:rsidR="001272EA" w:rsidRPr="001272EA" w14:paraId="37354477" w14:textId="77777777" w:rsidTr="004C4D30">
        <w:trPr>
          <w:trHeight w:val="851"/>
        </w:trPr>
        <w:tc>
          <w:tcPr>
            <w:tcW w:w="1238" w:type="pct"/>
            <w:shd w:val="clear" w:color="auto" w:fill="D9D9D9" w:themeFill="background1" w:themeFillShade="D9"/>
            <w:vAlign w:val="center"/>
          </w:tcPr>
          <w:p w14:paraId="03687F55" w14:textId="77777777" w:rsidR="001272EA" w:rsidRPr="001272EA" w:rsidRDefault="001272EA" w:rsidP="004C4D30">
            <w:pPr>
              <w:spacing w:after="44" w:line="256" w:lineRule="auto"/>
              <w:jc w:val="left"/>
              <w:rPr>
                <w:rFonts w:ascii="Times New Roman" w:eastAsia="Times New Roman" w:hAnsi="Times New Roman" w:cs="Times New Roman"/>
                <w:b/>
                <w:bCs/>
                <w:color w:val="auto"/>
                <w:szCs w:val="24"/>
              </w:rPr>
            </w:pPr>
            <w:r w:rsidRPr="001272EA">
              <w:rPr>
                <w:rFonts w:ascii="Times New Roman" w:eastAsia="Times New Roman" w:hAnsi="Times New Roman" w:cs="Times New Roman"/>
                <w:b/>
                <w:bCs/>
                <w:color w:val="auto"/>
                <w:szCs w:val="24"/>
              </w:rPr>
              <w:lastRenderedPageBreak/>
              <w:t>Razem</w:t>
            </w:r>
          </w:p>
        </w:tc>
        <w:tc>
          <w:tcPr>
            <w:tcW w:w="532" w:type="pct"/>
            <w:vAlign w:val="center"/>
          </w:tcPr>
          <w:p w14:paraId="5AE985A4" w14:textId="77777777" w:rsidR="001272EA" w:rsidRPr="001272EA" w:rsidRDefault="001272EA" w:rsidP="004C4D30">
            <w:pPr>
              <w:spacing w:after="44" w:line="256"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14</w:t>
            </w:r>
          </w:p>
        </w:tc>
        <w:tc>
          <w:tcPr>
            <w:tcW w:w="1067" w:type="pct"/>
            <w:vAlign w:val="center"/>
          </w:tcPr>
          <w:p w14:paraId="4BB8D366" w14:textId="77777777" w:rsidR="001272EA" w:rsidRPr="001272EA" w:rsidRDefault="001272EA" w:rsidP="004C4D30">
            <w:pPr>
              <w:spacing w:after="44" w:line="256"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2 144</w:t>
            </w:r>
          </w:p>
        </w:tc>
        <w:tc>
          <w:tcPr>
            <w:tcW w:w="1260" w:type="pct"/>
            <w:vAlign w:val="center"/>
          </w:tcPr>
          <w:p w14:paraId="0C92BC56" w14:textId="77777777" w:rsidR="001272EA" w:rsidRPr="001272EA" w:rsidRDefault="001272EA" w:rsidP="004C4D30">
            <w:pPr>
              <w:spacing w:after="44" w:line="256"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720</w:t>
            </w:r>
          </w:p>
        </w:tc>
        <w:tc>
          <w:tcPr>
            <w:tcW w:w="903" w:type="pct"/>
            <w:vAlign w:val="center"/>
          </w:tcPr>
          <w:p w14:paraId="744FDF45" w14:textId="77777777" w:rsidR="001272EA" w:rsidRPr="001272EA" w:rsidRDefault="001272EA" w:rsidP="004C4D30">
            <w:pPr>
              <w:spacing w:after="44" w:line="256"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2 864</w:t>
            </w:r>
          </w:p>
        </w:tc>
      </w:tr>
    </w:tbl>
    <w:p w14:paraId="11906060" w14:textId="77777777" w:rsidR="001272EA" w:rsidRPr="001272EA" w:rsidRDefault="001272EA" w:rsidP="001272EA">
      <w:pPr>
        <w:spacing w:after="44" w:line="256" w:lineRule="auto"/>
        <w:rPr>
          <w:rFonts w:ascii="Times New Roman" w:eastAsia="Times New Roman" w:hAnsi="Times New Roman" w:cs="Times New Roman"/>
          <w:color w:val="auto"/>
          <w:szCs w:val="24"/>
        </w:rPr>
      </w:pPr>
    </w:p>
    <w:p w14:paraId="22BC1CF7" w14:textId="77777777" w:rsidR="003A635E" w:rsidRPr="001272EA" w:rsidRDefault="003A635E" w:rsidP="003A635E">
      <w:pPr>
        <w:pStyle w:val="Nagwek2"/>
        <w:spacing w:line="269" w:lineRule="auto"/>
        <w:ind w:left="-6" w:right="6" w:hanging="11"/>
        <w:rPr>
          <w:rFonts w:ascii="Times New Roman" w:hAnsi="Times New Roman" w:cs="Times New Roman"/>
          <w:color w:val="auto"/>
        </w:rPr>
      </w:pPr>
      <w:bookmarkStart w:id="72" w:name="_Toc75336300"/>
      <w:r w:rsidRPr="001272EA">
        <w:rPr>
          <w:rFonts w:ascii="Times New Roman" w:hAnsi="Times New Roman" w:cs="Times New Roman"/>
          <w:color w:val="auto"/>
        </w:rPr>
        <w:t>17.8. Zagregowane informacje ilościowe na temat wynagrodzeń, z podziałem na kadrę kierowniczą wyższego szczebla i pracowników, których działania mają istotny wpływ na profil ryzyka Banku</w:t>
      </w:r>
      <w:bookmarkEnd w:id="72"/>
    </w:p>
    <w:p w14:paraId="6570DFA1" w14:textId="77777777" w:rsidR="001272EA" w:rsidRPr="001272EA" w:rsidRDefault="001272EA" w:rsidP="001272EA">
      <w:pPr>
        <w:spacing w:after="0" w:line="240" w:lineRule="auto"/>
        <w:ind w:left="-6" w:right="6" w:hanging="11"/>
        <w:outlineLvl w:val="1"/>
        <w:rPr>
          <w:rFonts w:ascii="Times New Roman" w:eastAsia="Times New Roman" w:hAnsi="Times New Roman" w:cs="Times New Roman"/>
          <w:bCs/>
          <w:color w:val="auto"/>
          <w:szCs w:val="24"/>
        </w:rPr>
      </w:pPr>
      <w:bookmarkStart w:id="73" w:name="_Toc75336301"/>
      <w:r w:rsidRPr="001272EA">
        <w:rPr>
          <w:rFonts w:ascii="Times New Roman" w:eastAsia="Times New Roman" w:hAnsi="Times New Roman" w:cs="Times New Roman"/>
          <w:bCs/>
          <w:color w:val="auto"/>
          <w:szCs w:val="24"/>
        </w:rPr>
        <w:t xml:space="preserve">W Banku osobami objętymi </w:t>
      </w:r>
      <w:r w:rsidRPr="001272EA">
        <w:rPr>
          <w:rFonts w:ascii="Times New Roman" w:eastAsia="Times New Roman" w:hAnsi="Times New Roman" w:cs="Times New Roman"/>
          <w:bCs/>
          <w:i/>
          <w:iCs/>
          <w:color w:val="auto"/>
          <w:szCs w:val="24"/>
        </w:rPr>
        <w:t>Polityką wynagrodzeń</w:t>
      </w:r>
      <w:r w:rsidRPr="001272EA">
        <w:rPr>
          <w:rFonts w:ascii="Times New Roman" w:eastAsia="Times New Roman" w:hAnsi="Times New Roman" w:cs="Times New Roman"/>
          <w:bCs/>
          <w:color w:val="auto"/>
          <w:szCs w:val="24"/>
        </w:rPr>
        <w:t xml:space="preserve"> są osoby wybrane na podstawie kryteriów przyjętych w </w:t>
      </w:r>
      <w:r w:rsidRPr="001272EA">
        <w:rPr>
          <w:rFonts w:ascii="Times New Roman" w:eastAsia="Times New Roman" w:hAnsi="Times New Roman" w:cs="Times New Roman"/>
          <w:bCs/>
          <w:i/>
          <w:iCs/>
          <w:color w:val="auto"/>
          <w:szCs w:val="24"/>
        </w:rPr>
        <w:t>Polityce</w:t>
      </w:r>
      <w:r w:rsidRPr="001272EA">
        <w:rPr>
          <w:rFonts w:ascii="Times New Roman" w:eastAsia="Times New Roman" w:hAnsi="Times New Roman" w:cs="Times New Roman"/>
          <w:bCs/>
          <w:color w:val="auto"/>
          <w:szCs w:val="24"/>
        </w:rPr>
        <w:t xml:space="preserve"> zatrudnione na stanowiskach:</w:t>
      </w:r>
      <w:bookmarkEnd w:id="73"/>
    </w:p>
    <w:p w14:paraId="36400B91" w14:textId="77777777" w:rsidR="001272EA" w:rsidRPr="001272EA" w:rsidRDefault="001272EA" w:rsidP="001272EA">
      <w:pPr>
        <w:spacing w:after="0" w:line="240" w:lineRule="auto"/>
        <w:ind w:left="-6" w:right="6" w:hanging="11"/>
        <w:outlineLvl w:val="1"/>
        <w:rPr>
          <w:rFonts w:ascii="Times New Roman" w:eastAsia="Times New Roman" w:hAnsi="Times New Roman" w:cs="Times New Roman"/>
          <w:bCs/>
          <w:color w:val="auto"/>
          <w:szCs w:val="24"/>
        </w:rPr>
      </w:pPr>
      <w:bookmarkStart w:id="74" w:name="_Toc75336302"/>
      <w:r w:rsidRPr="001272EA">
        <w:rPr>
          <w:rFonts w:ascii="Times New Roman" w:eastAsia="Times New Roman" w:hAnsi="Times New Roman" w:cs="Times New Roman"/>
          <w:bCs/>
          <w:color w:val="auto"/>
          <w:szCs w:val="24"/>
        </w:rPr>
        <w:t>1)</w:t>
      </w:r>
      <w:r w:rsidRPr="001272EA">
        <w:rPr>
          <w:rFonts w:ascii="Times New Roman" w:eastAsia="Times New Roman" w:hAnsi="Times New Roman" w:cs="Times New Roman"/>
          <w:bCs/>
          <w:color w:val="auto"/>
          <w:szCs w:val="24"/>
        </w:rPr>
        <w:tab/>
        <w:t>Prezesa Zarządu;</w:t>
      </w:r>
      <w:bookmarkEnd w:id="74"/>
    </w:p>
    <w:p w14:paraId="5208789D" w14:textId="77777777" w:rsidR="001272EA" w:rsidRPr="001272EA" w:rsidRDefault="001272EA" w:rsidP="001272EA">
      <w:pPr>
        <w:spacing w:after="0" w:line="240" w:lineRule="auto"/>
        <w:ind w:left="-6" w:right="6" w:hanging="11"/>
        <w:outlineLvl w:val="1"/>
        <w:rPr>
          <w:rFonts w:ascii="Times New Roman" w:eastAsia="Times New Roman" w:hAnsi="Times New Roman" w:cs="Times New Roman"/>
          <w:bCs/>
          <w:color w:val="auto"/>
          <w:szCs w:val="24"/>
        </w:rPr>
      </w:pPr>
      <w:bookmarkStart w:id="75" w:name="_Toc75336303"/>
      <w:r w:rsidRPr="001272EA">
        <w:rPr>
          <w:rFonts w:ascii="Times New Roman" w:eastAsia="Times New Roman" w:hAnsi="Times New Roman" w:cs="Times New Roman"/>
          <w:bCs/>
          <w:color w:val="auto"/>
          <w:szCs w:val="24"/>
        </w:rPr>
        <w:t>2)</w:t>
      </w:r>
      <w:r w:rsidRPr="001272EA">
        <w:rPr>
          <w:rFonts w:ascii="Times New Roman" w:eastAsia="Times New Roman" w:hAnsi="Times New Roman" w:cs="Times New Roman"/>
          <w:bCs/>
          <w:color w:val="auto"/>
          <w:szCs w:val="24"/>
        </w:rPr>
        <w:tab/>
        <w:t>Wiceprezesów Zarządu;</w:t>
      </w:r>
      <w:bookmarkEnd w:id="75"/>
    </w:p>
    <w:p w14:paraId="2A080F0E" w14:textId="77777777" w:rsidR="001272EA" w:rsidRPr="001272EA" w:rsidRDefault="001272EA" w:rsidP="001272EA">
      <w:pPr>
        <w:spacing w:after="0" w:line="240" w:lineRule="auto"/>
        <w:ind w:left="-6" w:right="6" w:hanging="11"/>
        <w:outlineLvl w:val="1"/>
        <w:rPr>
          <w:rFonts w:ascii="Times New Roman" w:eastAsia="Times New Roman" w:hAnsi="Times New Roman" w:cs="Times New Roman"/>
          <w:bCs/>
          <w:color w:val="auto"/>
          <w:szCs w:val="24"/>
        </w:rPr>
      </w:pPr>
      <w:bookmarkStart w:id="76" w:name="_Toc75336304"/>
      <w:r w:rsidRPr="001272EA">
        <w:rPr>
          <w:rFonts w:ascii="Times New Roman" w:eastAsia="Times New Roman" w:hAnsi="Times New Roman" w:cs="Times New Roman"/>
          <w:bCs/>
          <w:color w:val="auto"/>
          <w:szCs w:val="24"/>
        </w:rPr>
        <w:t>3)</w:t>
      </w:r>
      <w:r w:rsidRPr="001272EA">
        <w:rPr>
          <w:rFonts w:ascii="Times New Roman" w:eastAsia="Times New Roman" w:hAnsi="Times New Roman" w:cs="Times New Roman"/>
          <w:bCs/>
          <w:color w:val="auto"/>
          <w:szCs w:val="24"/>
        </w:rPr>
        <w:tab/>
        <w:t>Głównego Księgowego – Członka Zarządu;</w:t>
      </w:r>
      <w:bookmarkEnd w:id="76"/>
    </w:p>
    <w:p w14:paraId="123654C5" w14:textId="77777777" w:rsidR="001272EA" w:rsidRPr="001272EA" w:rsidRDefault="001272EA" w:rsidP="001272EA">
      <w:pPr>
        <w:spacing w:after="0" w:line="240" w:lineRule="auto"/>
        <w:ind w:left="-6" w:right="6" w:hanging="11"/>
        <w:outlineLvl w:val="1"/>
        <w:rPr>
          <w:rFonts w:ascii="Times New Roman" w:eastAsia="Times New Roman" w:hAnsi="Times New Roman" w:cs="Times New Roman"/>
          <w:bCs/>
          <w:color w:val="auto"/>
          <w:szCs w:val="24"/>
        </w:rPr>
      </w:pPr>
      <w:bookmarkStart w:id="77" w:name="_Toc75336305"/>
      <w:r w:rsidRPr="001272EA">
        <w:rPr>
          <w:rFonts w:ascii="Times New Roman" w:eastAsia="Times New Roman" w:hAnsi="Times New Roman" w:cs="Times New Roman"/>
          <w:bCs/>
          <w:color w:val="auto"/>
          <w:szCs w:val="24"/>
        </w:rPr>
        <w:t>4)</w:t>
      </w:r>
      <w:r w:rsidRPr="001272EA">
        <w:rPr>
          <w:rFonts w:ascii="Times New Roman" w:eastAsia="Times New Roman" w:hAnsi="Times New Roman" w:cs="Times New Roman"/>
          <w:bCs/>
          <w:color w:val="auto"/>
          <w:szCs w:val="24"/>
        </w:rPr>
        <w:tab/>
        <w:t xml:space="preserve">Dyrektora Zespołu Zarządzania </w:t>
      </w:r>
      <w:proofErr w:type="spellStart"/>
      <w:r w:rsidRPr="001272EA">
        <w:rPr>
          <w:rFonts w:ascii="Times New Roman" w:eastAsia="Times New Roman" w:hAnsi="Times New Roman" w:cs="Times New Roman"/>
          <w:bCs/>
          <w:color w:val="auto"/>
          <w:szCs w:val="24"/>
        </w:rPr>
        <w:t>Ryzykami</w:t>
      </w:r>
      <w:proofErr w:type="spellEnd"/>
      <w:r w:rsidRPr="001272EA">
        <w:rPr>
          <w:rFonts w:ascii="Times New Roman" w:eastAsia="Times New Roman" w:hAnsi="Times New Roman" w:cs="Times New Roman"/>
          <w:bCs/>
          <w:color w:val="auto"/>
          <w:szCs w:val="24"/>
        </w:rPr>
        <w:t>;</w:t>
      </w:r>
      <w:bookmarkEnd w:id="77"/>
    </w:p>
    <w:p w14:paraId="495EC463" w14:textId="77777777" w:rsidR="001272EA" w:rsidRPr="001272EA" w:rsidRDefault="001272EA" w:rsidP="001272EA">
      <w:pPr>
        <w:spacing w:after="0" w:line="240" w:lineRule="auto"/>
        <w:ind w:left="-6" w:right="6" w:hanging="11"/>
        <w:outlineLvl w:val="1"/>
        <w:rPr>
          <w:rFonts w:ascii="Times New Roman" w:eastAsia="Times New Roman" w:hAnsi="Times New Roman" w:cs="Times New Roman"/>
          <w:bCs/>
          <w:color w:val="auto"/>
          <w:szCs w:val="24"/>
        </w:rPr>
      </w:pPr>
      <w:bookmarkStart w:id="78" w:name="_Toc75336306"/>
      <w:r w:rsidRPr="001272EA">
        <w:rPr>
          <w:rFonts w:ascii="Times New Roman" w:eastAsia="Times New Roman" w:hAnsi="Times New Roman" w:cs="Times New Roman"/>
          <w:bCs/>
          <w:color w:val="auto"/>
          <w:szCs w:val="24"/>
        </w:rPr>
        <w:t>5)</w:t>
      </w:r>
      <w:r w:rsidRPr="001272EA">
        <w:rPr>
          <w:rFonts w:ascii="Times New Roman" w:eastAsia="Times New Roman" w:hAnsi="Times New Roman" w:cs="Times New Roman"/>
          <w:bCs/>
          <w:color w:val="auto"/>
          <w:szCs w:val="24"/>
        </w:rPr>
        <w:tab/>
        <w:t>Dyrektora Zespołu Weryfikacji i Analiz;</w:t>
      </w:r>
      <w:bookmarkEnd w:id="78"/>
    </w:p>
    <w:p w14:paraId="53A0D3FE" w14:textId="77777777" w:rsidR="001272EA" w:rsidRPr="001272EA" w:rsidRDefault="001272EA" w:rsidP="001272EA">
      <w:pPr>
        <w:spacing w:after="0" w:line="240" w:lineRule="auto"/>
        <w:ind w:left="-6" w:right="6" w:hanging="11"/>
        <w:outlineLvl w:val="1"/>
        <w:rPr>
          <w:rFonts w:ascii="Times New Roman" w:eastAsia="Times New Roman" w:hAnsi="Times New Roman" w:cs="Times New Roman"/>
          <w:bCs/>
          <w:color w:val="auto"/>
          <w:szCs w:val="24"/>
        </w:rPr>
      </w:pPr>
      <w:bookmarkStart w:id="79" w:name="_Toc75336307"/>
      <w:r w:rsidRPr="001272EA">
        <w:rPr>
          <w:rFonts w:ascii="Times New Roman" w:eastAsia="Times New Roman" w:hAnsi="Times New Roman" w:cs="Times New Roman"/>
          <w:bCs/>
          <w:color w:val="auto"/>
          <w:szCs w:val="24"/>
        </w:rPr>
        <w:t>6)         Dyrektora Zespołu Monitoringu i Windykacji;</w:t>
      </w:r>
      <w:bookmarkEnd w:id="79"/>
      <w:r w:rsidRPr="001272EA">
        <w:rPr>
          <w:rFonts w:ascii="Times New Roman" w:eastAsia="Times New Roman" w:hAnsi="Times New Roman" w:cs="Times New Roman"/>
          <w:bCs/>
          <w:color w:val="auto"/>
          <w:szCs w:val="24"/>
        </w:rPr>
        <w:t xml:space="preserve"> </w:t>
      </w:r>
    </w:p>
    <w:p w14:paraId="5BF1A2CB" w14:textId="77777777" w:rsidR="001272EA" w:rsidRPr="001272EA" w:rsidRDefault="001272EA" w:rsidP="001272EA">
      <w:pPr>
        <w:spacing w:after="0" w:line="240" w:lineRule="auto"/>
        <w:ind w:left="-6" w:right="6" w:hanging="11"/>
        <w:outlineLvl w:val="1"/>
        <w:rPr>
          <w:rFonts w:ascii="Times New Roman" w:eastAsia="Times New Roman" w:hAnsi="Times New Roman" w:cs="Times New Roman"/>
          <w:bCs/>
          <w:color w:val="auto"/>
          <w:szCs w:val="24"/>
        </w:rPr>
      </w:pPr>
      <w:bookmarkStart w:id="80" w:name="_Toc75336308"/>
      <w:r w:rsidRPr="001272EA">
        <w:rPr>
          <w:rFonts w:ascii="Times New Roman" w:eastAsia="Times New Roman" w:hAnsi="Times New Roman" w:cs="Times New Roman"/>
          <w:bCs/>
          <w:color w:val="auto"/>
          <w:szCs w:val="24"/>
        </w:rPr>
        <w:t>7)</w:t>
      </w:r>
      <w:r w:rsidRPr="001272EA">
        <w:rPr>
          <w:rFonts w:ascii="Times New Roman" w:eastAsia="Times New Roman" w:hAnsi="Times New Roman" w:cs="Times New Roman"/>
          <w:bCs/>
          <w:color w:val="auto"/>
          <w:szCs w:val="24"/>
        </w:rPr>
        <w:tab/>
        <w:t>Dyrektora Zespołu Zarządzania Sprzedażą;</w:t>
      </w:r>
      <w:bookmarkEnd w:id="80"/>
    </w:p>
    <w:p w14:paraId="5FFF38AF" w14:textId="77777777" w:rsidR="001272EA" w:rsidRPr="001272EA" w:rsidRDefault="001272EA" w:rsidP="001272EA">
      <w:pPr>
        <w:spacing w:after="0" w:line="240" w:lineRule="auto"/>
        <w:ind w:left="-6" w:right="6" w:hanging="11"/>
        <w:outlineLvl w:val="1"/>
        <w:rPr>
          <w:rFonts w:ascii="Times New Roman" w:eastAsia="Times New Roman" w:hAnsi="Times New Roman" w:cs="Times New Roman"/>
          <w:bCs/>
          <w:color w:val="auto"/>
          <w:szCs w:val="24"/>
        </w:rPr>
      </w:pPr>
      <w:bookmarkStart w:id="81" w:name="_Toc75336309"/>
      <w:r w:rsidRPr="001272EA">
        <w:rPr>
          <w:rFonts w:ascii="Times New Roman" w:eastAsia="Times New Roman" w:hAnsi="Times New Roman" w:cs="Times New Roman"/>
          <w:bCs/>
          <w:color w:val="auto"/>
          <w:szCs w:val="24"/>
        </w:rPr>
        <w:t>8)</w:t>
      </w:r>
      <w:r w:rsidRPr="001272EA">
        <w:rPr>
          <w:rFonts w:ascii="Times New Roman" w:eastAsia="Times New Roman" w:hAnsi="Times New Roman" w:cs="Times New Roman"/>
          <w:bCs/>
          <w:color w:val="auto"/>
          <w:szCs w:val="24"/>
        </w:rPr>
        <w:tab/>
        <w:t>Dyrektora Zespołu Zarządzania Informatyką i Bezpieczeństwem;</w:t>
      </w:r>
      <w:bookmarkEnd w:id="81"/>
    </w:p>
    <w:p w14:paraId="5D2E83D7" w14:textId="77777777" w:rsidR="001272EA" w:rsidRPr="001272EA" w:rsidRDefault="001272EA" w:rsidP="001272EA">
      <w:pPr>
        <w:spacing w:after="0" w:line="240" w:lineRule="auto"/>
        <w:ind w:left="-6" w:right="6" w:hanging="11"/>
        <w:outlineLvl w:val="1"/>
        <w:rPr>
          <w:rFonts w:ascii="Times New Roman" w:eastAsia="Times New Roman" w:hAnsi="Times New Roman" w:cs="Times New Roman"/>
          <w:bCs/>
          <w:color w:val="auto"/>
          <w:szCs w:val="24"/>
        </w:rPr>
      </w:pPr>
      <w:bookmarkStart w:id="82" w:name="_Toc75336310"/>
      <w:r w:rsidRPr="001272EA">
        <w:rPr>
          <w:rFonts w:ascii="Times New Roman" w:eastAsia="Times New Roman" w:hAnsi="Times New Roman" w:cs="Times New Roman"/>
          <w:bCs/>
          <w:color w:val="auto"/>
          <w:szCs w:val="24"/>
        </w:rPr>
        <w:t>9)</w:t>
      </w:r>
      <w:r w:rsidRPr="001272EA">
        <w:rPr>
          <w:rFonts w:ascii="Times New Roman" w:eastAsia="Times New Roman" w:hAnsi="Times New Roman" w:cs="Times New Roman"/>
          <w:bCs/>
          <w:color w:val="auto"/>
          <w:szCs w:val="24"/>
        </w:rPr>
        <w:tab/>
        <w:t>Dyrektora Zespołu Skarbu;</w:t>
      </w:r>
      <w:bookmarkEnd w:id="82"/>
    </w:p>
    <w:p w14:paraId="5C84A905" w14:textId="77777777" w:rsidR="001272EA" w:rsidRPr="001272EA" w:rsidRDefault="001272EA" w:rsidP="001272EA">
      <w:pPr>
        <w:spacing w:after="0" w:line="240" w:lineRule="auto"/>
        <w:ind w:left="-6" w:right="6" w:hanging="11"/>
        <w:outlineLvl w:val="1"/>
        <w:rPr>
          <w:rFonts w:ascii="Times New Roman" w:eastAsia="Times New Roman" w:hAnsi="Times New Roman" w:cs="Times New Roman"/>
          <w:bCs/>
          <w:color w:val="auto"/>
          <w:szCs w:val="24"/>
        </w:rPr>
      </w:pPr>
      <w:bookmarkStart w:id="83" w:name="_Toc75336311"/>
      <w:r w:rsidRPr="001272EA">
        <w:rPr>
          <w:rFonts w:ascii="Times New Roman" w:eastAsia="Times New Roman" w:hAnsi="Times New Roman" w:cs="Times New Roman"/>
          <w:bCs/>
          <w:color w:val="auto"/>
          <w:szCs w:val="24"/>
        </w:rPr>
        <w:t>10)</w:t>
      </w:r>
      <w:r w:rsidRPr="001272EA">
        <w:rPr>
          <w:rFonts w:ascii="Times New Roman" w:eastAsia="Times New Roman" w:hAnsi="Times New Roman" w:cs="Times New Roman"/>
          <w:bCs/>
          <w:color w:val="auto"/>
          <w:szCs w:val="24"/>
        </w:rPr>
        <w:tab/>
        <w:t>Koordynatora Zespołu Zarządzania Zgodnością;</w:t>
      </w:r>
      <w:bookmarkEnd w:id="83"/>
    </w:p>
    <w:p w14:paraId="6854FD74" w14:textId="77777777" w:rsidR="001272EA" w:rsidRPr="001272EA" w:rsidRDefault="001272EA" w:rsidP="001272EA">
      <w:pPr>
        <w:spacing w:after="0" w:line="240" w:lineRule="auto"/>
        <w:ind w:left="-6" w:right="6" w:hanging="11"/>
        <w:outlineLvl w:val="1"/>
        <w:rPr>
          <w:rFonts w:ascii="Times New Roman" w:eastAsia="Times New Roman" w:hAnsi="Times New Roman" w:cs="Times New Roman"/>
          <w:bCs/>
          <w:color w:val="auto"/>
          <w:szCs w:val="24"/>
        </w:rPr>
      </w:pPr>
      <w:bookmarkStart w:id="84" w:name="_Toc75336312"/>
      <w:r w:rsidRPr="001272EA">
        <w:rPr>
          <w:rFonts w:ascii="Times New Roman" w:eastAsia="Times New Roman" w:hAnsi="Times New Roman" w:cs="Times New Roman"/>
          <w:bCs/>
          <w:color w:val="auto"/>
          <w:szCs w:val="24"/>
        </w:rPr>
        <w:t>11)</w:t>
      </w:r>
      <w:r w:rsidRPr="001272EA">
        <w:rPr>
          <w:rFonts w:ascii="Times New Roman" w:eastAsia="Times New Roman" w:hAnsi="Times New Roman" w:cs="Times New Roman"/>
          <w:bCs/>
          <w:color w:val="auto"/>
          <w:szCs w:val="24"/>
        </w:rPr>
        <w:tab/>
        <w:t>Koordynatora Zespołu Audytu Wewnętrznego;</w:t>
      </w:r>
      <w:bookmarkEnd w:id="84"/>
    </w:p>
    <w:p w14:paraId="1F8C46C6" w14:textId="77777777" w:rsidR="001272EA" w:rsidRPr="001272EA" w:rsidRDefault="001272EA" w:rsidP="001272EA">
      <w:pPr>
        <w:spacing w:after="0" w:line="240" w:lineRule="auto"/>
        <w:ind w:left="-6" w:right="6" w:hanging="11"/>
        <w:outlineLvl w:val="1"/>
        <w:rPr>
          <w:rFonts w:ascii="Times New Roman" w:eastAsia="Times New Roman" w:hAnsi="Times New Roman" w:cs="Times New Roman"/>
          <w:bCs/>
          <w:color w:val="auto"/>
          <w:szCs w:val="24"/>
        </w:rPr>
      </w:pPr>
      <w:bookmarkStart w:id="85" w:name="_Toc75336313"/>
      <w:r w:rsidRPr="001272EA">
        <w:rPr>
          <w:rFonts w:ascii="Times New Roman" w:eastAsia="Times New Roman" w:hAnsi="Times New Roman" w:cs="Times New Roman"/>
          <w:bCs/>
          <w:color w:val="auto"/>
          <w:szCs w:val="24"/>
        </w:rPr>
        <w:t>12)</w:t>
      </w:r>
      <w:r w:rsidRPr="001272EA">
        <w:rPr>
          <w:rFonts w:ascii="Times New Roman" w:eastAsia="Times New Roman" w:hAnsi="Times New Roman" w:cs="Times New Roman"/>
          <w:bCs/>
          <w:color w:val="auto"/>
          <w:szCs w:val="24"/>
        </w:rPr>
        <w:tab/>
        <w:t>Dyrektora Oddziału w Piszu;</w:t>
      </w:r>
      <w:bookmarkEnd w:id="85"/>
      <w:r w:rsidRPr="001272EA">
        <w:rPr>
          <w:rFonts w:ascii="Times New Roman" w:eastAsia="Times New Roman" w:hAnsi="Times New Roman" w:cs="Times New Roman"/>
          <w:bCs/>
          <w:color w:val="auto"/>
          <w:szCs w:val="24"/>
        </w:rPr>
        <w:t xml:space="preserve"> </w:t>
      </w:r>
    </w:p>
    <w:p w14:paraId="6383E887" w14:textId="77777777" w:rsidR="001272EA" w:rsidRPr="001272EA" w:rsidRDefault="001272EA" w:rsidP="001272EA">
      <w:pPr>
        <w:spacing w:after="0" w:line="240" w:lineRule="auto"/>
        <w:ind w:left="-6" w:right="6" w:hanging="11"/>
        <w:outlineLvl w:val="1"/>
        <w:rPr>
          <w:rFonts w:ascii="Times New Roman" w:eastAsia="Times New Roman" w:hAnsi="Times New Roman" w:cs="Times New Roman"/>
          <w:bCs/>
          <w:color w:val="auto"/>
          <w:szCs w:val="24"/>
        </w:rPr>
      </w:pPr>
      <w:bookmarkStart w:id="86" w:name="_Toc75336314"/>
      <w:r w:rsidRPr="001272EA">
        <w:rPr>
          <w:rFonts w:ascii="Times New Roman" w:eastAsia="Times New Roman" w:hAnsi="Times New Roman" w:cs="Times New Roman"/>
          <w:bCs/>
          <w:color w:val="auto"/>
          <w:szCs w:val="24"/>
        </w:rPr>
        <w:t>13)</w:t>
      </w:r>
      <w:r w:rsidRPr="001272EA">
        <w:rPr>
          <w:rFonts w:ascii="Times New Roman" w:eastAsia="Times New Roman" w:hAnsi="Times New Roman" w:cs="Times New Roman"/>
          <w:bCs/>
          <w:color w:val="auto"/>
          <w:szCs w:val="24"/>
        </w:rPr>
        <w:tab/>
        <w:t>Dyrektora Oddziału w Olsztynie.</w:t>
      </w:r>
      <w:bookmarkEnd w:id="86"/>
    </w:p>
    <w:p w14:paraId="7F2057F2" w14:textId="09CE16AD" w:rsidR="001272EA" w:rsidRPr="001272EA" w:rsidRDefault="001272EA" w:rsidP="001272EA">
      <w:pPr>
        <w:spacing w:after="272" w:line="268" w:lineRule="auto"/>
        <w:ind w:left="-6" w:right="6" w:hanging="11"/>
        <w:outlineLvl w:val="1"/>
        <w:rPr>
          <w:rFonts w:ascii="Times New Roman" w:eastAsia="Times New Roman" w:hAnsi="Times New Roman" w:cs="Times New Roman"/>
          <w:bCs/>
          <w:color w:val="auto"/>
          <w:sz w:val="20"/>
          <w:szCs w:val="20"/>
        </w:rPr>
      </w:pPr>
      <w:bookmarkStart w:id="87" w:name="_Toc75336315"/>
      <w:r w:rsidRPr="001272EA">
        <w:rPr>
          <w:rFonts w:ascii="Times New Roman" w:eastAsia="Times New Roman" w:hAnsi="Times New Roman" w:cs="Times New Roman"/>
          <w:bCs/>
          <w:color w:val="auto"/>
          <w:sz w:val="20"/>
          <w:szCs w:val="20"/>
        </w:rPr>
        <w:t>Tabela – Zagregowane informacje ilościowe na temat wynagrodzeń, z podziałem  na kadrę kierowniczą wyższego szczebla i prac</w:t>
      </w:r>
      <w:r w:rsidR="00A72CE0">
        <w:rPr>
          <w:rFonts w:ascii="Times New Roman" w:eastAsia="Times New Roman" w:hAnsi="Times New Roman" w:cs="Times New Roman"/>
          <w:bCs/>
          <w:color w:val="auto"/>
          <w:sz w:val="20"/>
          <w:szCs w:val="20"/>
        </w:rPr>
        <w:t>owników, których działania mają</w:t>
      </w:r>
      <w:r w:rsidRPr="001272EA">
        <w:rPr>
          <w:rFonts w:ascii="Times New Roman" w:eastAsia="Times New Roman" w:hAnsi="Times New Roman" w:cs="Times New Roman"/>
          <w:bCs/>
          <w:color w:val="auto"/>
          <w:sz w:val="20"/>
          <w:szCs w:val="20"/>
        </w:rPr>
        <w:t xml:space="preserve"> istotny wpływ na profil ryzyka – 2020 rok (dane w tys. zł)</w:t>
      </w:r>
      <w:bookmarkEnd w:id="87"/>
    </w:p>
    <w:tbl>
      <w:tblPr>
        <w:tblStyle w:val="Tabela-Siatka"/>
        <w:tblW w:w="9381" w:type="dxa"/>
        <w:tblLook w:val="04A0" w:firstRow="1" w:lastRow="0" w:firstColumn="1" w:lastColumn="0" w:noHBand="0" w:noVBand="1"/>
      </w:tblPr>
      <w:tblGrid>
        <w:gridCol w:w="2321"/>
        <w:gridCol w:w="927"/>
        <w:gridCol w:w="1544"/>
        <w:gridCol w:w="1032"/>
        <w:gridCol w:w="1767"/>
        <w:gridCol w:w="1790"/>
      </w:tblGrid>
      <w:tr w:rsidR="001272EA" w:rsidRPr="001272EA" w14:paraId="36E64582" w14:textId="77777777" w:rsidTr="004C4D30">
        <w:trPr>
          <w:trHeight w:val="615"/>
        </w:trPr>
        <w:tc>
          <w:tcPr>
            <w:tcW w:w="2321"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6DAE809" w14:textId="77777777" w:rsidR="001272EA" w:rsidRPr="001272EA" w:rsidRDefault="001272EA" w:rsidP="004C4D30">
            <w:pPr>
              <w:spacing w:after="44" w:line="254" w:lineRule="auto"/>
              <w:jc w:val="center"/>
              <w:rPr>
                <w:rFonts w:ascii="Times New Roman" w:eastAsia="Times New Roman" w:hAnsi="Times New Roman" w:cs="Times New Roman"/>
                <w:b/>
                <w:bCs/>
                <w:color w:val="auto"/>
                <w:szCs w:val="24"/>
              </w:rPr>
            </w:pPr>
            <w:r w:rsidRPr="001272EA">
              <w:rPr>
                <w:rFonts w:ascii="Times New Roman" w:eastAsia="Times New Roman" w:hAnsi="Times New Roman" w:cs="Times New Roman"/>
                <w:b/>
                <w:bCs/>
                <w:color w:val="auto"/>
                <w:szCs w:val="24"/>
              </w:rPr>
              <w:t>Opis</w:t>
            </w:r>
          </w:p>
        </w:tc>
        <w:tc>
          <w:tcPr>
            <w:tcW w:w="52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46454" w14:textId="77777777" w:rsidR="001272EA" w:rsidRPr="001272EA" w:rsidRDefault="001272EA" w:rsidP="004C4D30">
            <w:pPr>
              <w:spacing w:after="44" w:line="254" w:lineRule="auto"/>
              <w:jc w:val="center"/>
              <w:rPr>
                <w:rFonts w:ascii="Times New Roman" w:eastAsia="Times New Roman" w:hAnsi="Times New Roman" w:cs="Times New Roman"/>
                <w:b/>
                <w:bCs/>
                <w:color w:val="auto"/>
                <w:szCs w:val="24"/>
              </w:rPr>
            </w:pPr>
            <w:r w:rsidRPr="001272EA">
              <w:rPr>
                <w:rFonts w:ascii="Times New Roman" w:eastAsia="Times New Roman" w:hAnsi="Times New Roman" w:cs="Times New Roman"/>
                <w:b/>
                <w:bCs/>
                <w:color w:val="auto"/>
                <w:szCs w:val="24"/>
              </w:rPr>
              <w:t>Wynagrodzenie wypłacone w roku 2020</w:t>
            </w:r>
          </w:p>
          <w:p w14:paraId="2E89DA29" w14:textId="77777777" w:rsidR="001272EA" w:rsidRPr="001272EA" w:rsidRDefault="001272EA" w:rsidP="004C4D30">
            <w:pPr>
              <w:spacing w:after="44" w:line="254" w:lineRule="auto"/>
              <w:jc w:val="center"/>
              <w:rPr>
                <w:rFonts w:ascii="Times New Roman" w:eastAsia="Times New Roman" w:hAnsi="Times New Roman" w:cs="Times New Roman"/>
                <w:b/>
                <w:bCs/>
                <w:color w:val="auto"/>
                <w:szCs w:val="24"/>
              </w:rPr>
            </w:pPr>
          </w:p>
        </w:tc>
        <w:tc>
          <w:tcPr>
            <w:tcW w:w="1790"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9832318" w14:textId="77777777" w:rsidR="001272EA" w:rsidRPr="001272EA" w:rsidRDefault="001272EA" w:rsidP="004C4D30">
            <w:pPr>
              <w:spacing w:after="44" w:line="254" w:lineRule="auto"/>
              <w:jc w:val="center"/>
              <w:rPr>
                <w:rFonts w:ascii="Times New Roman" w:eastAsia="Times New Roman" w:hAnsi="Times New Roman" w:cs="Times New Roman"/>
                <w:b/>
                <w:bCs/>
                <w:color w:val="auto"/>
                <w:szCs w:val="24"/>
              </w:rPr>
            </w:pPr>
            <w:r w:rsidRPr="001272EA">
              <w:rPr>
                <w:rFonts w:ascii="Times New Roman" w:eastAsia="Times New Roman" w:hAnsi="Times New Roman" w:cs="Times New Roman"/>
                <w:b/>
                <w:bCs/>
                <w:color w:val="auto"/>
                <w:szCs w:val="24"/>
              </w:rPr>
              <w:t>Stosunek wynagrodzenia zmiennego do stałego</w:t>
            </w:r>
          </w:p>
        </w:tc>
      </w:tr>
      <w:tr w:rsidR="001272EA" w:rsidRPr="001272EA" w14:paraId="6A9840D2" w14:textId="77777777" w:rsidTr="004C4D30">
        <w:trPr>
          <w:trHeight w:val="308"/>
        </w:trPr>
        <w:tc>
          <w:tcPr>
            <w:tcW w:w="0" w:type="auto"/>
            <w:vMerge/>
            <w:tcBorders>
              <w:left w:val="single" w:sz="4" w:space="0" w:color="auto"/>
              <w:right w:val="single" w:sz="4" w:space="0" w:color="auto"/>
            </w:tcBorders>
            <w:shd w:val="clear" w:color="auto" w:fill="D9D9D9" w:themeFill="background1" w:themeFillShade="D9"/>
            <w:vAlign w:val="center"/>
            <w:hideMark/>
          </w:tcPr>
          <w:p w14:paraId="3B055462" w14:textId="77777777" w:rsidR="001272EA" w:rsidRPr="001272EA" w:rsidRDefault="001272EA" w:rsidP="004C4D30">
            <w:pPr>
              <w:spacing w:after="0" w:line="240" w:lineRule="auto"/>
              <w:ind w:left="0" w:right="0" w:firstLine="0"/>
              <w:jc w:val="left"/>
              <w:rPr>
                <w:rFonts w:ascii="Times New Roman" w:eastAsia="Times New Roman" w:hAnsi="Times New Roman" w:cs="Times New Roman"/>
                <w:color w:val="auto"/>
                <w:szCs w:val="24"/>
              </w:rPr>
            </w:pPr>
          </w:p>
        </w:tc>
        <w:tc>
          <w:tcPr>
            <w:tcW w:w="927"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56830A5E" w14:textId="77777777" w:rsidR="001272EA" w:rsidRPr="001272EA" w:rsidRDefault="001272EA" w:rsidP="004C4D30">
            <w:pPr>
              <w:spacing w:after="44" w:line="254" w:lineRule="auto"/>
              <w:jc w:val="center"/>
              <w:rPr>
                <w:rFonts w:ascii="Times New Roman" w:eastAsia="Times New Roman" w:hAnsi="Times New Roman" w:cs="Times New Roman"/>
                <w:b/>
                <w:bCs/>
                <w:color w:val="auto"/>
                <w:szCs w:val="24"/>
              </w:rPr>
            </w:pPr>
            <w:r w:rsidRPr="001272EA">
              <w:rPr>
                <w:rFonts w:ascii="Times New Roman" w:eastAsia="Times New Roman" w:hAnsi="Times New Roman" w:cs="Times New Roman"/>
                <w:b/>
                <w:bCs/>
                <w:color w:val="auto"/>
                <w:szCs w:val="24"/>
              </w:rPr>
              <w:t>Razem</w:t>
            </w:r>
          </w:p>
        </w:tc>
        <w:tc>
          <w:tcPr>
            <w:tcW w:w="154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C319F06" w14:textId="77777777" w:rsidR="001272EA" w:rsidRPr="001272EA" w:rsidRDefault="001272EA" w:rsidP="004C4D30">
            <w:pPr>
              <w:spacing w:after="44" w:line="254" w:lineRule="auto"/>
              <w:jc w:val="center"/>
              <w:rPr>
                <w:rFonts w:ascii="Times New Roman" w:eastAsia="Times New Roman" w:hAnsi="Times New Roman" w:cs="Times New Roman"/>
                <w:b/>
                <w:bCs/>
                <w:color w:val="auto"/>
                <w:szCs w:val="24"/>
              </w:rPr>
            </w:pPr>
            <w:r w:rsidRPr="001272EA">
              <w:rPr>
                <w:rFonts w:ascii="Times New Roman" w:eastAsia="Times New Roman" w:hAnsi="Times New Roman" w:cs="Times New Roman"/>
                <w:b/>
                <w:bCs/>
                <w:color w:val="auto"/>
                <w:szCs w:val="24"/>
              </w:rPr>
              <w:t>Liczba osób</w:t>
            </w:r>
          </w:p>
        </w:tc>
        <w:tc>
          <w:tcPr>
            <w:tcW w:w="27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E9215" w14:textId="77777777" w:rsidR="001272EA" w:rsidRPr="001272EA" w:rsidRDefault="001272EA" w:rsidP="004C4D30">
            <w:pPr>
              <w:spacing w:after="44" w:line="254" w:lineRule="auto"/>
              <w:jc w:val="center"/>
              <w:rPr>
                <w:rFonts w:ascii="Times New Roman" w:eastAsia="Times New Roman" w:hAnsi="Times New Roman" w:cs="Times New Roman"/>
                <w:b/>
                <w:bCs/>
                <w:color w:val="auto"/>
                <w:szCs w:val="24"/>
              </w:rPr>
            </w:pPr>
            <w:r w:rsidRPr="001272EA">
              <w:rPr>
                <w:rFonts w:ascii="Times New Roman" w:eastAsia="Times New Roman" w:hAnsi="Times New Roman" w:cs="Times New Roman"/>
                <w:b/>
                <w:bCs/>
                <w:color w:val="auto"/>
                <w:szCs w:val="24"/>
              </w:rPr>
              <w:t>Składniki wynagrodzenia</w:t>
            </w:r>
          </w:p>
        </w:tc>
        <w:tc>
          <w:tcPr>
            <w:tcW w:w="0" w:type="auto"/>
            <w:vMerge/>
            <w:tcBorders>
              <w:left w:val="single" w:sz="4" w:space="0" w:color="auto"/>
              <w:right w:val="single" w:sz="4" w:space="0" w:color="auto"/>
            </w:tcBorders>
            <w:vAlign w:val="center"/>
            <w:hideMark/>
          </w:tcPr>
          <w:p w14:paraId="4226EE7E" w14:textId="77777777" w:rsidR="001272EA" w:rsidRPr="001272EA" w:rsidRDefault="001272EA" w:rsidP="004C4D30">
            <w:pPr>
              <w:spacing w:after="0" w:line="240" w:lineRule="auto"/>
              <w:ind w:left="0" w:right="0" w:firstLine="0"/>
              <w:jc w:val="left"/>
              <w:rPr>
                <w:rFonts w:ascii="Times New Roman" w:eastAsia="Times New Roman" w:hAnsi="Times New Roman" w:cs="Times New Roman"/>
                <w:color w:val="auto"/>
                <w:szCs w:val="24"/>
              </w:rPr>
            </w:pPr>
          </w:p>
        </w:tc>
      </w:tr>
      <w:tr w:rsidR="001272EA" w:rsidRPr="001272EA" w14:paraId="0BF621E2" w14:textId="77777777" w:rsidTr="004C4D30">
        <w:trPr>
          <w:trHeight w:val="307"/>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6DFBAB74" w14:textId="77777777" w:rsidR="001272EA" w:rsidRPr="001272EA" w:rsidRDefault="001272EA" w:rsidP="004C4D30">
            <w:pPr>
              <w:spacing w:after="0" w:line="240" w:lineRule="auto"/>
              <w:ind w:left="0" w:right="0" w:firstLine="0"/>
              <w:jc w:val="left"/>
              <w:rPr>
                <w:rFonts w:ascii="Times New Roman" w:eastAsia="Times New Roman" w:hAnsi="Times New Roman" w:cs="Times New Roman"/>
                <w:color w:val="auto"/>
                <w:szCs w:val="24"/>
              </w:rPr>
            </w:pPr>
          </w:p>
        </w:tc>
        <w:tc>
          <w:tcPr>
            <w:tcW w:w="92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AED61F2" w14:textId="77777777" w:rsidR="001272EA" w:rsidRPr="001272EA" w:rsidRDefault="001272EA" w:rsidP="004C4D30">
            <w:pPr>
              <w:spacing w:after="44" w:line="254" w:lineRule="auto"/>
              <w:jc w:val="center"/>
              <w:rPr>
                <w:rFonts w:ascii="Times New Roman" w:eastAsia="Times New Roman" w:hAnsi="Times New Roman" w:cs="Times New Roman"/>
                <w:b/>
                <w:bCs/>
                <w:color w:val="auto"/>
                <w:szCs w:val="24"/>
              </w:rPr>
            </w:pPr>
          </w:p>
        </w:tc>
        <w:tc>
          <w:tcPr>
            <w:tcW w:w="154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FD374D4" w14:textId="77777777" w:rsidR="001272EA" w:rsidRPr="001272EA" w:rsidRDefault="001272EA" w:rsidP="004C4D30">
            <w:pPr>
              <w:spacing w:after="44" w:line="254" w:lineRule="auto"/>
              <w:jc w:val="center"/>
              <w:rPr>
                <w:rFonts w:ascii="Times New Roman" w:eastAsia="Times New Roman" w:hAnsi="Times New Roman" w:cs="Times New Roman"/>
                <w:b/>
                <w:bCs/>
                <w:color w:val="auto"/>
                <w:szCs w:val="24"/>
              </w:rPr>
            </w:pPr>
          </w:p>
        </w:tc>
        <w:tc>
          <w:tcPr>
            <w:tcW w:w="1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5C2DA" w14:textId="77777777" w:rsidR="001272EA" w:rsidRPr="001272EA" w:rsidRDefault="001272EA" w:rsidP="004C4D30">
            <w:pPr>
              <w:spacing w:after="44" w:line="254" w:lineRule="auto"/>
              <w:jc w:val="center"/>
              <w:rPr>
                <w:rFonts w:ascii="Times New Roman" w:eastAsia="Times New Roman" w:hAnsi="Times New Roman" w:cs="Times New Roman"/>
                <w:b/>
                <w:bCs/>
                <w:color w:val="auto"/>
                <w:szCs w:val="24"/>
              </w:rPr>
            </w:pPr>
            <w:r w:rsidRPr="001272EA">
              <w:rPr>
                <w:rFonts w:ascii="Times New Roman" w:eastAsia="Times New Roman" w:hAnsi="Times New Roman" w:cs="Times New Roman"/>
                <w:b/>
                <w:bCs/>
                <w:color w:val="auto"/>
                <w:szCs w:val="24"/>
              </w:rPr>
              <w:t>stałe</w:t>
            </w:r>
          </w:p>
        </w:tc>
        <w:tc>
          <w:tcPr>
            <w:tcW w:w="1767" w:type="dxa"/>
            <w:tcBorders>
              <w:left w:val="single" w:sz="4" w:space="0" w:color="auto"/>
              <w:bottom w:val="single" w:sz="4" w:space="0" w:color="auto"/>
              <w:right w:val="single" w:sz="4" w:space="0" w:color="auto"/>
            </w:tcBorders>
            <w:shd w:val="clear" w:color="auto" w:fill="D9D9D9" w:themeFill="background1" w:themeFillShade="D9"/>
            <w:vAlign w:val="center"/>
          </w:tcPr>
          <w:p w14:paraId="4F811D3B" w14:textId="77777777" w:rsidR="001272EA" w:rsidRPr="001272EA" w:rsidRDefault="001272EA" w:rsidP="004C4D30">
            <w:pPr>
              <w:spacing w:after="44" w:line="254" w:lineRule="auto"/>
              <w:jc w:val="center"/>
              <w:rPr>
                <w:rFonts w:ascii="Times New Roman" w:eastAsia="Times New Roman" w:hAnsi="Times New Roman" w:cs="Times New Roman"/>
                <w:b/>
                <w:bCs/>
                <w:color w:val="auto"/>
                <w:szCs w:val="24"/>
              </w:rPr>
            </w:pPr>
            <w:r w:rsidRPr="001272EA">
              <w:rPr>
                <w:rFonts w:ascii="Times New Roman" w:eastAsia="Times New Roman" w:hAnsi="Times New Roman" w:cs="Times New Roman"/>
                <w:b/>
                <w:bCs/>
                <w:color w:val="auto"/>
                <w:szCs w:val="24"/>
              </w:rPr>
              <w:t>zmienne</w:t>
            </w:r>
          </w:p>
        </w:tc>
        <w:tc>
          <w:tcPr>
            <w:tcW w:w="0" w:type="auto"/>
            <w:vMerge/>
            <w:tcBorders>
              <w:left w:val="single" w:sz="4" w:space="0" w:color="auto"/>
              <w:bottom w:val="single" w:sz="4" w:space="0" w:color="auto"/>
              <w:right w:val="single" w:sz="4" w:space="0" w:color="auto"/>
            </w:tcBorders>
            <w:vAlign w:val="center"/>
          </w:tcPr>
          <w:p w14:paraId="274B39D3" w14:textId="77777777" w:rsidR="001272EA" w:rsidRPr="001272EA" w:rsidRDefault="001272EA" w:rsidP="004C4D30">
            <w:pPr>
              <w:spacing w:after="0" w:line="240" w:lineRule="auto"/>
              <w:ind w:left="0" w:right="0" w:firstLine="0"/>
              <w:jc w:val="left"/>
              <w:rPr>
                <w:rFonts w:ascii="Times New Roman" w:eastAsia="Times New Roman" w:hAnsi="Times New Roman" w:cs="Times New Roman"/>
                <w:color w:val="auto"/>
                <w:szCs w:val="24"/>
              </w:rPr>
            </w:pPr>
          </w:p>
        </w:tc>
      </w:tr>
      <w:tr w:rsidR="001272EA" w:rsidRPr="001272EA" w14:paraId="54EFC666" w14:textId="77777777" w:rsidTr="004C4D30">
        <w:trPr>
          <w:trHeight w:val="637"/>
        </w:trPr>
        <w:tc>
          <w:tcPr>
            <w:tcW w:w="2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7E807D" w14:textId="77777777" w:rsidR="001272EA" w:rsidRPr="001272EA" w:rsidRDefault="001272EA" w:rsidP="004C4D30">
            <w:pPr>
              <w:spacing w:after="44" w:line="254" w:lineRule="auto"/>
              <w:jc w:val="center"/>
              <w:rPr>
                <w:rFonts w:ascii="Times New Roman" w:eastAsia="Times New Roman" w:hAnsi="Times New Roman" w:cs="Times New Roman"/>
                <w:b/>
                <w:bCs/>
                <w:color w:val="auto"/>
                <w:szCs w:val="24"/>
              </w:rPr>
            </w:pPr>
            <w:r w:rsidRPr="001272EA">
              <w:rPr>
                <w:rFonts w:ascii="Times New Roman" w:eastAsia="Times New Roman" w:hAnsi="Times New Roman" w:cs="Times New Roman"/>
                <w:b/>
                <w:bCs/>
                <w:color w:val="auto"/>
                <w:szCs w:val="24"/>
              </w:rPr>
              <w:t>Zarząd</w:t>
            </w:r>
          </w:p>
        </w:tc>
        <w:tc>
          <w:tcPr>
            <w:tcW w:w="927" w:type="dxa"/>
            <w:tcBorders>
              <w:top w:val="single" w:sz="4" w:space="0" w:color="auto"/>
              <w:left w:val="single" w:sz="4" w:space="0" w:color="auto"/>
              <w:bottom w:val="single" w:sz="4" w:space="0" w:color="auto"/>
              <w:right w:val="single" w:sz="4" w:space="0" w:color="auto"/>
            </w:tcBorders>
            <w:vAlign w:val="center"/>
            <w:hideMark/>
          </w:tcPr>
          <w:p w14:paraId="1C142DC1" w14:textId="77777777" w:rsidR="001272EA" w:rsidRPr="001272EA" w:rsidRDefault="001272EA" w:rsidP="004C4D30">
            <w:pPr>
              <w:spacing w:after="44" w:line="254"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1 849</w:t>
            </w:r>
          </w:p>
        </w:tc>
        <w:tc>
          <w:tcPr>
            <w:tcW w:w="1544" w:type="dxa"/>
            <w:tcBorders>
              <w:top w:val="single" w:sz="4" w:space="0" w:color="auto"/>
              <w:left w:val="single" w:sz="4" w:space="0" w:color="auto"/>
              <w:bottom w:val="single" w:sz="4" w:space="0" w:color="auto"/>
              <w:right w:val="single" w:sz="4" w:space="0" w:color="auto"/>
            </w:tcBorders>
            <w:vAlign w:val="center"/>
            <w:hideMark/>
          </w:tcPr>
          <w:p w14:paraId="4D2BFFC8" w14:textId="77777777" w:rsidR="001272EA" w:rsidRPr="001272EA" w:rsidRDefault="001272EA" w:rsidP="004C4D30">
            <w:pPr>
              <w:spacing w:after="44" w:line="254"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4</w:t>
            </w:r>
          </w:p>
        </w:tc>
        <w:tc>
          <w:tcPr>
            <w:tcW w:w="1032" w:type="dxa"/>
            <w:tcBorders>
              <w:top w:val="single" w:sz="4" w:space="0" w:color="auto"/>
              <w:left w:val="single" w:sz="4" w:space="0" w:color="auto"/>
              <w:bottom w:val="single" w:sz="4" w:space="0" w:color="auto"/>
              <w:right w:val="single" w:sz="4" w:space="0" w:color="auto"/>
            </w:tcBorders>
            <w:vAlign w:val="center"/>
            <w:hideMark/>
          </w:tcPr>
          <w:p w14:paraId="2C007E1D" w14:textId="77777777" w:rsidR="001272EA" w:rsidRPr="001272EA" w:rsidRDefault="001272EA" w:rsidP="004C4D30">
            <w:pPr>
              <w:spacing w:after="44" w:line="254"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1 309</w:t>
            </w:r>
          </w:p>
        </w:tc>
        <w:tc>
          <w:tcPr>
            <w:tcW w:w="1767" w:type="dxa"/>
            <w:tcBorders>
              <w:top w:val="single" w:sz="4" w:space="0" w:color="auto"/>
              <w:left w:val="single" w:sz="4" w:space="0" w:color="auto"/>
              <w:bottom w:val="single" w:sz="4" w:space="0" w:color="auto"/>
              <w:right w:val="single" w:sz="4" w:space="0" w:color="auto"/>
            </w:tcBorders>
            <w:vAlign w:val="center"/>
            <w:hideMark/>
          </w:tcPr>
          <w:p w14:paraId="29F2EBF0" w14:textId="77777777" w:rsidR="001272EA" w:rsidRPr="001272EA" w:rsidRDefault="001272EA" w:rsidP="004C4D30">
            <w:pPr>
              <w:spacing w:after="44" w:line="254"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540*</w:t>
            </w:r>
          </w:p>
        </w:tc>
        <w:tc>
          <w:tcPr>
            <w:tcW w:w="1790" w:type="dxa"/>
            <w:tcBorders>
              <w:top w:val="single" w:sz="4" w:space="0" w:color="auto"/>
              <w:left w:val="single" w:sz="4" w:space="0" w:color="auto"/>
              <w:bottom w:val="single" w:sz="4" w:space="0" w:color="auto"/>
              <w:right w:val="single" w:sz="4" w:space="0" w:color="auto"/>
            </w:tcBorders>
            <w:vAlign w:val="center"/>
            <w:hideMark/>
          </w:tcPr>
          <w:p w14:paraId="67522203" w14:textId="77777777" w:rsidR="001272EA" w:rsidRPr="001272EA" w:rsidRDefault="001272EA" w:rsidP="004C4D30">
            <w:pPr>
              <w:spacing w:after="44" w:line="254"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41,3%</w:t>
            </w:r>
          </w:p>
        </w:tc>
      </w:tr>
      <w:tr w:rsidR="001272EA" w:rsidRPr="001272EA" w14:paraId="00D404A3" w14:textId="77777777" w:rsidTr="004C4D30">
        <w:trPr>
          <w:trHeight w:val="622"/>
        </w:trPr>
        <w:tc>
          <w:tcPr>
            <w:tcW w:w="2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9B13D2" w14:textId="77777777" w:rsidR="001272EA" w:rsidRPr="001272EA" w:rsidRDefault="001272EA" w:rsidP="004C4D30">
            <w:pPr>
              <w:spacing w:after="44" w:line="254" w:lineRule="auto"/>
              <w:jc w:val="center"/>
              <w:rPr>
                <w:rFonts w:ascii="Times New Roman" w:eastAsia="Times New Roman" w:hAnsi="Times New Roman" w:cs="Times New Roman"/>
                <w:b/>
                <w:bCs/>
                <w:color w:val="auto"/>
                <w:szCs w:val="24"/>
              </w:rPr>
            </w:pPr>
            <w:r w:rsidRPr="001272EA">
              <w:rPr>
                <w:rFonts w:ascii="Times New Roman" w:eastAsia="Times New Roman" w:hAnsi="Times New Roman" w:cs="Times New Roman"/>
                <w:b/>
                <w:bCs/>
                <w:color w:val="auto"/>
                <w:szCs w:val="24"/>
              </w:rPr>
              <w:t>Inne osoby istotnie wpływające na profil ryzyka</w:t>
            </w:r>
          </w:p>
        </w:tc>
        <w:tc>
          <w:tcPr>
            <w:tcW w:w="927" w:type="dxa"/>
            <w:tcBorders>
              <w:top w:val="single" w:sz="4" w:space="0" w:color="auto"/>
              <w:left w:val="single" w:sz="4" w:space="0" w:color="auto"/>
              <w:bottom w:val="single" w:sz="4" w:space="0" w:color="auto"/>
              <w:right w:val="single" w:sz="4" w:space="0" w:color="auto"/>
            </w:tcBorders>
            <w:vAlign w:val="center"/>
            <w:hideMark/>
          </w:tcPr>
          <w:p w14:paraId="11540DD3" w14:textId="77777777" w:rsidR="001272EA" w:rsidRPr="001272EA" w:rsidRDefault="001272EA" w:rsidP="004C4D30">
            <w:pPr>
              <w:spacing w:after="44" w:line="254"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1 014</w:t>
            </w:r>
          </w:p>
        </w:tc>
        <w:tc>
          <w:tcPr>
            <w:tcW w:w="1544" w:type="dxa"/>
            <w:tcBorders>
              <w:top w:val="single" w:sz="4" w:space="0" w:color="auto"/>
              <w:left w:val="single" w:sz="4" w:space="0" w:color="auto"/>
              <w:bottom w:val="single" w:sz="4" w:space="0" w:color="auto"/>
              <w:right w:val="single" w:sz="4" w:space="0" w:color="auto"/>
            </w:tcBorders>
            <w:vAlign w:val="center"/>
            <w:hideMark/>
          </w:tcPr>
          <w:p w14:paraId="60A30369" w14:textId="77777777" w:rsidR="001272EA" w:rsidRPr="001272EA" w:rsidRDefault="001272EA" w:rsidP="004C4D30">
            <w:pPr>
              <w:spacing w:after="44" w:line="254"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10</w:t>
            </w:r>
          </w:p>
        </w:tc>
        <w:tc>
          <w:tcPr>
            <w:tcW w:w="1032" w:type="dxa"/>
            <w:tcBorders>
              <w:top w:val="single" w:sz="4" w:space="0" w:color="auto"/>
              <w:left w:val="single" w:sz="4" w:space="0" w:color="auto"/>
              <w:bottom w:val="single" w:sz="4" w:space="0" w:color="auto"/>
              <w:right w:val="single" w:sz="4" w:space="0" w:color="auto"/>
            </w:tcBorders>
            <w:vAlign w:val="center"/>
            <w:hideMark/>
          </w:tcPr>
          <w:p w14:paraId="68C6AFFB" w14:textId="77777777" w:rsidR="001272EA" w:rsidRPr="001272EA" w:rsidRDefault="001272EA" w:rsidP="004C4D30">
            <w:pPr>
              <w:spacing w:after="44" w:line="254"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834</w:t>
            </w:r>
          </w:p>
        </w:tc>
        <w:tc>
          <w:tcPr>
            <w:tcW w:w="1767" w:type="dxa"/>
            <w:tcBorders>
              <w:top w:val="single" w:sz="4" w:space="0" w:color="auto"/>
              <w:left w:val="single" w:sz="4" w:space="0" w:color="auto"/>
              <w:bottom w:val="single" w:sz="4" w:space="0" w:color="auto"/>
              <w:right w:val="single" w:sz="4" w:space="0" w:color="auto"/>
            </w:tcBorders>
            <w:vAlign w:val="center"/>
            <w:hideMark/>
          </w:tcPr>
          <w:p w14:paraId="295A0C0C" w14:textId="77777777" w:rsidR="001272EA" w:rsidRPr="001272EA" w:rsidRDefault="001272EA" w:rsidP="004C4D30">
            <w:pPr>
              <w:spacing w:after="44" w:line="254"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180*</w:t>
            </w:r>
          </w:p>
        </w:tc>
        <w:tc>
          <w:tcPr>
            <w:tcW w:w="1790" w:type="dxa"/>
            <w:tcBorders>
              <w:top w:val="single" w:sz="4" w:space="0" w:color="auto"/>
              <w:left w:val="single" w:sz="4" w:space="0" w:color="auto"/>
              <w:bottom w:val="single" w:sz="4" w:space="0" w:color="auto"/>
              <w:right w:val="single" w:sz="4" w:space="0" w:color="auto"/>
            </w:tcBorders>
            <w:vAlign w:val="center"/>
            <w:hideMark/>
          </w:tcPr>
          <w:p w14:paraId="7E8CF65B" w14:textId="77777777" w:rsidR="001272EA" w:rsidRPr="001272EA" w:rsidRDefault="001272EA" w:rsidP="004C4D30">
            <w:pPr>
              <w:spacing w:after="44" w:line="254"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21,6%</w:t>
            </w:r>
          </w:p>
        </w:tc>
      </w:tr>
      <w:tr w:rsidR="001272EA" w:rsidRPr="001272EA" w14:paraId="5C1A11E6" w14:textId="77777777" w:rsidTr="004C4D30">
        <w:trPr>
          <w:trHeight w:val="622"/>
        </w:trPr>
        <w:tc>
          <w:tcPr>
            <w:tcW w:w="2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C29331" w14:textId="77777777" w:rsidR="001272EA" w:rsidRPr="001272EA" w:rsidRDefault="001272EA" w:rsidP="004C4D30">
            <w:pPr>
              <w:spacing w:after="44" w:line="254" w:lineRule="auto"/>
              <w:jc w:val="center"/>
              <w:rPr>
                <w:rFonts w:ascii="Times New Roman" w:eastAsia="Times New Roman" w:hAnsi="Times New Roman" w:cs="Times New Roman"/>
                <w:b/>
                <w:bCs/>
                <w:color w:val="auto"/>
                <w:szCs w:val="24"/>
              </w:rPr>
            </w:pPr>
            <w:r w:rsidRPr="001272EA">
              <w:rPr>
                <w:rFonts w:ascii="Times New Roman" w:eastAsia="Times New Roman" w:hAnsi="Times New Roman" w:cs="Times New Roman"/>
                <w:b/>
                <w:bCs/>
                <w:color w:val="auto"/>
                <w:szCs w:val="24"/>
              </w:rPr>
              <w:t>Razem</w:t>
            </w:r>
          </w:p>
        </w:tc>
        <w:tc>
          <w:tcPr>
            <w:tcW w:w="927" w:type="dxa"/>
            <w:tcBorders>
              <w:top w:val="single" w:sz="4" w:space="0" w:color="auto"/>
              <w:left w:val="single" w:sz="4" w:space="0" w:color="auto"/>
              <w:bottom w:val="single" w:sz="4" w:space="0" w:color="auto"/>
              <w:right w:val="single" w:sz="4" w:space="0" w:color="auto"/>
            </w:tcBorders>
            <w:vAlign w:val="center"/>
          </w:tcPr>
          <w:p w14:paraId="23959E90" w14:textId="77777777" w:rsidR="001272EA" w:rsidRPr="001272EA" w:rsidRDefault="001272EA" w:rsidP="004C4D30">
            <w:pPr>
              <w:spacing w:after="44" w:line="254"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2 863</w:t>
            </w:r>
          </w:p>
        </w:tc>
        <w:tc>
          <w:tcPr>
            <w:tcW w:w="1544" w:type="dxa"/>
            <w:tcBorders>
              <w:top w:val="single" w:sz="4" w:space="0" w:color="auto"/>
              <w:left w:val="single" w:sz="4" w:space="0" w:color="auto"/>
              <w:bottom w:val="single" w:sz="4" w:space="0" w:color="auto"/>
              <w:right w:val="single" w:sz="4" w:space="0" w:color="auto"/>
            </w:tcBorders>
            <w:vAlign w:val="center"/>
          </w:tcPr>
          <w:p w14:paraId="3DF0BE7F" w14:textId="77777777" w:rsidR="001272EA" w:rsidRPr="001272EA" w:rsidRDefault="001272EA" w:rsidP="004C4D30">
            <w:pPr>
              <w:spacing w:after="44" w:line="254"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14</w:t>
            </w:r>
          </w:p>
        </w:tc>
        <w:tc>
          <w:tcPr>
            <w:tcW w:w="1032" w:type="dxa"/>
            <w:tcBorders>
              <w:top w:val="single" w:sz="4" w:space="0" w:color="auto"/>
              <w:left w:val="single" w:sz="4" w:space="0" w:color="auto"/>
              <w:bottom w:val="single" w:sz="4" w:space="0" w:color="auto"/>
              <w:right w:val="single" w:sz="4" w:space="0" w:color="auto"/>
            </w:tcBorders>
            <w:vAlign w:val="center"/>
          </w:tcPr>
          <w:p w14:paraId="57C8F337" w14:textId="77777777" w:rsidR="001272EA" w:rsidRPr="001272EA" w:rsidRDefault="001272EA" w:rsidP="004C4D30">
            <w:pPr>
              <w:spacing w:after="44" w:line="254"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2 143</w:t>
            </w:r>
          </w:p>
        </w:tc>
        <w:tc>
          <w:tcPr>
            <w:tcW w:w="1767" w:type="dxa"/>
            <w:tcBorders>
              <w:top w:val="single" w:sz="4" w:space="0" w:color="auto"/>
              <w:left w:val="single" w:sz="4" w:space="0" w:color="auto"/>
              <w:bottom w:val="single" w:sz="4" w:space="0" w:color="auto"/>
              <w:right w:val="single" w:sz="4" w:space="0" w:color="auto"/>
            </w:tcBorders>
            <w:vAlign w:val="center"/>
          </w:tcPr>
          <w:p w14:paraId="53276018" w14:textId="77777777" w:rsidR="001272EA" w:rsidRPr="001272EA" w:rsidRDefault="001272EA" w:rsidP="004C4D30">
            <w:pPr>
              <w:spacing w:after="44" w:line="254" w:lineRule="auto"/>
              <w:jc w:val="center"/>
              <w:rPr>
                <w:rFonts w:ascii="Times New Roman" w:eastAsia="Times New Roman" w:hAnsi="Times New Roman" w:cs="Times New Roman"/>
                <w:b/>
                <w:color w:val="auto"/>
                <w:szCs w:val="24"/>
              </w:rPr>
            </w:pPr>
            <w:r w:rsidRPr="001272EA">
              <w:rPr>
                <w:rFonts w:ascii="Times New Roman" w:eastAsia="Times New Roman" w:hAnsi="Times New Roman" w:cs="Times New Roman"/>
                <w:b/>
                <w:color w:val="auto"/>
                <w:szCs w:val="24"/>
              </w:rPr>
              <w:t>720</w:t>
            </w:r>
          </w:p>
        </w:tc>
        <w:tc>
          <w:tcPr>
            <w:tcW w:w="1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E4DC4" w14:textId="77777777" w:rsidR="001272EA" w:rsidRPr="001272EA" w:rsidRDefault="001272EA" w:rsidP="004C4D30">
            <w:pPr>
              <w:spacing w:after="44" w:line="254" w:lineRule="auto"/>
              <w:jc w:val="center"/>
              <w:rPr>
                <w:rFonts w:ascii="Times New Roman" w:eastAsia="Times New Roman" w:hAnsi="Times New Roman" w:cs="Times New Roman"/>
                <w:b/>
                <w:color w:val="auto"/>
                <w:szCs w:val="24"/>
              </w:rPr>
            </w:pPr>
          </w:p>
        </w:tc>
      </w:tr>
    </w:tbl>
    <w:p w14:paraId="6F2D7925" w14:textId="59783E53" w:rsidR="001272EA" w:rsidRPr="001272EA" w:rsidRDefault="001272EA" w:rsidP="001272EA">
      <w:pPr>
        <w:spacing w:after="272" w:line="240" w:lineRule="auto"/>
        <w:ind w:right="6"/>
        <w:outlineLvl w:val="1"/>
        <w:rPr>
          <w:rFonts w:ascii="Times New Roman" w:eastAsia="Times New Roman" w:hAnsi="Times New Roman" w:cs="Times New Roman"/>
          <w:bCs/>
          <w:i/>
          <w:iCs/>
          <w:strike/>
          <w:color w:val="auto"/>
          <w:sz w:val="20"/>
          <w:szCs w:val="20"/>
        </w:rPr>
      </w:pPr>
      <w:bookmarkStart w:id="88" w:name="_Toc75336316"/>
      <w:r w:rsidRPr="001272EA">
        <w:rPr>
          <w:rFonts w:ascii="Times New Roman" w:eastAsia="Times New Roman" w:hAnsi="Times New Roman" w:cs="Times New Roman"/>
          <w:bCs/>
          <w:i/>
          <w:iCs/>
          <w:color w:val="auto"/>
          <w:sz w:val="20"/>
          <w:szCs w:val="20"/>
          <w:vertAlign w:val="superscript"/>
        </w:rPr>
        <w:t>*</w:t>
      </w:r>
      <w:r w:rsidRPr="001272EA">
        <w:rPr>
          <w:rFonts w:ascii="Times New Roman" w:eastAsia="Times New Roman" w:hAnsi="Times New Roman" w:cs="Times New Roman"/>
          <w:bCs/>
          <w:i/>
          <w:iCs/>
          <w:color w:val="auto"/>
          <w:sz w:val="20"/>
          <w:szCs w:val="20"/>
        </w:rPr>
        <w:t>Wynagrodzenie zmienne wypłacone w 2020 roku, dotyczy roku 2019</w:t>
      </w:r>
      <w:bookmarkEnd w:id="88"/>
    </w:p>
    <w:p w14:paraId="2B388DF1" w14:textId="77777777" w:rsidR="003A635E" w:rsidRPr="001272EA" w:rsidRDefault="003A635E" w:rsidP="003A635E">
      <w:pPr>
        <w:pStyle w:val="Nagwek2"/>
        <w:ind w:left="-5" w:right="7"/>
        <w:rPr>
          <w:rFonts w:ascii="Times New Roman" w:hAnsi="Times New Roman" w:cs="Times New Roman"/>
          <w:color w:val="auto"/>
        </w:rPr>
      </w:pPr>
      <w:bookmarkStart w:id="89" w:name="_Toc75336317"/>
      <w:r w:rsidRPr="001272EA">
        <w:rPr>
          <w:rFonts w:ascii="Times New Roman" w:hAnsi="Times New Roman" w:cs="Times New Roman"/>
          <w:color w:val="auto"/>
        </w:rPr>
        <w:lastRenderedPageBreak/>
        <w:t>17.9. Liczba osób, które otrzymały wynagrodzenie w wysokości co najmniej 1 mln EUR w danym roku obrachunkowym: dla wynagrodzeń w przedziale między 1 mln EUR a 5 mln EUR – w podziale na przedziały wynagrodzeń o wielkości 500 000 EUR, a dla wynagrodzeń wyższych niż 5 mln EUR – w podziale na przedziały wynagrodzeń o wielkości 1 mln EUR</w:t>
      </w:r>
      <w:bookmarkEnd w:id="89"/>
    </w:p>
    <w:p w14:paraId="7CC2E54B" w14:textId="77777777" w:rsidR="001272EA" w:rsidRPr="007F17A2" w:rsidRDefault="001272EA" w:rsidP="001272EA">
      <w:pPr>
        <w:spacing w:after="190" w:line="276" w:lineRule="auto"/>
        <w:ind w:left="-6" w:right="6" w:hanging="11"/>
        <w:rPr>
          <w:rFonts w:ascii="Times New Roman" w:hAnsi="Times New Roman" w:cs="Times New Roman"/>
          <w:color w:val="auto"/>
        </w:rPr>
      </w:pPr>
      <w:r w:rsidRPr="001272EA">
        <w:rPr>
          <w:rFonts w:ascii="Times New Roman" w:hAnsi="Times New Roman" w:cs="Times New Roman"/>
          <w:color w:val="auto"/>
        </w:rPr>
        <w:t xml:space="preserve">Bank nie zatrudniał osób, których </w:t>
      </w:r>
      <w:r w:rsidRPr="007F17A2">
        <w:rPr>
          <w:rFonts w:ascii="Times New Roman" w:hAnsi="Times New Roman" w:cs="Times New Roman"/>
          <w:color w:val="auto"/>
        </w:rPr>
        <w:t>łączne wynagrodzenie wypłacone w roku 2020 przekroczyło równowartość 1 mln EUR.</w:t>
      </w:r>
    </w:p>
    <w:p w14:paraId="66E0005F" w14:textId="77777777" w:rsidR="002C50F6" w:rsidRPr="00ED5810" w:rsidRDefault="00E81BF6">
      <w:pPr>
        <w:pStyle w:val="Nagwek1"/>
        <w:ind w:left="-5" w:right="7"/>
        <w:rPr>
          <w:rFonts w:ascii="Times New Roman" w:hAnsi="Times New Roman" w:cs="Times New Roman"/>
          <w:color w:val="auto"/>
        </w:rPr>
      </w:pPr>
      <w:bookmarkStart w:id="90" w:name="_Toc75336318"/>
      <w:r w:rsidRPr="00ED5810">
        <w:rPr>
          <w:rFonts w:ascii="Times New Roman" w:hAnsi="Times New Roman" w:cs="Times New Roman"/>
          <w:color w:val="auto"/>
        </w:rPr>
        <w:t>18. Dźwignia finansowa – art. 451 Rozporządzenia CRR</w:t>
      </w:r>
      <w:bookmarkEnd w:id="90"/>
    </w:p>
    <w:p w14:paraId="4D8FF63E" w14:textId="77777777" w:rsidR="00ED5810" w:rsidRPr="007F07EA" w:rsidRDefault="00ED5810" w:rsidP="00ED5810">
      <w:pPr>
        <w:spacing w:after="120" w:line="276" w:lineRule="auto"/>
        <w:ind w:left="-6" w:right="6" w:hanging="11"/>
        <w:rPr>
          <w:rFonts w:ascii="Times New Roman" w:hAnsi="Times New Roman" w:cs="Times New Roman"/>
          <w:i/>
          <w:color w:val="auto"/>
        </w:rPr>
      </w:pPr>
      <w:r w:rsidRPr="007F07EA">
        <w:rPr>
          <w:rFonts w:ascii="Times New Roman" w:hAnsi="Times New Roman" w:cs="Times New Roman"/>
          <w:color w:val="auto"/>
        </w:rPr>
        <w:t xml:space="preserve">Bank oblicza wskaźnik dźwigni, zgodnie z art. 429 ust. 2 </w:t>
      </w:r>
      <w:r w:rsidRPr="007F07EA">
        <w:rPr>
          <w:rFonts w:ascii="Times New Roman" w:hAnsi="Times New Roman" w:cs="Times New Roman"/>
          <w:i/>
          <w:color w:val="auto"/>
        </w:rPr>
        <w:t>Rozporządzenia CRR</w:t>
      </w:r>
      <w:r w:rsidRPr="007F07EA">
        <w:rPr>
          <w:rFonts w:ascii="Times New Roman" w:hAnsi="Times New Roman" w:cs="Times New Roman"/>
          <w:color w:val="auto"/>
        </w:rPr>
        <w:t xml:space="preserve">, jako miarę kapitału Banku podzieloną przez miarę ekspozycji całkowitej Banku, wyrażoną jako wartość procentowa. Bank ujawnia informacje w zakresie wskaźnika dźwigni uwzględniając </w:t>
      </w:r>
      <w:r w:rsidRPr="007F07EA">
        <w:rPr>
          <w:rFonts w:ascii="Times New Roman" w:hAnsi="Times New Roman" w:cs="Times New Roman"/>
          <w:i/>
          <w:color w:val="auto"/>
        </w:rPr>
        <w:t>Rozporządzenie wykonawcze Komisji (UE) 2016/200 z dnia 15 lutego 2016 r. ustanawiające wykonawcze standardy techniczne w odniesieniu do ujawniania informacji na temat wskaźnika dźwigni instytucji zgodnie z rozporządzeniem Parlamentu</w:t>
      </w:r>
      <w:r w:rsidRPr="007F07EA">
        <w:rPr>
          <w:rFonts w:ascii="Times New Roman" w:hAnsi="Times New Roman" w:cs="Times New Roman"/>
          <w:color w:val="auto"/>
        </w:rPr>
        <w:t xml:space="preserve"> </w:t>
      </w:r>
      <w:r w:rsidRPr="007F07EA">
        <w:rPr>
          <w:rFonts w:ascii="Times New Roman" w:hAnsi="Times New Roman" w:cs="Times New Roman"/>
          <w:i/>
          <w:color w:val="auto"/>
        </w:rPr>
        <w:t>Europejskiego i Rady (UE) nr 575/2013.</w:t>
      </w:r>
      <w:r w:rsidRPr="007F07EA">
        <w:rPr>
          <w:color w:val="auto"/>
        </w:rPr>
        <w:t xml:space="preserve"> </w:t>
      </w:r>
      <w:r w:rsidRPr="007F07EA">
        <w:rPr>
          <w:rFonts w:ascii="Times New Roman" w:hAnsi="Times New Roman" w:cs="Times New Roman"/>
          <w:iCs/>
          <w:color w:val="auto"/>
        </w:rPr>
        <w:t>Bank przy obliczeniu wskaźnika dźwigni nie stosuje odstępstw określonych w art. 499. 2 i 3 CRR.</w:t>
      </w:r>
      <w:r w:rsidRPr="007F07EA">
        <w:rPr>
          <w:rFonts w:ascii="Times New Roman" w:hAnsi="Times New Roman" w:cs="Times New Roman"/>
          <w:i/>
          <w:color w:val="auto"/>
        </w:rPr>
        <w:t xml:space="preserve">  </w:t>
      </w:r>
    </w:p>
    <w:p w14:paraId="26E69565" w14:textId="6D4EBEBE" w:rsidR="00ED5810" w:rsidRPr="007F07EA" w:rsidRDefault="004F2F2D" w:rsidP="00ED5810">
      <w:pPr>
        <w:spacing w:after="120" w:line="276" w:lineRule="auto"/>
        <w:ind w:left="-6" w:right="6" w:hanging="11"/>
        <w:jc w:val="center"/>
        <w:rPr>
          <w:rFonts w:ascii="Times New Roman" w:hAnsi="Times New Roman" w:cs="Times New Roman"/>
          <w:i/>
          <w:color w:val="auto"/>
        </w:rPr>
      </w:pPr>
      <w:r w:rsidRPr="004F2F2D">
        <w:rPr>
          <w:noProof/>
        </w:rPr>
        <w:lastRenderedPageBreak/>
        <w:drawing>
          <wp:inline distT="0" distB="0" distL="0" distR="0" wp14:anchorId="1B38C875" wp14:editId="17492CF7">
            <wp:extent cx="4981575" cy="47815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575" cy="4781550"/>
                    </a:xfrm>
                    <a:prstGeom prst="rect">
                      <a:avLst/>
                    </a:prstGeom>
                    <a:noFill/>
                    <a:ln>
                      <a:noFill/>
                    </a:ln>
                  </pic:spPr>
                </pic:pic>
              </a:graphicData>
            </a:graphic>
          </wp:inline>
        </w:drawing>
      </w:r>
    </w:p>
    <w:p w14:paraId="76FE1A9B" w14:textId="77777777" w:rsidR="00ED5810" w:rsidRPr="007F07EA" w:rsidRDefault="00ED5810" w:rsidP="00ED5810">
      <w:pPr>
        <w:spacing w:after="0" w:line="276" w:lineRule="auto"/>
        <w:ind w:left="-6" w:right="6" w:hanging="11"/>
        <w:rPr>
          <w:rFonts w:ascii="Times New Roman" w:hAnsi="Times New Roman" w:cs="Times New Roman"/>
          <w:color w:val="auto"/>
        </w:rPr>
      </w:pPr>
      <w:r w:rsidRPr="007F07EA">
        <w:rPr>
          <w:rFonts w:ascii="Times New Roman" w:hAnsi="Times New Roman" w:cs="Times New Roman"/>
          <w:color w:val="auto"/>
        </w:rPr>
        <w:t>W ramach zarządzania ryzykiem nadmiernej dźwigni finansowej Bank monitoruje wskaźnik dźwigni z częstotliwością miesięczną. Poziom wskaźnika dźwigni uwzględniany jest w ramach wyznaczania bieżącego profilu ryzyka Banku i raportowany jest w ramach raportów dla Zarządu Banku i Rady Nadzorczej Banku. W przypadku zidentyfikowania zagrożenia dla Banku wynikającego z nadmiernej dźwigni finansowej, mogą zostać podjęte działania mitygujące.</w:t>
      </w:r>
    </w:p>
    <w:p w14:paraId="0D4FA120" w14:textId="77777777" w:rsidR="00ED5810" w:rsidRPr="007F07EA" w:rsidRDefault="00ED5810" w:rsidP="00ED5810">
      <w:pPr>
        <w:spacing w:after="0" w:line="276" w:lineRule="auto"/>
        <w:ind w:left="-6" w:right="6" w:hanging="11"/>
        <w:rPr>
          <w:rFonts w:ascii="Times New Roman" w:hAnsi="Times New Roman" w:cs="Times New Roman"/>
          <w:color w:val="auto"/>
        </w:rPr>
      </w:pPr>
    </w:p>
    <w:p w14:paraId="3E4C15D4" w14:textId="77777777" w:rsidR="004070AE" w:rsidRPr="00065790" w:rsidRDefault="004070AE" w:rsidP="004070AE">
      <w:pPr>
        <w:spacing w:after="0" w:line="276" w:lineRule="auto"/>
        <w:ind w:left="-6" w:right="6" w:hanging="11"/>
        <w:rPr>
          <w:rFonts w:ascii="Times New Roman" w:hAnsi="Times New Roman" w:cs="Times New Roman"/>
          <w:color w:val="FF0000"/>
        </w:rPr>
      </w:pPr>
    </w:p>
    <w:p w14:paraId="07EE29FB" w14:textId="77777777" w:rsidR="002C50F6" w:rsidRPr="00DB3593" w:rsidRDefault="00E81BF6" w:rsidP="004070AE">
      <w:pPr>
        <w:pStyle w:val="Nagwek1"/>
        <w:spacing w:line="276" w:lineRule="auto"/>
        <w:ind w:left="-6" w:right="7" w:hanging="11"/>
        <w:rPr>
          <w:rFonts w:ascii="Times New Roman" w:hAnsi="Times New Roman" w:cs="Times New Roman"/>
          <w:color w:val="auto"/>
        </w:rPr>
      </w:pPr>
      <w:bookmarkStart w:id="91" w:name="_Toc75336319"/>
      <w:r w:rsidRPr="00DB3593">
        <w:rPr>
          <w:rFonts w:ascii="Times New Roman" w:hAnsi="Times New Roman" w:cs="Times New Roman"/>
          <w:color w:val="auto"/>
        </w:rPr>
        <w:t>19. Stosowanie metody IRB w odniesieniu do ryzyka kredytowego – art. 452 Rozporządzenia CRR</w:t>
      </w:r>
      <w:bookmarkEnd w:id="91"/>
    </w:p>
    <w:p w14:paraId="56CD2BFE" w14:textId="77777777" w:rsidR="002C50F6" w:rsidRPr="00DB3593" w:rsidRDefault="00E81BF6" w:rsidP="004070AE">
      <w:pPr>
        <w:spacing w:after="0" w:line="276" w:lineRule="auto"/>
        <w:ind w:left="-6" w:right="6" w:hanging="11"/>
        <w:rPr>
          <w:rFonts w:ascii="Times New Roman" w:hAnsi="Times New Roman" w:cs="Times New Roman"/>
          <w:color w:val="auto"/>
        </w:rPr>
      </w:pPr>
      <w:r w:rsidRPr="00DB3593">
        <w:rPr>
          <w:rFonts w:ascii="Times New Roman" w:hAnsi="Times New Roman" w:cs="Times New Roman"/>
          <w:color w:val="auto"/>
        </w:rPr>
        <w:t>Nie dotyczy.</w:t>
      </w:r>
    </w:p>
    <w:p w14:paraId="181D96C1" w14:textId="77777777" w:rsidR="002C50F6" w:rsidRPr="00DB3593" w:rsidRDefault="00E81BF6" w:rsidP="004070AE">
      <w:pPr>
        <w:spacing w:after="0" w:line="276" w:lineRule="auto"/>
        <w:ind w:left="-6" w:right="6" w:hanging="11"/>
        <w:rPr>
          <w:rFonts w:ascii="Times New Roman" w:hAnsi="Times New Roman" w:cs="Times New Roman"/>
          <w:color w:val="auto"/>
        </w:rPr>
      </w:pPr>
      <w:r w:rsidRPr="00DB3593">
        <w:rPr>
          <w:rFonts w:ascii="Times New Roman" w:hAnsi="Times New Roman" w:cs="Times New Roman"/>
          <w:color w:val="auto"/>
        </w:rPr>
        <w:t>Bank nie stosuje metody IRB.</w:t>
      </w:r>
    </w:p>
    <w:p w14:paraId="422D17AB" w14:textId="77777777" w:rsidR="004070AE" w:rsidRPr="00065790" w:rsidRDefault="004070AE" w:rsidP="004070AE">
      <w:pPr>
        <w:spacing w:after="0" w:line="276" w:lineRule="auto"/>
        <w:ind w:left="-6" w:right="6" w:hanging="11"/>
        <w:rPr>
          <w:rFonts w:ascii="Times New Roman" w:hAnsi="Times New Roman" w:cs="Times New Roman"/>
          <w:color w:val="FF0000"/>
        </w:rPr>
      </w:pPr>
    </w:p>
    <w:p w14:paraId="56F1E5BE" w14:textId="77777777" w:rsidR="002C50F6" w:rsidRPr="00B40CAA" w:rsidRDefault="00E81BF6" w:rsidP="004070AE">
      <w:pPr>
        <w:pStyle w:val="Nagwek1"/>
        <w:ind w:left="-5" w:right="7"/>
        <w:rPr>
          <w:rFonts w:ascii="Times New Roman" w:hAnsi="Times New Roman" w:cs="Times New Roman"/>
          <w:color w:val="auto"/>
        </w:rPr>
      </w:pPr>
      <w:bookmarkStart w:id="92" w:name="_Toc75336320"/>
      <w:r w:rsidRPr="00EB0BB2">
        <w:rPr>
          <w:rFonts w:ascii="Times New Roman" w:hAnsi="Times New Roman" w:cs="Times New Roman"/>
          <w:color w:val="000000" w:themeColor="text1"/>
        </w:rPr>
        <w:lastRenderedPageBreak/>
        <w:t xml:space="preserve">20. </w:t>
      </w:r>
      <w:r w:rsidRPr="00B40CAA">
        <w:rPr>
          <w:rFonts w:ascii="Times New Roman" w:hAnsi="Times New Roman" w:cs="Times New Roman"/>
          <w:color w:val="auto"/>
        </w:rPr>
        <w:t>Stosowanie technik ograniczenia ryzyka kredytowego – art. 453 Rozporządzenia CRR</w:t>
      </w:r>
      <w:bookmarkEnd w:id="92"/>
    </w:p>
    <w:p w14:paraId="5DCABF91" w14:textId="77777777" w:rsidR="000E4871" w:rsidRPr="00B40CAA" w:rsidRDefault="000E4871" w:rsidP="000E4871">
      <w:pPr>
        <w:spacing w:after="272" w:line="276" w:lineRule="auto"/>
        <w:ind w:left="0" w:right="8" w:firstLine="0"/>
        <w:rPr>
          <w:rFonts w:ascii="Times New Roman" w:hAnsi="Times New Roman" w:cs="Times New Roman"/>
          <w:color w:val="auto"/>
        </w:rPr>
      </w:pPr>
      <w:r w:rsidRPr="00B40CAA">
        <w:rPr>
          <w:rFonts w:ascii="Times New Roman" w:hAnsi="Times New Roman" w:cs="Times New Roman"/>
          <w:color w:val="auto"/>
        </w:rPr>
        <w:t xml:space="preserve">Bank dopuszcza stosowanie następujących technik ograniczania ryzyka kredytowego: </w:t>
      </w:r>
    </w:p>
    <w:p w14:paraId="4623F62B" w14:textId="77777777" w:rsidR="000E4871" w:rsidRPr="00B40CAA" w:rsidRDefault="000E4871" w:rsidP="000E4871">
      <w:pPr>
        <w:spacing w:after="47" w:line="276" w:lineRule="auto"/>
        <w:ind w:left="426" w:right="8" w:hanging="426"/>
        <w:rPr>
          <w:rFonts w:ascii="Times New Roman" w:hAnsi="Times New Roman" w:cs="Times New Roman"/>
          <w:color w:val="auto"/>
        </w:rPr>
      </w:pPr>
      <w:r w:rsidRPr="00B40CAA">
        <w:rPr>
          <w:rFonts w:ascii="Times New Roman" w:hAnsi="Times New Roman" w:cs="Times New Roman"/>
          <w:color w:val="auto"/>
        </w:rPr>
        <w:t>1) pomniejszanie podstawy tworzenia rezerw celowych zgodnie z Rozporządzeniem Ministra Finansów z dnia 16 grudnia 2008 r. w sprawie zasad tworzenia rezerw celowych na ryzyko związane z działalnością banków oraz Instrukcją Zasady klasyfikacji ekspozycji kredytowych i tworzenia rezerw celowych. Bank przyjmuje zabezpieczenia zgodnie z Instrukcją prawnych form zabezpieczenia wierzytelności;</w:t>
      </w:r>
    </w:p>
    <w:p w14:paraId="6CA796F3" w14:textId="77777777" w:rsidR="000E4871" w:rsidRPr="00B40CAA" w:rsidRDefault="000E4871" w:rsidP="000E4871">
      <w:pPr>
        <w:spacing w:after="47" w:line="276" w:lineRule="auto"/>
        <w:ind w:left="426" w:right="8" w:hanging="426"/>
        <w:rPr>
          <w:rFonts w:ascii="Times New Roman" w:hAnsi="Times New Roman" w:cs="Times New Roman"/>
          <w:color w:val="auto"/>
        </w:rPr>
      </w:pPr>
      <w:r w:rsidRPr="00B40CAA">
        <w:rPr>
          <w:rFonts w:ascii="Times New Roman" w:hAnsi="Times New Roman" w:cs="Times New Roman"/>
          <w:color w:val="auto"/>
        </w:rPr>
        <w:t>2) pomniejszanie wag ryzyka przypisywanych ekspozycjom kredytowym zabezpieczonym hipotecznie na nieruchomości mieszkalnej w rachunku wymogów kapitałowych na podstawie Rozporządzenia Parlamentu Europejskiego i Rady  (UE) nr 575/2013  z dnia 26 czerwca 2013 r. w sprawie wymogów ostrożnościowych dla instytucji kredytowych i firm inwestycyjnych. Bank zarządza ryzykiem związanym z ekspozycjami zabezpieczonymi hipotecznie, zgodnie z Polityką zarządzania ryzykiem ekspozycji kredytowych zabezpieczonych hipotecznie;</w:t>
      </w:r>
    </w:p>
    <w:p w14:paraId="7456E57B" w14:textId="77777777" w:rsidR="000E4871" w:rsidRPr="00B40CAA" w:rsidRDefault="000E4871" w:rsidP="000E4871">
      <w:pPr>
        <w:spacing w:after="47" w:line="276" w:lineRule="auto"/>
        <w:ind w:left="426" w:right="8" w:hanging="426"/>
        <w:rPr>
          <w:rFonts w:ascii="Times New Roman" w:hAnsi="Times New Roman" w:cs="Times New Roman"/>
          <w:color w:val="auto"/>
        </w:rPr>
      </w:pPr>
      <w:r w:rsidRPr="00B40CAA">
        <w:rPr>
          <w:rFonts w:ascii="Times New Roman" w:hAnsi="Times New Roman" w:cs="Times New Roman"/>
          <w:color w:val="auto"/>
        </w:rPr>
        <w:t>3) kompensowanie transakcji bilansowych – zgodnie z Rozporządzeniem Parlamentu Europejskiego i Rady  (UE) nr 575/2013  z dnia 26 czerwca 2013 r.  w sprawie wymogów ostrożnościowych dla instytucji kredytowych i firm inwestycyjnych;</w:t>
      </w:r>
    </w:p>
    <w:p w14:paraId="44AE8D9A" w14:textId="77777777" w:rsidR="000E4871" w:rsidRPr="00B40CAA" w:rsidRDefault="000E4871" w:rsidP="000E4871">
      <w:pPr>
        <w:spacing w:after="47" w:line="276" w:lineRule="auto"/>
        <w:ind w:left="426" w:right="8" w:hanging="426"/>
        <w:rPr>
          <w:rFonts w:ascii="Times New Roman" w:hAnsi="Times New Roman" w:cs="Times New Roman"/>
          <w:color w:val="auto"/>
        </w:rPr>
      </w:pPr>
      <w:r w:rsidRPr="00B40CAA">
        <w:rPr>
          <w:rFonts w:ascii="Times New Roman" w:hAnsi="Times New Roman" w:cs="Times New Roman"/>
          <w:color w:val="auto"/>
        </w:rPr>
        <w:t xml:space="preserve">4) </w:t>
      </w:r>
      <w:r w:rsidRPr="00B40CAA">
        <w:rPr>
          <w:rFonts w:ascii="Times New Roman" w:hAnsi="Times New Roman" w:cs="Times New Roman"/>
          <w:color w:val="auto"/>
        </w:rPr>
        <w:tab/>
        <w:t>techniki redukcji ryzyka kredytowego – zgodnie z Rozporządzeniem Parlamentu Europejskiego i Rady  (UE) nr 575/2013  z dnia 26 czerwca 2013 r.  w sprawie wymogów ostrożnościowych dla instytucji kredytowych i firm inwestycyjnych.</w:t>
      </w:r>
    </w:p>
    <w:p w14:paraId="777B38C4" w14:textId="77777777" w:rsidR="000E4871" w:rsidRPr="00B40CAA" w:rsidRDefault="000E4871" w:rsidP="000E4871">
      <w:pPr>
        <w:spacing w:after="48" w:line="276" w:lineRule="auto"/>
        <w:ind w:left="-5" w:right="8"/>
        <w:rPr>
          <w:rFonts w:ascii="Times New Roman" w:hAnsi="Times New Roman" w:cs="Times New Roman"/>
          <w:color w:val="auto"/>
        </w:rPr>
      </w:pPr>
      <w:r w:rsidRPr="00B40CAA">
        <w:rPr>
          <w:rFonts w:ascii="Times New Roman" w:hAnsi="Times New Roman" w:cs="Times New Roman"/>
          <w:color w:val="auto"/>
        </w:rPr>
        <w:t>W Banku jako uznane zabezpieczenie, wykorzystywane w celu redukcji ryzyka kredytowego, są przyjmowane następujące zabezpieczenia rzeczowe i instrumenty finansowe, stanowiące ochronę kredytową rzeczywistą, o ile spełniają wymogi określone w Rozporządzeniu Parlamentu Europejskiego i Rady UE 575/2013:</w:t>
      </w:r>
    </w:p>
    <w:p w14:paraId="4D3D9FA7" w14:textId="77777777" w:rsidR="000E4871" w:rsidRPr="00B40CAA" w:rsidRDefault="000E4871" w:rsidP="000E4871">
      <w:pPr>
        <w:spacing w:after="48" w:line="276" w:lineRule="auto"/>
        <w:ind w:left="426" w:right="8" w:hanging="426"/>
        <w:rPr>
          <w:rFonts w:ascii="Times New Roman" w:hAnsi="Times New Roman" w:cs="Times New Roman"/>
          <w:color w:val="auto"/>
        </w:rPr>
      </w:pPr>
      <w:r w:rsidRPr="00B40CAA">
        <w:rPr>
          <w:rFonts w:ascii="Times New Roman" w:hAnsi="Times New Roman" w:cs="Times New Roman"/>
          <w:color w:val="auto"/>
        </w:rPr>
        <w:t>1)   zdeponowane w Banku środki pieniężne;</w:t>
      </w:r>
    </w:p>
    <w:p w14:paraId="5022AB99" w14:textId="77777777" w:rsidR="000E4871" w:rsidRPr="00B40CAA" w:rsidRDefault="000E4871" w:rsidP="000E4871">
      <w:pPr>
        <w:spacing w:after="48" w:line="276" w:lineRule="auto"/>
        <w:ind w:left="426" w:right="8" w:hanging="426"/>
        <w:rPr>
          <w:rFonts w:ascii="Times New Roman" w:hAnsi="Times New Roman" w:cs="Times New Roman"/>
          <w:color w:val="auto"/>
        </w:rPr>
      </w:pPr>
      <w:r w:rsidRPr="00B40CAA">
        <w:rPr>
          <w:rFonts w:ascii="Times New Roman" w:hAnsi="Times New Roman" w:cs="Times New Roman"/>
          <w:color w:val="auto"/>
        </w:rPr>
        <w:t>2)  emitowane przez Rząd Rzeczpospolitej Polskiej i Narodowy Bank Polski dłużne papiery wartościowe, tj.:</w:t>
      </w:r>
    </w:p>
    <w:p w14:paraId="5D1DF5EE" w14:textId="77777777" w:rsidR="000E4871" w:rsidRPr="00B40CAA" w:rsidRDefault="000E4871" w:rsidP="000E4871">
      <w:pPr>
        <w:spacing w:after="48" w:line="276" w:lineRule="auto"/>
        <w:ind w:left="709" w:right="8" w:hanging="293"/>
        <w:rPr>
          <w:rFonts w:ascii="Times New Roman" w:hAnsi="Times New Roman" w:cs="Times New Roman"/>
          <w:color w:val="auto"/>
        </w:rPr>
      </w:pPr>
      <w:r w:rsidRPr="00B40CAA">
        <w:rPr>
          <w:rFonts w:ascii="Times New Roman" w:hAnsi="Times New Roman" w:cs="Times New Roman"/>
          <w:color w:val="auto"/>
        </w:rPr>
        <w:t>a) dłużne papiery wartościowe emitowane przez jednostki samorządu terytorialnego i władze lokalne oraz podmioty sektora publicznego, ekspozycje wobec których traktowane są jak ekspozycje wobec rządów centralnych w metodzie standardowej obliczania wymogu kapitałowego z tytułu ryzyka kredytowego;</w:t>
      </w:r>
    </w:p>
    <w:p w14:paraId="61709422" w14:textId="77777777" w:rsidR="000E4871" w:rsidRPr="00B40CAA" w:rsidRDefault="000E4871" w:rsidP="000E4871">
      <w:pPr>
        <w:spacing w:after="48" w:line="276" w:lineRule="auto"/>
        <w:ind w:left="709" w:right="8" w:hanging="293"/>
        <w:rPr>
          <w:rFonts w:ascii="Times New Roman" w:hAnsi="Times New Roman" w:cs="Times New Roman"/>
          <w:color w:val="auto"/>
        </w:rPr>
      </w:pPr>
      <w:r w:rsidRPr="00B40CAA">
        <w:rPr>
          <w:rFonts w:ascii="Times New Roman" w:hAnsi="Times New Roman" w:cs="Times New Roman"/>
          <w:color w:val="auto"/>
        </w:rPr>
        <w:t>b) dłużne papiery wartościowe emitowane przez podmioty sektora publicznego, ekspozycje wobec których traktowane są jak ekspozycje wobec rządów centralnych w metodzie standardowej obliczania wymogu kapitałowego z tytułu ryzyka kredytowego;</w:t>
      </w:r>
    </w:p>
    <w:p w14:paraId="36EFD30A" w14:textId="77777777" w:rsidR="000E4871" w:rsidRPr="00B40CAA" w:rsidRDefault="000E4871" w:rsidP="000E4871">
      <w:pPr>
        <w:spacing w:after="48" w:line="276" w:lineRule="auto"/>
        <w:ind w:left="426" w:right="8" w:hanging="426"/>
        <w:rPr>
          <w:rFonts w:ascii="Times New Roman" w:hAnsi="Times New Roman" w:cs="Times New Roman"/>
          <w:color w:val="auto"/>
        </w:rPr>
      </w:pPr>
      <w:r w:rsidRPr="00B40CAA">
        <w:rPr>
          <w:rFonts w:ascii="Times New Roman" w:hAnsi="Times New Roman" w:cs="Times New Roman"/>
          <w:color w:val="auto"/>
        </w:rPr>
        <w:t>3)   jednostki uczestnictwa instytucji zbiorowego inwestowania;</w:t>
      </w:r>
    </w:p>
    <w:p w14:paraId="297FF5AF" w14:textId="77777777" w:rsidR="000E4871" w:rsidRPr="00B40CAA" w:rsidRDefault="000E4871" w:rsidP="000E4871">
      <w:pPr>
        <w:spacing w:after="48" w:line="276" w:lineRule="auto"/>
        <w:ind w:left="426" w:right="8" w:hanging="426"/>
        <w:rPr>
          <w:rFonts w:ascii="Times New Roman" w:hAnsi="Times New Roman" w:cs="Times New Roman"/>
          <w:color w:val="auto"/>
        </w:rPr>
      </w:pPr>
      <w:r w:rsidRPr="00EB0BB2">
        <w:rPr>
          <w:rFonts w:ascii="Times New Roman" w:hAnsi="Times New Roman" w:cs="Times New Roman"/>
          <w:color w:val="000000" w:themeColor="text1"/>
        </w:rPr>
        <w:lastRenderedPageBreak/>
        <w:t xml:space="preserve">4)  </w:t>
      </w:r>
      <w:r w:rsidRPr="00B40CAA">
        <w:rPr>
          <w:rFonts w:ascii="Times New Roman" w:hAnsi="Times New Roman" w:cs="Times New Roman"/>
          <w:color w:val="auto"/>
        </w:rPr>
        <w:t>zdeponowane w banku będącym stroną trzecią środki pieniężne lub bankowe instrumenty pieniężne, na rachunku nie mającym charakteru powierniczego rachunku zastrzeżonego i objęte cesją lub przeniesieniem praw własności (nieodwołalnie) na rzecz Banku kredytującego;</w:t>
      </w:r>
    </w:p>
    <w:p w14:paraId="2D010641" w14:textId="77777777" w:rsidR="000E4871" w:rsidRPr="00B40CAA" w:rsidRDefault="000E4871" w:rsidP="000E4871">
      <w:pPr>
        <w:spacing w:after="48" w:line="276" w:lineRule="auto"/>
        <w:ind w:left="426" w:right="8" w:hanging="426"/>
        <w:rPr>
          <w:rFonts w:ascii="Times New Roman" w:hAnsi="Times New Roman" w:cs="Times New Roman"/>
          <w:color w:val="auto"/>
        </w:rPr>
      </w:pPr>
      <w:r w:rsidRPr="00B40CAA">
        <w:rPr>
          <w:rFonts w:ascii="Times New Roman" w:hAnsi="Times New Roman" w:cs="Times New Roman"/>
          <w:color w:val="auto"/>
        </w:rPr>
        <w:t>5)   polisa ubezpieczeniowa na życie, z której prawa zostały przeniesione na Bank lub na której został ustanowiony zastaw na rzecz Banku.</w:t>
      </w:r>
    </w:p>
    <w:p w14:paraId="1B59B0A0" w14:textId="77777777" w:rsidR="000E4871" w:rsidRPr="00B40CAA" w:rsidRDefault="000E4871" w:rsidP="000E4871">
      <w:pPr>
        <w:spacing w:after="48" w:line="276" w:lineRule="auto"/>
        <w:ind w:left="-5" w:right="8"/>
        <w:rPr>
          <w:rFonts w:ascii="Times New Roman" w:hAnsi="Times New Roman" w:cs="Times New Roman"/>
          <w:color w:val="auto"/>
        </w:rPr>
      </w:pPr>
      <w:r w:rsidRPr="00B40CAA">
        <w:rPr>
          <w:rFonts w:ascii="Times New Roman" w:hAnsi="Times New Roman" w:cs="Times New Roman"/>
          <w:color w:val="auto"/>
        </w:rPr>
        <w:t>Również w celach redukcji ryzyka kredytowego Bank przyjmuje zabezpieczenia finansowe, stanowiące nierzeczywistą ochronę kredytową (gwarancje). Za uznanych dostawców ochrony kredytowej nierzeczywistej Bank uznaje następujące podmioty:</w:t>
      </w:r>
    </w:p>
    <w:p w14:paraId="5AD9A8C4" w14:textId="77777777" w:rsidR="000E4871" w:rsidRPr="00B40CAA" w:rsidRDefault="000E4871" w:rsidP="000E4871">
      <w:pPr>
        <w:spacing w:after="48" w:line="276" w:lineRule="auto"/>
        <w:ind w:left="567" w:right="8" w:hanging="426"/>
        <w:rPr>
          <w:rFonts w:ascii="Times New Roman" w:hAnsi="Times New Roman" w:cs="Times New Roman"/>
          <w:color w:val="auto"/>
        </w:rPr>
      </w:pPr>
      <w:r w:rsidRPr="00B40CAA">
        <w:rPr>
          <w:rFonts w:ascii="Times New Roman" w:hAnsi="Times New Roman" w:cs="Times New Roman"/>
          <w:color w:val="auto"/>
        </w:rPr>
        <w:t>1)  rządy i banki centralne;</w:t>
      </w:r>
    </w:p>
    <w:p w14:paraId="6B2C3B58" w14:textId="77777777" w:rsidR="000E4871" w:rsidRPr="00B40CAA" w:rsidRDefault="000E4871" w:rsidP="000E4871">
      <w:pPr>
        <w:spacing w:after="48" w:line="276" w:lineRule="auto"/>
        <w:ind w:left="567" w:right="8" w:hanging="426"/>
        <w:rPr>
          <w:rFonts w:ascii="Times New Roman" w:hAnsi="Times New Roman" w:cs="Times New Roman"/>
          <w:color w:val="auto"/>
        </w:rPr>
      </w:pPr>
      <w:r w:rsidRPr="00B40CAA">
        <w:rPr>
          <w:rFonts w:ascii="Times New Roman" w:hAnsi="Times New Roman" w:cs="Times New Roman"/>
          <w:color w:val="auto"/>
        </w:rPr>
        <w:t>2)  wielostronne banki rozwoju;</w:t>
      </w:r>
    </w:p>
    <w:p w14:paraId="1AED9E80" w14:textId="77777777" w:rsidR="000E4871" w:rsidRPr="00B40CAA" w:rsidRDefault="000E4871" w:rsidP="000E4871">
      <w:pPr>
        <w:spacing w:after="48" w:line="276" w:lineRule="auto"/>
        <w:ind w:left="567" w:right="8" w:hanging="426"/>
        <w:rPr>
          <w:rFonts w:ascii="Times New Roman" w:hAnsi="Times New Roman" w:cs="Times New Roman"/>
          <w:color w:val="auto"/>
        </w:rPr>
      </w:pPr>
      <w:r w:rsidRPr="00B40CAA">
        <w:rPr>
          <w:rFonts w:ascii="Times New Roman" w:hAnsi="Times New Roman" w:cs="Times New Roman"/>
          <w:color w:val="auto"/>
        </w:rPr>
        <w:t>3)  organizacje międzynarodowe, ekspozycje, wobec których przypisuje się wagę ryzyka 0%</w:t>
      </w:r>
    </w:p>
    <w:p w14:paraId="28E64DF9" w14:textId="77777777" w:rsidR="000E4871" w:rsidRPr="00B40CAA" w:rsidRDefault="000E4871" w:rsidP="000E4871">
      <w:pPr>
        <w:spacing w:after="48" w:line="276" w:lineRule="auto"/>
        <w:ind w:left="567" w:right="8" w:hanging="141"/>
        <w:rPr>
          <w:rFonts w:ascii="Times New Roman" w:hAnsi="Times New Roman" w:cs="Times New Roman"/>
          <w:color w:val="auto"/>
        </w:rPr>
      </w:pPr>
      <w:r w:rsidRPr="00B40CAA">
        <w:rPr>
          <w:rFonts w:ascii="Times New Roman" w:hAnsi="Times New Roman" w:cs="Times New Roman"/>
          <w:color w:val="auto"/>
        </w:rPr>
        <w:t>w metodzie standardowej obliczania wymogu kapitałowego z tytułu ryzyka kredytowego;</w:t>
      </w:r>
    </w:p>
    <w:p w14:paraId="264A0926" w14:textId="77777777" w:rsidR="000E4871" w:rsidRPr="00B40CAA" w:rsidRDefault="000E4871" w:rsidP="000E4871">
      <w:pPr>
        <w:spacing w:after="48" w:line="276" w:lineRule="auto"/>
        <w:ind w:left="567" w:right="8" w:hanging="426"/>
        <w:rPr>
          <w:rFonts w:ascii="Times New Roman" w:hAnsi="Times New Roman" w:cs="Times New Roman"/>
          <w:color w:val="auto"/>
        </w:rPr>
      </w:pPr>
      <w:r w:rsidRPr="00B40CAA">
        <w:rPr>
          <w:rFonts w:ascii="Times New Roman" w:hAnsi="Times New Roman" w:cs="Times New Roman"/>
          <w:color w:val="auto"/>
        </w:rPr>
        <w:t>4)  podmioty sektora publicznego, ekspozycje, wobec których są traktowane jak ekspozycje</w:t>
      </w:r>
    </w:p>
    <w:p w14:paraId="014DB96C" w14:textId="77777777" w:rsidR="000E4871" w:rsidRPr="00B40CAA" w:rsidRDefault="000E4871" w:rsidP="000E4871">
      <w:pPr>
        <w:spacing w:after="48" w:line="276" w:lineRule="auto"/>
        <w:ind w:left="709" w:right="8" w:hanging="283"/>
        <w:rPr>
          <w:rFonts w:ascii="Times New Roman" w:hAnsi="Times New Roman" w:cs="Times New Roman"/>
          <w:color w:val="auto"/>
        </w:rPr>
      </w:pPr>
      <w:r w:rsidRPr="00B40CAA">
        <w:rPr>
          <w:rFonts w:ascii="Times New Roman" w:hAnsi="Times New Roman" w:cs="Times New Roman"/>
          <w:color w:val="auto"/>
        </w:rPr>
        <w:t>wobec banków lub rządów centralnych w metodzie standardowej obliczania wymogu</w:t>
      </w:r>
    </w:p>
    <w:p w14:paraId="1DCF03B5" w14:textId="77777777" w:rsidR="000E4871" w:rsidRPr="00B40CAA" w:rsidRDefault="000E4871" w:rsidP="000E4871">
      <w:pPr>
        <w:spacing w:after="48" w:line="276" w:lineRule="auto"/>
        <w:ind w:left="709" w:right="8" w:hanging="283"/>
        <w:rPr>
          <w:rFonts w:ascii="Times New Roman" w:hAnsi="Times New Roman" w:cs="Times New Roman"/>
          <w:color w:val="auto"/>
        </w:rPr>
      </w:pPr>
      <w:r w:rsidRPr="00B40CAA">
        <w:rPr>
          <w:rFonts w:ascii="Times New Roman" w:hAnsi="Times New Roman" w:cs="Times New Roman"/>
          <w:color w:val="auto"/>
        </w:rPr>
        <w:t>kapitałowego z tytułu ryzyka kredytowego;</w:t>
      </w:r>
    </w:p>
    <w:p w14:paraId="29CDF552" w14:textId="77777777" w:rsidR="000E4871" w:rsidRPr="00B40CAA" w:rsidRDefault="000E4871" w:rsidP="000E4871">
      <w:pPr>
        <w:spacing w:after="48" w:line="276" w:lineRule="auto"/>
        <w:ind w:left="567" w:right="8" w:hanging="426"/>
        <w:rPr>
          <w:rFonts w:ascii="Times New Roman" w:hAnsi="Times New Roman" w:cs="Times New Roman"/>
          <w:color w:val="auto"/>
        </w:rPr>
      </w:pPr>
      <w:r w:rsidRPr="00B40CAA">
        <w:rPr>
          <w:rFonts w:ascii="Times New Roman" w:hAnsi="Times New Roman" w:cs="Times New Roman"/>
          <w:color w:val="auto"/>
        </w:rPr>
        <w:t>5)  jednostki samorządu terytorialnego i władze lokalne;</w:t>
      </w:r>
    </w:p>
    <w:p w14:paraId="5D492377" w14:textId="77777777" w:rsidR="000E4871" w:rsidRPr="00B40CAA" w:rsidRDefault="000E4871" w:rsidP="000E4871">
      <w:pPr>
        <w:spacing w:after="48" w:line="276" w:lineRule="auto"/>
        <w:ind w:left="567" w:right="8" w:hanging="425"/>
        <w:rPr>
          <w:rFonts w:ascii="Times New Roman" w:hAnsi="Times New Roman" w:cs="Times New Roman"/>
          <w:color w:val="auto"/>
        </w:rPr>
      </w:pPr>
      <w:r w:rsidRPr="00B40CAA">
        <w:rPr>
          <w:rFonts w:ascii="Times New Roman" w:hAnsi="Times New Roman" w:cs="Times New Roman"/>
          <w:color w:val="auto"/>
        </w:rPr>
        <w:t>6)  banki.</w:t>
      </w:r>
    </w:p>
    <w:p w14:paraId="59E2782A" w14:textId="77777777" w:rsidR="000E4871" w:rsidRPr="00B40CAA" w:rsidRDefault="000E4871" w:rsidP="000E4871">
      <w:pPr>
        <w:spacing w:after="48" w:line="276" w:lineRule="auto"/>
        <w:ind w:left="-5" w:right="8"/>
        <w:rPr>
          <w:rFonts w:ascii="Times New Roman" w:hAnsi="Times New Roman" w:cs="Times New Roman"/>
          <w:color w:val="auto"/>
        </w:rPr>
      </w:pPr>
      <w:r w:rsidRPr="00B40CAA">
        <w:rPr>
          <w:rFonts w:ascii="Times New Roman" w:hAnsi="Times New Roman" w:cs="Times New Roman"/>
          <w:color w:val="auto"/>
        </w:rPr>
        <w:t>W celu ograniczania skutków ryzyka kredytowego Bank przyjmuje prawne zabezpieczenia. Bank ustala formę zabezpieczenia w porozumieniu z wnioskodawcą, biorąc pod uwagę:</w:t>
      </w:r>
    </w:p>
    <w:p w14:paraId="6028C304" w14:textId="77777777" w:rsidR="000E4871" w:rsidRPr="00B40CAA" w:rsidRDefault="000E4871" w:rsidP="000E4871">
      <w:pPr>
        <w:spacing w:after="48" w:line="276" w:lineRule="auto"/>
        <w:ind w:left="567" w:right="8" w:hanging="425"/>
        <w:rPr>
          <w:rFonts w:ascii="Times New Roman" w:hAnsi="Times New Roman" w:cs="Times New Roman"/>
          <w:color w:val="auto"/>
        </w:rPr>
      </w:pPr>
      <w:r w:rsidRPr="00B40CAA">
        <w:rPr>
          <w:rFonts w:ascii="Times New Roman" w:hAnsi="Times New Roman" w:cs="Times New Roman"/>
          <w:color w:val="auto"/>
        </w:rPr>
        <w:t>1)  typowe oraz indywidualne ryzyko związane z zawarciem umowy z wnioskodawcą, w tym:</w:t>
      </w:r>
    </w:p>
    <w:p w14:paraId="16CE4F8A" w14:textId="77777777" w:rsidR="000E4871" w:rsidRPr="00B40CAA" w:rsidRDefault="000E4871" w:rsidP="000E4871">
      <w:pPr>
        <w:spacing w:after="48" w:line="276" w:lineRule="auto"/>
        <w:ind w:left="851" w:right="8" w:hanging="425"/>
        <w:rPr>
          <w:rFonts w:ascii="Times New Roman" w:hAnsi="Times New Roman" w:cs="Times New Roman"/>
          <w:color w:val="auto"/>
        </w:rPr>
      </w:pPr>
      <w:r w:rsidRPr="00B40CAA">
        <w:rPr>
          <w:rFonts w:ascii="Times New Roman" w:hAnsi="Times New Roman" w:cs="Times New Roman"/>
          <w:color w:val="auto"/>
        </w:rPr>
        <w:t>a) ryzyko branży,</w:t>
      </w:r>
    </w:p>
    <w:p w14:paraId="03CE27DE" w14:textId="77777777" w:rsidR="000E4871" w:rsidRPr="00B40CAA" w:rsidRDefault="000E4871" w:rsidP="000E4871">
      <w:pPr>
        <w:spacing w:after="48" w:line="276" w:lineRule="auto"/>
        <w:ind w:left="851" w:right="8" w:hanging="425"/>
        <w:rPr>
          <w:rFonts w:ascii="Times New Roman" w:hAnsi="Times New Roman" w:cs="Times New Roman"/>
          <w:color w:val="auto"/>
        </w:rPr>
      </w:pPr>
      <w:r w:rsidRPr="00B40CAA">
        <w:rPr>
          <w:rFonts w:ascii="Times New Roman" w:hAnsi="Times New Roman" w:cs="Times New Roman"/>
          <w:color w:val="auto"/>
        </w:rPr>
        <w:t>b) sytuację finansową i gospodarczą wnioskodawcy,</w:t>
      </w:r>
    </w:p>
    <w:p w14:paraId="16DC351C" w14:textId="77777777" w:rsidR="000E4871" w:rsidRPr="00B40CAA" w:rsidRDefault="000E4871" w:rsidP="000E4871">
      <w:pPr>
        <w:spacing w:after="48" w:line="276" w:lineRule="auto"/>
        <w:ind w:left="851" w:right="8" w:hanging="425"/>
        <w:rPr>
          <w:rFonts w:ascii="Times New Roman" w:hAnsi="Times New Roman" w:cs="Times New Roman"/>
          <w:color w:val="auto"/>
        </w:rPr>
      </w:pPr>
      <w:r w:rsidRPr="00B40CAA">
        <w:rPr>
          <w:rFonts w:ascii="Times New Roman" w:hAnsi="Times New Roman" w:cs="Times New Roman"/>
          <w:color w:val="auto"/>
        </w:rPr>
        <w:t>c) status prawny wnioskodawcy;</w:t>
      </w:r>
    </w:p>
    <w:p w14:paraId="18EE3543" w14:textId="77777777" w:rsidR="000E4871" w:rsidRPr="00B40CAA" w:rsidRDefault="000E4871" w:rsidP="000E4871">
      <w:pPr>
        <w:spacing w:after="48" w:line="276" w:lineRule="auto"/>
        <w:ind w:left="851" w:right="8" w:hanging="425"/>
        <w:rPr>
          <w:rFonts w:ascii="Times New Roman" w:hAnsi="Times New Roman" w:cs="Times New Roman"/>
          <w:color w:val="auto"/>
        </w:rPr>
      </w:pPr>
      <w:r w:rsidRPr="00B40CAA">
        <w:rPr>
          <w:rFonts w:ascii="Times New Roman" w:hAnsi="Times New Roman" w:cs="Times New Roman"/>
          <w:color w:val="auto"/>
        </w:rPr>
        <w:t>d) przebieg dotychczasowej współpracy z Bankiem lub opinie banków, z którymi    wnioskodawca dotychczas współpracował;</w:t>
      </w:r>
    </w:p>
    <w:p w14:paraId="057E06C3" w14:textId="77777777" w:rsidR="000E4871" w:rsidRPr="00B40CAA" w:rsidRDefault="000E4871" w:rsidP="000E4871">
      <w:pPr>
        <w:spacing w:after="48" w:line="276" w:lineRule="auto"/>
        <w:ind w:left="851" w:right="8" w:hanging="425"/>
        <w:rPr>
          <w:rFonts w:ascii="Times New Roman" w:hAnsi="Times New Roman" w:cs="Times New Roman"/>
          <w:color w:val="auto"/>
        </w:rPr>
      </w:pPr>
      <w:r w:rsidRPr="00B40CAA">
        <w:rPr>
          <w:rFonts w:ascii="Times New Roman" w:hAnsi="Times New Roman" w:cs="Times New Roman"/>
          <w:color w:val="auto"/>
        </w:rPr>
        <w:t>e)   rodzaj i wysokość wierzytelności oraz okres kredytowania;</w:t>
      </w:r>
    </w:p>
    <w:p w14:paraId="4ED61BE3" w14:textId="77777777" w:rsidR="000E4871" w:rsidRPr="00B40CAA" w:rsidRDefault="000E4871" w:rsidP="000E4871">
      <w:pPr>
        <w:spacing w:after="48" w:line="276" w:lineRule="auto"/>
        <w:ind w:left="851" w:right="8" w:hanging="425"/>
        <w:rPr>
          <w:rFonts w:ascii="Times New Roman" w:hAnsi="Times New Roman" w:cs="Times New Roman"/>
          <w:color w:val="auto"/>
        </w:rPr>
      </w:pPr>
      <w:r w:rsidRPr="00B40CAA">
        <w:rPr>
          <w:rFonts w:ascii="Times New Roman" w:hAnsi="Times New Roman" w:cs="Times New Roman"/>
          <w:color w:val="auto"/>
        </w:rPr>
        <w:t>f) cechy danego zabezpieczenia wynikające z regulujących je przepisów ogólnych i wewnętrznych Banku (w tym sposób ustanowienia zabezpieczenia, przesłanki i zakres odpowiedzialności wynikającej z zabezpieczenia, sposób realizacji uprawnień Banku), w szczególności:</w:t>
      </w:r>
    </w:p>
    <w:p w14:paraId="06F8C463" w14:textId="77777777" w:rsidR="000E4871" w:rsidRPr="00B40CAA" w:rsidRDefault="000E4871" w:rsidP="000E4871">
      <w:pPr>
        <w:spacing w:after="48" w:line="276" w:lineRule="auto"/>
        <w:ind w:left="851" w:right="8" w:hanging="142"/>
        <w:rPr>
          <w:rFonts w:ascii="Times New Roman" w:hAnsi="Times New Roman" w:cs="Times New Roman"/>
          <w:color w:val="auto"/>
        </w:rPr>
      </w:pPr>
      <w:r w:rsidRPr="00B40CAA">
        <w:rPr>
          <w:rFonts w:ascii="Times New Roman" w:hAnsi="Times New Roman" w:cs="Times New Roman"/>
          <w:color w:val="auto"/>
        </w:rPr>
        <w:t>- realną możliwość zaspokojenia roszczeń Banku z ustanowionego zabezpieczenia w możliwie najkrótszym czasie z przyjętego zabezpieczenia;</w:t>
      </w:r>
    </w:p>
    <w:p w14:paraId="1092B32E" w14:textId="77777777" w:rsidR="000E4871" w:rsidRPr="00B40CAA" w:rsidRDefault="000E4871" w:rsidP="000E4871">
      <w:pPr>
        <w:spacing w:after="48" w:line="276" w:lineRule="auto"/>
        <w:ind w:left="851" w:right="8" w:hanging="142"/>
        <w:rPr>
          <w:rFonts w:ascii="Times New Roman" w:hAnsi="Times New Roman" w:cs="Times New Roman"/>
          <w:color w:val="auto"/>
        </w:rPr>
      </w:pPr>
      <w:r w:rsidRPr="00B40CAA">
        <w:rPr>
          <w:rFonts w:ascii="Times New Roman" w:hAnsi="Times New Roman" w:cs="Times New Roman"/>
          <w:color w:val="auto"/>
        </w:rPr>
        <w:t>- płynność zabezpieczenia;</w:t>
      </w:r>
    </w:p>
    <w:p w14:paraId="66F09B70" w14:textId="77777777" w:rsidR="000E4871" w:rsidRPr="00B40CAA" w:rsidRDefault="000E4871" w:rsidP="000E4871">
      <w:pPr>
        <w:spacing w:after="48" w:line="276" w:lineRule="auto"/>
        <w:ind w:left="851" w:right="8" w:hanging="142"/>
        <w:rPr>
          <w:rFonts w:ascii="Times New Roman" w:hAnsi="Times New Roman" w:cs="Times New Roman"/>
          <w:color w:val="auto"/>
        </w:rPr>
      </w:pPr>
      <w:r w:rsidRPr="00B40CAA">
        <w:rPr>
          <w:rFonts w:ascii="Times New Roman" w:hAnsi="Times New Roman" w:cs="Times New Roman"/>
          <w:color w:val="auto"/>
        </w:rPr>
        <w:t xml:space="preserve">- istniejące już obciążenia na rzeczy mającej stanowić przedmiot zabezpieczenia, w przypadku zabezpieczeń rzeczowych oraz sytuację finansową i gospodarczą osoby trzeciej zobowiązującej się do zaspokojenia roszczeń Banku za wnioskodawcę oraz jej </w:t>
      </w:r>
      <w:r w:rsidRPr="00B40CAA">
        <w:rPr>
          <w:rFonts w:ascii="Times New Roman" w:hAnsi="Times New Roman" w:cs="Times New Roman"/>
          <w:color w:val="auto"/>
        </w:rPr>
        <w:lastRenderedPageBreak/>
        <w:t>powiązania personalne i kapitałowe z innymi podmiotami, w przypadku zabezpieczeń osobistych;</w:t>
      </w:r>
    </w:p>
    <w:p w14:paraId="37880C94" w14:textId="77777777" w:rsidR="000E4871" w:rsidRPr="00B40CAA" w:rsidRDefault="000E4871" w:rsidP="000E4871">
      <w:pPr>
        <w:spacing w:after="48" w:line="276" w:lineRule="auto"/>
        <w:ind w:left="851" w:right="8" w:hanging="142"/>
        <w:rPr>
          <w:rFonts w:ascii="Times New Roman" w:hAnsi="Times New Roman" w:cs="Times New Roman"/>
          <w:color w:val="auto"/>
        </w:rPr>
      </w:pPr>
      <w:r w:rsidRPr="00B40CAA">
        <w:rPr>
          <w:rFonts w:ascii="Times New Roman" w:hAnsi="Times New Roman" w:cs="Times New Roman"/>
          <w:color w:val="auto"/>
        </w:rPr>
        <w:t>- możliwość pomniejszenia podstawy tworzenia rezerw celowych na należności Banku, na zasadach określonych w przepisach w sprawie tworzenia rezerw na ryzyko związane z działalnością banków oraz w aktualnych przepisach wewnętrznych Banku w tym zakresie;</w:t>
      </w:r>
    </w:p>
    <w:p w14:paraId="79574B06" w14:textId="77777777" w:rsidR="000E4871" w:rsidRPr="00B40CAA" w:rsidRDefault="000E4871" w:rsidP="000E4871">
      <w:pPr>
        <w:spacing w:after="48" w:line="276" w:lineRule="auto"/>
        <w:ind w:left="851" w:right="8" w:hanging="142"/>
        <w:rPr>
          <w:rFonts w:ascii="Times New Roman" w:hAnsi="Times New Roman" w:cs="Times New Roman"/>
          <w:color w:val="auto"/>
        </w:rPr>
      </w:pPr>
      <w:r w:rsidRPr="00B40CAA">
        <w:rPr>
          <w:rFonts w:ascii="Times New Roman" w:hAnsi="Times New Roman" w:cs="Times New Roman"/>
          <w:color w:val="auto"/>
        </w:rPr>
        <w:t>- możliwość uwzględnienia w rachunku wymogów kapitałowych efektu redukcji ryzyka kredytowego w wyniku przyjętych zabezpieczeń, spełniających kryteria określone w obowiązujących w Banku regulacjach.</w:t>
      </w:r>
    </w:p>
    <w:p w14:paraId="24E62D67" w14:textId="77777777" w:rsidR="000E4871" w:rsidRPr="00B40CAA" w:rsidRDefault="000E4871" w:rsidP="000E4871">
      <w:pPr>
        <w:spacing w:after="48" w:line="276" w:lineRule="auto"/>
        <w:ind w:left="142" w:right="8"/>
        <w:rPr>
          <w:rFonts w:ascii="Times New Roman" w:hAnsi="Times New Roman" w:cs="Times New Roman"/>
          <w:color w:val="auto"/>
        </w:rPr>
      </w:pPr>
      <w:r w:rsidRPr="00B40CAA">
        <w:rPr>
          <w:rFonts w:ascii="Times New Roman" w:hAnsi="Times New Roman" w:cs="Times New Roman"/>
          <w:color w:val="auto"/>
        </w:rPr>
        <w:t>2)   przewidywany koszt ustanowienia zabezpieczenia, który obejmuje:</w:t>
      </w:r>
    </w:p>
    <w:p w14:paraId="2D688496" w14:textId="77777777" w:rsidR="000E4871" w:rsidRPr="00B40CAA" w:rsidRDefault="000E4871" w:rsidP="000E4871">
      <w:pPr>
        <w:spacing w:after="48" w:line="276" w:lineRule="auto"/>
        <w:ind w:left="567" w:right="8" w:firstLine="0"/>
        <w:rPr>
          <w:rFonts w:ascii="Times New Roman" w:hAnsi="Times New Roman" w:cs="Times New Roman"/>
          <w:color w:val="auto"/>
        </w:rPr>
      </w:pPr>
      <w:r w:rsidRPr="00B40CAA">
        <w:rPr>
          <w:rFonts w:ascii="Times New Roman" w:hAnsi="Times New Roman" w:cs="Times New Roman"/>
          <w:color w:val="auto"/>
        </w:rPr>
        <w:t>a)    należności podatkowe, w tym podatek od czynności cywilnoprawnych, opłaty skarbowe;</w:t>
      </w:r>
    </w:p>
    <w:p w14:paraId="1DB342DD" w14:textId="77777777" w:rsidR="000E4871" w:rsidRPr="00B40CAA" w:rsidRDefault="000E4871" w:rsidP="000E4871">
      <w:pPr>
        <w:spacing w:after="48" w:line="276" w:lineRule="auto"/>
        <w:ind w:left="567" w:right="8" w:firstLine="0"/>
        <w:rPr>
          <w:rFonts w:ascii="Times New Roman" w:hAnsi="Times New Roman" w:cs="Times New Roman"/>
          <w:color w:val="auto"/>
        </w:rPr>
      </w:pPr>
      <w:r w:rsidRPr="00B40CAA">
        <w:rPr>
          <w:rFonts w:ascii="Times New Roman" w:hAnsi="Times New Roman" w:cs="Times New Roman"/>
          <w:color w:val="auto"/>
        </w:rPr>
        <w:t>b)  opłaty notarialne;</w:t>
      </w:r>
    </w:p>
    <w:p w14:paraId="0118DFFF" w14:textId="77777777" w:rsidR="000E4871" w:rsidRPr="00B40CAA" w:rsidRDefault="000E4871" w:rsidP="000E4871">
      <w:pPr>
        <w:spacing w:after="48" w:line="276" w:lineRule="auto"/>
        <w:ind w:left="567" w:right="8" w:firstLine="0"/>
        <w:rPr>
          <w:rFonts w:ascii="Times New Roman" w:hAnsi="Times New Roman" w:cs="Times New Roman"/>
          <w:color w:val="auto"/>
        </w:rPr>
      </w:pPr>
      <w:r w:rsidRPr="00B40CAA">
        <w:rPr>
          <w:rFonts w:ascii="Times New Roman" w:hAnsi="Times New Roman" w:cs="Times New Roman"/>
          <w:color w:val="auto"/>
        </w:rPr>
        <w:t>c)  opłaty sądowe;</w:t>
      </w:r>
    </w:p>
    <w:p w14:paraId="3255E698" w14:textId="77777777" w:rsidR="000E4871" w:rsidRPr="00B40CAA" w:rsidRDefault="000E4871" w:rsidP="000E4871">
      <w:pPr>
        <w:spacing w:after="48" w:line="276" w:lineRule="auto"/>
        <w:ind w:left="567" w:right="8" w:firstLine="0"/>
        <w:rPr>
          <w:rFonts w:ascii="Times New Roman" w:hAnsi="Times New Roman" w:cs="Times New Roman"/>
          <w:color w:val="auto"/>
        </w:rPr>
      </w:pPr>
      <w:r w:rsidRPr="00B40CAA">
        <w:rPr>
          <w:rFonts w:ascii="Times New Roman" w:hAnsi="Times New Roman" w:cs="Times New Roman"/>
          <w:color w:val="auto"/>
        </w:rPr>
        <w:t>d) opłaty o charakterze cywilnoprawnym;</w:t>
      </w:r>
    </w:p>
    <w:p w14:paraId="247C2E76" w14:textId="77777777" w:rsidR="000E4871" w:rsidRPr="00B40CAA" w:rsidRDefault="000E4871" w:rsidP="000E4871">
      <w:pPr>
        <w:spacing w:after="48" w:line="276" w:lineRule="auto"/>
        <w:ind w:left="567" w:right="8" w:hanging="425"/>
        <w:rPr>
          <w:rFonts w:ascii="Times New Roman" w:hAnsi="Times New Roman" w:cs="Times New Roman"/>
          <w:color w:val="auto"/>
        </w:rPr>
      </w:pPr>
      <w:r w:rsidRPr="00B40CAA">
        <w:rPr>
          <w:rFonts w:ascii="Times New Roman" w:hAnsi="Times New Roman" w:cs="Times New Roman"/>
          <w:color w:val="auto"/>
        </w:rPr>
        <w:t>3)   przewidywany nakład pracy Banku związany z monitorowaniem stanu zabezpieczeń oraz koszt dochodzenia roszczeń z przedmiotu zabezpieczenia, z zastrzeżeniem ponoszenia kosztów koniecznych;</w:t>
      </w:r>
    </w:p>
    <w:p w14:paraId="4B0F30A8" w14:textId="77777777" w:rsidR="000E4871" w:rsidRPr="00B40CAA" w:rsidRDefault="000E4871" w:rsidP="000E4871">
      <w:pPr>
        <w:spacing w:after="48" w:line="276" w:lineRule="auto"/>
        <w:ind w:left="567" w:right="8" w:hanging="425"/>
        <w:rPr>
          <w:rFonts w:ascii="Times New Roman" w:hAnsi="Times New Roman" w:cs="Times New Roman"/>
          <w:color w:val="auto"/>
        </w:rPr>
      </w:pPr>
      <w:r w:rsidRPr="00B40CAA">
        <w:rPr>
          <w:rFonts w:ascii="Times New Roman" w:hAnsi="Times New Roman" w:cs="Times New Roman"/>
          <w:color w:val="auto"/>
        </w:rPr>
        <w:t>4)   zasady stosowania odpowiednich form zabezpieczeń określone w odrębnych uregulowaniach wewnętrznych Banku.</w:t>
      </w:r>
    </w:p>
    <w:p w14:paraId="20CA7FAD" w14:textId="77777777" w:rsidR="000E4871" w:rsidRPr="00B40CAA" w:rsidRDefault="000E4871" w:rsidP="000E4871">
      <w:pPr>
        <w:spacing w:after="48" w:line="276" w:lineRule="auto"/>
        <w:ind w:left="-5" w:right="8"/>
        <w:rPr>
          <w:rFonts w:ascii="Times New Roman" w:hAnsi="Times New Roman" w:cs="Times New Roman"/>
          <w:color w:val="auto"/>
        </w:rPr>
      </w:pPr>
      <w:r w:rsidRPr="00B40CAA">
        <w:rPr>
          <w:rFonts w:ascii="Times New Roman" w:hAnsi="Times New Roman" w:cs="Times New Roman"/>
          <w:color w:val="auto"/>
        </w:rPr>
        <w:t xml:space="preserve">Wartość przyjmowanych zabezpieczeń powinna zapewnić odpowiedni poziom wskaźnika </w:t>
      </w:r>
      <w:proofErr w:type="spellStart"/>
      <w:r w:rsidRPr="00B40CAA">
        <w:rPr>
          <w:rFonts w:ascii="Times New Roman" w:hAnsi="Times New Roman" w:cs="Times New Roman"/>
          <w:color w:val="auto"/>
        </w:rPr>
        <w:t>LtV</w:t>
      </w:r>
      <w:proofErr w:type="spellEnd"/>
      <w:r w:rsidRPr="00B40CAA">
        <w:rPr>
          <w:rFonts w:ascii="Times New Roman" w:hAnsi="Times New Roman" w:cs="Times New Roman"/>
          <w:color w:val="auto"/>
        </w:rPr>
        <w:t xml:space="preserve"> przez cały okres kredytowania. W okresie kredytowania wskaźnik </w:t>
      </w:r>
      <w:proofErr w:type="spellStart"/>
      <w:r w:rsidRPr="00B40CAA">
        <w:rPr>
          <w:rFonts w:ascii="Times New Roman" w:hAnsi="Times New Roman" w:cs="Times New Roman"/>
          <w:color w:val="auto"/>
        </w:rPr>
        <w:t>LtV</w:t>
      </w:r>
      <w:proofErr w:type="spellEnd"/>
      <w:r w:rsidRPr="00B40CAA">
        <w:rPr>
          <w:rFonts w:ascii="Times New Roman" w:hAnsi="Times New Roman" w:cs="Times New Roman"/>
          <w:color w:val="auto"/>
        </w:rPr>
        <w:t xml:space="preserve"> powinien pozostać co najwyżej na poziomie określonym w momencie udzielenia kredytu. Bank co najmniej raz do roku monitoruje poziom wskaźnika </w:t>
      </w:r>
      <w:proofErr w:type="spellStart"/>
      <w:r w:rsidRPr="00B40CAA">
        <w:rPr>
          <w:rFonts w:ascii="Times New Roman" w:hAnsi="Times New Roman" w:cs="Times New Roman"/>
          <w:color w:val="auto"/>
        </w:rPr>
        <w:t>LtV</w:t>
      </w:r>
      <w:proofErr w:type="spellEnd"/>
      <w:r w:rsidRPr="00B40CAA">
        <w:rPr>
          <w:rFonts w:ascii="Times New Roman" w:hAnsi="Times New Roman" w:cs="Times New Roman"/>
          <w:color w:val="auto"/>
        </w:rPr>
        <w:t xml:space="preserve"> w stosunku do zabezpieczeń, które podlegają wycenie w okresie kredytowania na podstawie Instrukcji monitoringu zabezpieczeń oraz Instrukcji Zasady klasyfikacji ekspozycji kredytowych i tworzenia rezerw celowych.</w:t>
      </w:r>
    </w:p>
    <w:p w14:paraId="1390DB87" w14:textId="77777777" w:rsidR="000E4871" w:rsidRPr="00B40CAA" w:rsidRDefault="000E4871" w:rsidP="000E4871">
      <w:pPr>
        <w:spacing w:after="48" w:line="276" w:lineRule="auto"/>
        <w:ind w:left="-5" w:right="8"/>
        <w:rPr>
          <w:rFonts w:ascii="Times New Roman" w:hAnsi="Times New Roman" w:cs="Times New Roman"/>
          <w:color w:val="auto"/>
        </w:rPr>
      </w:pPr>
      <w:r w:rsidRPr="00B40CAA">
        <w:rPr>
          <w:rFonts w:ascii="Times New Roman" w:hAnsi="Times New Roman" w:cs="Times New Roman"/>
          <w:color w:val="auto"/>
        </w:rPr>
        <w:t>W procesie kredytowania preferowane są zabezpieczenia możliwe do wykorzystania w technikach redukcji ryzyka kredytowego wpływające na zmniejszenie wymogu kapitałowego Banku z tytułu ryzyka kredytowego Banku oraz zabezpieczenia umożliwiające pomniejszenie podstawy naliczenia rezerwy celowej.</w:t>
      </w:r>
    </w:p>
    <w:p w14:paraId="37428F0E" w14:textId="7359F941" w:rsidR="000E4871" w:rsidRPr="00B40CAA" w:rsidRDefault="000E4871" w:rsidP="000E4871">
      <w:pPr>
        <w:spacing w:after="48" w:line="276" w:lineRule="auto"/>
        <w:ind w:left="-5" w:right="8"/>
        <w:rPr>
          <w:rFonts w:ascii="Times New Roman" w:hAnsi="Times New Roman" w:cs="Times New Roman"/>
          <w:color w:val="auto"/>
        </w:rPr>
      </w:pPr>
      <w:r w:rsidRPr="00B40CAA">
        <w:rPr>
          <w:rFonts w:ascii="Times New Roman" w:hAnsi="Times New Roman" w:cs="Times New Roman"/>
          <w:color w:val="auto"/>
        </w:rPr>
        <w:t>Podstawowymi formami zabe</w:t>
      </w:r>
      <w:r w:rsidR="001356CD" w:rsidRPr="00B40CAA">
        <w:rPr>
          <w:rFonts w:ascii="Times New Roman" w:hAnsi="Times New Roman" w:cs="Times New Roman"/>
          <w:color w:val="auto"/>
        </w:rPr>
        <w:t>zpieczenia, ustanawianymi w 20</w:t>
      </w:r>
      <w:r w:rsidR="00977E61">
        <w:rPr>
          <w:rFonts w:ascii="Times New Roman" w:hAnsi="Times New Roman" w:cs="Times New Roman"/>
          <w:color w:val="auto"/>
        </w:rPr>
        <w:t>20</w:t>
      </w:r>
      <w:r w:rsidRPr="00B40CAA">
        <w:rPr>
          <w:rFonts w:ascii="Times New Roman" w:hAnsi="Times New Roman" w:cs="Times New Roman"/>
          <w:color w:val="auto"/>
        </w:rPr>
        <w:t xml:space="preserve"> r. w Banku były:</w:t>
      </w:r>
    </w:p>
    <w:p w14:paraId="0F76CABB" w14:textId="77777777" w:rsidR="000E4871" w:rsidRPr="00B40CAA" w:rsidRDefault="000E4871" w:rsidP="000E4871">
      <w:pPr>
        <w:spacing w:after="48" w:line="276" w:lineRule="auto"/>
        <w:ind w:left="709" w:right="8" w:hanging="567"/>
        <w:rPr>
          <w:rFonts w:ascii="Times New Roman" w:hAnsi="Times New Roman" w:cs="Times New Roman"/>
          <w:color w:val="auto"/>
        </w:rPr>
      </w:pPr>
      <w:r w:rsidRPr="00B40CAA">
        <w:rPr>
          <w:rFonts w:ascii="Times New Roman" w:hAnsi="Times New Roman" w:cs="Times New Roman"/>
          <w:color w:val="auto"/>
        </w:rPr>
        <w:t>1)  weksel własny In blanco wraz z deklaracją wekslową;</w:t>
      </w:r>
    </w:p>
    <w:p w14:paraId="5B4C15B7" w14:textId="77777777" w:rsidR="000E4871" w:rsidRPr="00B40CAA" w:rsidRDefault="000E4871" w:rsidP="000E4871">
      <w:pPr>
        <w:spacing w:after="48" w:line="276" w:lineRule="auto"/>
        <w:ind w:left="709" w:right="8" w:hanging="567"/>
        <w:rPr>
          <w:rFonts w:ascii="Times New Roman" w:hAnsi="Times New Roman" w:cs="Times New Roman"/>
          <w:color w:val="auto"/>
        </w:rPr>
      </w:pPr>
      <w:r w:rsidRPr="00B40CAA">
        <w:rPr>
          <w:rFonts w:ascii="Times New Roman" w:hAnsi="Times New Roman" w:cs="Times New Roman"/>
          <w:color w:val="auto"/>
        </w:rPr>
        <w:t>2)  pełnomocnictwo do dysponowania rachunkiem bankowym w Banku;</w:t>
      </w:r>
    </w:p>
    <w:p w14:paraId="10E9E6A6" w14:textId="77777777" w:rsidR="000E4871" w:rsidRPr="00B40CAA" w:rsidRDefault="000E4871" w:rsidP="000E4871">
      <w:pPr>
        <w:spacing w:after="48" w:line="276" w:lineRule="auto"/>
        <w:ind w:left="709" w:right="8" w:hanging="567"/>
        <w:rPr>
          <w:rFonts w:ascii="Times New Roman" w:hAnsi="Times New Roman" w:cs="Times New Roman"/>
          <w:color w:val="auto"/>
        </w:rPr>
      </w:pPr>
      <w:r w:rsidRPr="00B40CAA">
        <w:rPr>
          <w:rFonts w:ascii="Times New Roman" w:hAnsi="Times New Roman" w:cs="Times New Roman"/>
          <w:color w:val="auto"/>
        </w:rPr>
        <w:t>3)  poręczenie wg prawa cywilnego;</w:t>
      </w:r>
    </w:p>
    <w:p w14:paraId="7842279F" w14:textId="77777777" w:rsidR="000E4871" w:rsidRPr="00B40CAA" w:rsidRDefault="000E4871" w:rsidP="000E4871">
      <w:pPr>
        <w:spacing w:after="48" w:line="276" w:lineRule="auto"/>
        <w:ind w:left="709" w:right="8" w:hanging="567"/>
        <w:rPr>
          <w:rFonts w:ascii="Times New Roman" w:hAnsi="Times New Roman" w:cs="Times New Roman"/>
          <w:color w:val="auto"/>
        </w:rPr>
      </w:pPr>
      <w:r w:rsidRPr="00B40CAA">
        <w:rPr>
          <w:rFonts w:ascii="Times New Roman" w:hAnsi="Times New Roman" w:cs="Times New Roman"/>
          <w:color w:val="auto"/>
        </w:rPr>
        <w:t>4)  poręczenie wg prawa wekslowego ;</w:t>
      </w:r>
    </w:p>
    <w:p w14:paraId="1CF6FD3E" w14:textId="77777777" w:rsidR="000E4871" w:rsidRPr="00B40CAA" w:rsidRDefault="000E4871" w:rsidP="000E4871">
      <w:pPr>
        <w:spacing w:after="48" w:line="276" w:lineRule="auto"/>
        <w:ind w:left="709" w:right="8" w:hanging="567"/>
        <w:rPr>
          <w:rFonts w:ascii="Times New Roman" w:hAnsi="Times New Roman" w:cs="Times New Roman"/>
          <w:color w:val="auto"/>
        </w:rPr>
      </w:pPr>
      <w:r w:rsidRPr="00B40CAA">
        <w:rPr>
          <w:rFonts w:ascii="Times New Roman" w:hAnsi="Times New Roman" w:cs="Times New Roman"/>
          <w:color w:val="auto"/>
        </w:rPr>
        <w:t>5)  przelew (cesja) wierzytelności;</w:t>
      </w:r>
    </w:p>
    <w:p w14:paraId="4A5DFE60" w14:textId="77777777" w:rsidR="000E4871" w:rsidRPr="00B40CAA" w:rsidRDefault="000E4871" w:rsidP="000E4871">
      <w:pPr>
        <w:spacing w:after="48" w:line="276" w:lineRule="auto"/>
        <w:ind w:left="709" w:right="8" w:hanging="567"/>
        <w:rPr>
          <w:rFonts w:ascii="Times New Roman" w:hAnsi="Times New Roman" w:cs="Times New Roman"/>
          <w:color w:val="auto"/>
        </w:rPr>
      </w:pPr>
      <w:r w:rsidRPr="00B40CAA">
        <w:rPr>
          <w:rFonts w:ascii="Times New Roman" w:hAnsi="Times New Roman" w:cs="Times New Roman"/>
          <w:color w:val="auto"/>
        </w:rPr>
        <w:t>6)  hipoteka na nieruchomości;</w:t>
      </w:r>
    </w:p>
    <w:p w14:paraId="12F49453" w14:textId="77777777" w:rsidR="000E4871" w:rsidRPr="00B40CAA" w:rsidRDefault="000E4871" w:rsidP="000E4871">
      <w:pPr>
        <w:spacing w:after="48" w:line="276" w:lineRule="auto"/>
        <w:ind w:left="709" w:right="8" w:hanging="567"/>
        <w:rPr>
          <w:rFonts w:ascii="Times New Roman" w:hAnsi="Times New Roman" w:cs="Times New Roman"/>
          <w:color w:val="auto"/>
        </w:rPr>
      </w:pPr>
      <w:r w:rsidRPr="00B40CAA">
        <w:rPr>
          <w:rFonts w:ascii="Times New Roman" w:hAnsi="Times New Roman" w:cs="Times New Roman"/>
          <w:color w:val="auto"/>
        </w:rPr>
        <w:t>7)  przewłaszczenie na zabezpieczenie;</w:t>
      </w:r>
    </w:p>
    <w:p w14:paraId="4BEAF9C3" w14:textId="77777777" w:rsidR="000E4871" w:rsidRPr="00B40CAA" w:rsidRDefault="000E4871" w:rsidP="000E4871">
      <w:pPr>
        <w:spacing w:after="48" w:line="276" w:lineRule="auto"/>
        <w:ind w:left="709" w:right="8" w:hanging="567"/>
        <w:rPr>
          <w:rFonts w:ascii="Times New Roman" w:hAnsi="Times New Roman" w:cs="Times New Roman"/>
          <w:color w:val="auto"/>
        </w:rPr>
      </w:pPr>
      <w:r w:rsidRPr="00B40CAA">
        <w:rPr>
          <w:rFonts w:ascii="Times New Roman" w:hAnsi="Times New Roman" w:cs="Times New Roman"/>
          <w:color w:val="auto"/>
        </w:rPr>
        <w:lastRenderedPageBreak/>
        <w:t>8)  zastaw rejestrowy;</w:t>
      </w:r>
    </w:p>
    <w:p w14:paraId="107C7DDE" w14:textId="77777777" w:rsidR="000E4871" w:rsidRPr="00B40CAA" w:rsidRDefault="000E4871" w:rsidP="000E4871">
      <w:pPr>
        <w:spacing w:after="48" w:line="276" w:lineRule="auto"/>
        <w:ind w:left="709" w:right="8" w:hanging="567"/>
        <w:rPr>
          <w:rFonts w:ascii="Times New Roman" w:hAnsi="Times New Roman" w:cs="Times New Roman"/>
          <w:color w:val="auto"/>
        </w:rPr>
      </w:pPr>
      <w:r w:rsidRPr="00B40CAA">
        <w:rPr>
          <w:rFonts w:ascii="Times New Roman" w:hAnsi="Times New Roman" w:cs="Times New Roman"/>
          <w:color w:val="auto"/>
        </w:rPr>
        <w:t>9)  gwarancja BGK.</w:t>
      </w:r>
    </w:p>
    <w:p w14:paraId="12F560D4" w14:textId="77777777" w:rsidR="000E4871" w:rsidRPr="00065790" w:rsidRDefault="000E4871" w:rsidP="000E4871">
      <w:pPr>
        <w:spacing w:after="48" w:line="276" w:lineRule="auto"/>
        <w:ind w:left="709" w:right="8" w:hanging="567"/>
        <w:rPr>
          <w:rFonts w:ascii="Times New Roman" w:hAnsi="Times New Roman" w:cs="Times New Roman"/>
          <w:color w:val="FF0000"/>
        </w:rPr>
      </w:pPr>
    </w:p>
    <w:p w14:paraId="6A905AD0" w14:textId="144C4750" w:rsidR="000E4871" w:rsidRPr="00271DBF" w:rsidRDefault="009E65DD" w:rsidP="00A95CDF">
      <w:pPr>
        <w:spacing w:after="48" w:line="276" w:lineRule="auto"/>
        <w:ind w:left="-5" w:right="8"/>
        <w:rPr>
          <w:rFonts w:ascii="Times New Roman" w:hAnsi="Times New Roman" w:cs="Times New Roman"/>
          <w:color w:val="auto"/>
        </w:rPr>
      </w:pPr>
      <w:r w:rsidRPr="00B40CAA">
        <w:rPr>
          <w:rFonts w:ascii="Times New Roman" w:hAnsi="Times New Roman" w:cs="Times New Roman"/>
          <w:color w:val="auto"/>
        </w:rPr>
        <w:t>Na dzień 31.12.20</w:t>
      </w:r>
      <w:r w:rsidR="00B40CAA" w:rsidRPr="00B40CAA">
        <w:rPr>
          <w:rFonts w:ascii="Times New Roman" w:hAnsi="Times New Roman" w:cs="Times New Roman"/>
          <w:color w:val="auto"/>
        </w:rPr>
        <w:t>20</w:t>
      </w:r>
      <w:r w:rsidR="000E4871" w:rsidRPr="00B40CAA">
        <w:rPr>
          <w:rFonts w:ascii="Times New Roman" w:hAnsi="Times New Roman" w:cs="Times New Roman"/>
          <w:color w:val="auto"/>
        </w:rPr>
        <w:t xml:space="preserve"> r. Bank nie stosował pomniejszenia podstawy tworzenia rezerw celowych Bank nie stosował technik redukcji ryzyka kredytowego  przy pomniejszaniu wag ryzyka przypisanych ekspozycjom kredytowym, dla których zabezpieczeniem jest nieruchomość </w:t>
      </w:r>
      <w:r w:rsidR="000E4871" w:rsidRPr="00271DBF">
        <w:rPr>
          <w:rFonts w:ascii="Times New Roman" w:hAnsi="Times New Roman" w:cs="Times New Roman"/>
          <w:color w:val="auto"/>
        </w:rPr>
        <w:t xml:space="preserve">mieszkalna (waga ryzyka 35%). </w:t>
      </w:r>
    </w:p>
    <w:p w14:paraId="6907E069" w14:textId="54FF0545" w:rsidR="000E4871" w:rsidRPr="00271DBF" w:rsidRDefault="000E4871" w:rsidP="000E4871">
      <w:pPr>
        <w:spacing w:after="3" w:line="259" w:lineRule="auto"/>
        <w:ind w:left="-5" w:right="0"/>
        <w:jc w:val="left"/>
        <w:rPr>
          <w:rFonts w:ascii="Times New Roman" w:hAnsi="Times New Roman" w:cs="Times New Roman"/>
          <w:i/>
          <w:color w:val="auto"/>
          <w:sz w:val="20"/>
        </w:rPr>
      </w:pPr>
      <w:r w:rsidRPr="00271DBF">
        <w:rPr>
          <w:rFonts w:ascii="Times New Roman" w:hAnsi="Times New Roman" w:cs="Times New Roman"/>
          <w:i/>
          <w:color w:val="auto"/>
          <w:sz w:val="20"/>
        </w:rPr>
        <w:t>Tabela – Ekspozycje zabezpieczone poszczególnymi rod</w:t>
      </w:r>
      <w:r w:rsidR="00D00CB7" w:rsidRPr="00271DBF">
        <w:rPr>
          <w:rFonts w:ascii="Times New Roman" w:hAnsi="Times New Roman" w:cs="Times New Roman"/>
          <w:i/>
          <w:color w:val="auto"/>
          <w:sz w:val="20"/>
        </w:rPr>
        <w:t>zajami zabezpieczeń – 31.12.20</w:t>
      </w:r>
      <w:r w:rsidR="0001194F" w:rsidRPr="00271DBF">
        <w:rPr>
          <w:rFonts w:ascii="Times New Roman" w:hAnsi="Times New Roman" w:cs="Times New Roman"/>
          <w:i/>
          <w:color w:val="auto"/>
          <w:sz w:val="20"/>
        </w:rPr>
        <w:t>20</w:t>
      </w:r>
      <w:r w:rsidRPr="00271DBF">
        <w:rPr>
          <w:rFonts w:ascii="Times New Roman" w:hAnsi="Times New Roman" w:cs="Times New Roman"/>
          <w:i/>
          <w:color w:val="auto"/>
          <w:sz w:val="20"/>
        </w:rPr>
        <w:t xml:space="preserve"> r. (w tys. zł).</w:t>
      </w:r>
    </w:p>
    <w:tbl>
      <w:tblPr>
        <w:tblW w:w="7717" w:type="dxa"/>
        <w:tblInd w:w="75" w:type="dxa"/>
        <w:tblCellMar>
          <w:left w:w="70" w:type="dxa"/>
          <w:right w:w="70" w:type="dxa"/>
        </w:tblCellMar>
        <w:tblLook w:val="04A0" w:firstRow="1" w:lastRow="0" w:firstColumn="1" w:lastColumn="0" w:noHBand="0" w:noVBand="1"/>
      </w:tblPr>
      <w:tblGrid>
        <w:gridCol w:w="5377"/>
        <w:gridCol w:w="2340"/>
      </w:tblGrid>
      <w:tr w:rsidR="00065790" w:rsidRPr="00271DBF" w14:paraId="6FA69599" w14:textId="77777777" w:rsidTr="0001194F">
        <w:trPr>
          <w:trHeight w:val="735"/>
        </w:trPr>
        <w:tc>
          <w:tcPr>
            <w:tcW w:w="5377" w:type="dxa"/>
            <w:tcBorders>
              <w:top w:val="single" w:sz="4" w:space="0" w:color="000000"/>
              <w:left w:val="single" w:sz="4" w:space="0" w:color="000000"/>
              <w:bottom w:val="single" w:sz="4" w:space="0" w:color="000000"/>
              <w:right w:val="single" w:sz="4" w:space="0" w:color="000000"/>
            </w:tcBorders>
            <w:shd w:val="clear" w:color="000000" w:fill="335EA8"/>
            <w:hideMark/>
          </w:tcPr>
          <w:p w14:paraId="0BEDD1E9" w14:textId="77777777" w:rsidR="00D00CB7" w:rsidRPr="00271DBF" w:rsidRDefault="00D00CB7" w:rsidP="0026498E">
            <w:pPr>
              <w:spacing w:after="0" w:line="240" w:lineRule="auto"/>
              <w:ind w:left="0" w:right="0" w:firstLine="0"/>
              <w:jc w:val="center"/>
              <w:rPr>
                <w:rFonts w:ascii="Times New Roman" w:eastAsia="Times New Roman" w:hAnsi="Times New Roman" w:cs="Times New Roman"/>
                <w:b/>
                <w:bCs/>
                <w:color w:val="auto"/>
                <w:sz w:val="20"/>
                <w:szCs w:val="20"/>
              </w:rPr>
            </w:pPr>
            <w:r w:rsidRPr="00271DBF">
              <w:rPr>
                <w:rFonts w:ascii="Times New Roman" w:eastAsia="Times New Roman" w:hAnsi="Times New Roman" w:cs="Times New Roman"/>
                <w:b/>
                <w:bCs/>
                <w:color w:val="auto"/>
                <w:sz w:val="20"/>
                <w:szCs w:val="20"/>
              </w:rPr>
              <w:t>Rodzaj zabezpieczenia</w:t>
            </w:r>
          </w:p>
        </w:tc>
        <w:tc>
          <w:tcPr>
            <w:tcW w:w="2340" w:type="dxa"/>
            <w:tcBorders>
              <w:top w:val="single" w:sz="4" w:space="0" w:color="000000"/>
              <w:left w:val="nil"/>
              <w:bottom w:val="single" w:sz="4" w:space="0" w:color="000000"/>
              <w:right w:val="single" w:sz="4" w:space="0" w:color="000000"/>
            </w:tcBorders>
            <w:shd w:val="clear" w:color="000000" w:fill="F0F0F0"/>
            <w:hideMark/>
          </w:tcPr>
          <w:p w14:paraId="3D9A9DDA" w14:textId="77777777" w:rsidR="00D00CB7" w:rsidRPr="00271DBF" w:rsidRDefault="00D00CB7" w:rsidP="0026498E">
            <w:pPr>
              <w:spacing w:after="0" w:line="240" w:lineRule="auto"/>
              <w:ind w:left="0" w:right="0" w:firstLine="0"/>
              <w:jc w:val="center"/>
              <w:rPr>
                <w:rFonts w:ascii="Times New Roman" w:eastAsia="Times New Roman" w:hAnsi="Times New Roman" w:cs="Times New Roman"/>
                <w:color w:val="auto"/>
                <w:sz w:val="20"/>
                <w:szCs w:val="20"/>
              </w:rPr>
            </w:pPr>
            <w:r w:rsidRPr="00271DBF">
              <w:rPr>
                <w:rFonts w:ascii="Times New Roman" w:eastAsia="Times New Roman" w:hAnsi="Times New Roman" w:cs="Times New Roman"/>
                <w:color w:val="auto"/>
                <w:sz w:val="20"/>
                <w:szCs w:val="20"/>
              </w:rPr>
              <w:t>Wartość ekspozycji</w:t>
            </w:r>
          </w:p>
        </w:tc>
      </w:tr>
      <w:tr w:rsidR="0001194F" w:rsidRPr="00065790" w14:paraId="6DEE8E20" w14:textId="77777777" w:rsidTr="0001194F">
        <w:trPr>
          <w:trHeight w:val="300"/>
        </w:trPr>
        <w:tc>
          <w:tcPr>
            <w:tcW w:w="5377" w:type="dxa"/>
            <w:tcBorders>
              <w:top w:val="single" w:sz="4" w:space="0" w:color="000000"/>
              <w:left w:val="single" w:sz="4" w:space="0" w:color="000000"/>
              <w:bottom w:val="single" w:sz="4" w:space="0" w:color="000000"/>
              <w:right w:val="single" w:sz="4" w:space="0" w:color="000000"/>
            </w:tcBorders>
            <w:shd w:val="clear" w:color="000000" w:fill="F0F0F0"/>
            <w:hideMark/>
          </w:tcPr>
          <w:p w14:paraId="64C613E1" w14:textId="25AE52C2" w:rsidR="0001194F" w:rsidRPr="0001194F" w:rsidRDefault="0001194F" w:rsidP="0001194F">
            <w:pPr>
              <w:spacing w:after="0" w:line="240" w:lineRule="auto"/>
              <w:ind w:left="0" w:right="0" w:firstLine="0"/>
              <w:jc w:val="left"/>
              <w:rPr>
                <w:rFonts w:ascii="Times New Roman" w:eastAsia="Times New Roman" w:hAnsi="Times New Roman" w:cs="Times New Roman"/>
                <w:color w:val="FF0000"/>
                <w:sz w:val="20"/>
                <w:szCs w:val="20"/>
              </w:rPr>
            </w:pPr>
            <w:r w:rsidRPr="0001194F">
              <w:rPr>
                <w:rFonts w:ascii="Times New Roman" w:hAnsi="Times New Roman" w:cs="Times New Roman"/>
                <w:sz w:val="20"/>
                <w:szCs w:val="20"/>
              </w:rPr>
              <w:t>Blokada środków pieniężnych</w:t>
            </w:r>
          </w:p>
        </w:tc>
        <w:tc>
          <w:tcPr>
            <w:tcW w:w="2340" w:type="dxa"/>
            <w:tcBorders>
              <w:top w:val="single" w:sz="4" w:space="0" w:color="000000"/>
              <w:left w:val="nil"/>
              <w:bottom w:val="single" w:sz="4" w:space="0" w:color="000000"/>
              <w:right w:val="single" w:sz="4" w:space="0" w:color="000000"/>
            </w:tcBorders>
            <w:shd w:val="clear" w:color="000000" w:fill="FFFFFF"/>
            <w:noWrap/>
            <w:hideMark/>
          </w:tcPr>
          <w:p w14:paraId="1DF57DF9" w14:textId="41234F32" w:rsidR="0001194F" w:rsidRPr="0001194F" w:rsidRDefault="00271DBF" w:rsidP="0001194F">
            <w:pPr>
              <w:spacing w:after="0" w:line="240" w:lineRule="auto"/>
              <w:ind w:left="0" w:right="0" w:firstLine="0"/>
              <w:jc w:val="right"/>
              <w:rPr>
                <w:rFonts w:ascii="Times New Roman" w:eastAsia="Times New Roman" w:hAnsi="Times New Roman" w:cs="Times New Roman"/>
                <w:color w:val="FF0000"/>
                <w:sz w:val="20"/>
                <w:szCs w:val="20"/>
              </w:rPr>
            </w:pPr>
            <w:r>
              <w:rPr>
                <w:rFonts w:ascii="Times New Roman" w:hAnsi="Times New Roman" w:cs="Times New Roman"/>
                <w:sz w:val="20"/>
                <w:szCs w:val="20"/>
              </w:rPr>
              <w:t>73</w:t>
            </w:r>
          </w:p>
        </w:tc>
      </w:tr>
      <w:tr w:rsidR="0001194F" w:rsidRPr="00065790" w14:paraId="72FEBE09" w14:textId="77777777" w:rsidTr="0001194F">
        <w:trPr>
          <w:trHeight w:val="300"/>
        </w:trPr>
        <w:tc>
          <w:tcPr>
            <w:tcW w:w="5377" w:type="dxa"/>
            <w:tcBorders>
              <w:top w:val="single" w:sz="4" w:space="0" w:color="000000"/>
              <w:left w:val="single" w:sz="4" w:space="0" w:color="000000"/>
              <w:bottom w:val="single" w:sz="4" w:space="0" w:color="000000"/>
              <w:right w:val="single" w:sz="4" w:space="0" w:color="000000"/>
            </w:tcBorders>
            <w:shd w:val="clear" w:color="000000" w:fill="F0F0F0"/>
            <w:hideMark/>
          </w:tcPr>
          <w:p w14:paraId="73CF4534" w14:textId="5BC7D3F4" w:rsidR="0001194F" w:rsidRPr="0001194F" w:rsidRDefault="0001194F" w:rsidP="0001194F">
            <w:pPr>
              <w:spacing w:after="0" w:line="240" w:lineRule="auto"/>
              <w:ind w:left="0" w:right="0" w:firstLine="0"/>
              <w:jc w:val="left"/>
              <w:rPr>
                <w:rFonts w:ascii="Times New Roman" w:eastAsia="Times New Roman" w:hAnsi="Times New Roman" w:cs="Times New Roman"/>
                <w:color w:val="FF0000"/>
                <w:sz w:val="20"/>
                <w:szCs w:val="20"/>
              </w:rPr>
            </w:pPr>
            <w:r w:rsidRPr="0001194F">
              <w:rPr>
                <w:rFonts w:ascii="Times New Roman" w:hAnsi="Times New Roman" w:cs="Times New Roman"/>
                <w:sz w:val="20"/>
                <w:szCs w:val="20"/>
              </w:rPr>
              <w:t>Cesja wierzytelności</w:t>
            </w:r>
          </w:p>
        </w:tc>
        <w:tc>
          <w:tcPr>
            <w:tcW w:w="2340" w:type="dxa"/>
            <w:tcBorders>
              <w:top w:val="single" w:sz="4" w:space="0" w:color="000000"/>
              <w:left w:val="nil"/>
              <w:bottom w:val="single" w:sz="4" w:space="0" w:color="000000"/>
              <w:right w:val="single" w:sz="4" w:space="0" w:color="000000"/>
            </w:tcBorders>
            <w:shd w:val="clear" w:color="000000" w:fill="FFFFFF"/>
            <w:noWrap/>
            <w:hideMark/>
          </w:tcPr>
          <w:p w14:paraId="719EC52A" w14:textId="02A2071C" w:rsidR="0001194F" w:rsidRPr="0001194F" w:rsidRDefault="0001194F" w:rsidP="00271DBF">
            <w:pPr>
              <w:spacing w:after="0" w:line="240" w:lineRule="auto"/>
              <w:ind w:left="0" w:right="0" w:firstLine="0"/>
              <w:jc w:val="right"/>
              <w:rPr>
                <w:rFonts w:ascii="Times New Roman" w:eastAsia="Times New Roman" w:hAnsi="Times New Roman" w:cs="Times New Roman"/>
                <w:color w:val="FF0000"/>
                <w:sz w:val="20"/>
                <w:szCs w:val="20"/>
              </w:rPr>
            </w:pPr>
            <w:r w:rsidRPr="0001194F">
              <w:rPr>
                <w:rFonts w:ascii="Times New Roman" w:hAnsi="Times New Roman" w:cs="Times New Roman"/>
                <w:sz w:val="20"/>
                <w:szCs w:val="20"/>
              </w:rPr>
              <w:t>6</w:t>
            </w:r>
            <w:r>
              <w:rPr>
                <w:rFonts w:ascii="Times New Roman" w:hAnsi="Times New Roman" w:cs="Times New Roman"/>
                <w:sz w:val="20"/>
                <w:szCs w:val="20"/>
              </w:rPr>
              <w:t xml:space="preserve"> </w:t>
            </w:r>
            <w:r w:rsidRPr="0001194F">
              <w:rPr>
                <w:rFonts w:ascii="Times New Roman" w:hAnsi="Times New Roman" w:cs="Times New Roman"/>
                <w:sz w:val="20"/>
                <w:szCs w:val="20"/>
              </w:rPr>
              <w:t>810</w:t>
            </w:r>
            <w:r>
              <w:rPr>
                <w:rFonts w:ascii="Times New Roman" w:hAnsi="Times New Roman" w:cs="Times New Roman"/>
                <w:sz w:val="20"/>
                <w:szCs w:val="20"/>
              </w:rPr>
              <w:t xml:space="preserve"> </w:t>
            </w:r>
          </w:p>
        </w:tc>
      </w:tr>
      <w:tr w:rsidR="0001194F" w:rsidRPr="00065790" w14:paraId="21E7D158" w14:textId="77777777" w:rsidTr="0001194F">
        <w:trPr>
          <w:trHeight w:val="300"/>
        </w:trPr>
        <w:tc>
          <w:tcPr>
            <w:tcW w:w="5377" w:type="dxa"/>
            <w:tcBorders>
              <w:top w:val="single" w:sz="4" w:space="0" w:color="000000"/>
              <w:left w:val="single" w:sz="4" w:space="0" w:color="000000"/>
              <w:bottom w:val="single" w:sz="4" w:space="0" w:color="000000"/>
              <w:right w:val="single" w:sz="4" w:space="0" w:color="000000"/>
            </w:tcBorders>
            <w:shd w:val="clear" w:color="000000" w:fill="F0F0F0"/>
            <w:hideMark/>
          </w:tcPr>
          <w:p w14:paraId="31CD611F" w14:textId="48311AE4" w:rsidR="0001194F" w:rsidRPr="0001194F" w:rsidRDefault="0001194F" w:rsidP="0001194F">
            <w:pPr>
              <w:spacing w:after="0" w:line="240" w:lineRule="auto"/>
              <w:ind w:left="0" w:right="0" w:firstLine="0"/>
              <w:jc w:val="left"/>
              <w:rPr>
                <w:rFonts w:ascii="Times New Roman" w:eastAsia="Times New Roman" w:hAnsi="Times New Roman" w:cs="Times New Roman"/>
                <w:color w:val="FF0000"/>
                <w:sz w:val="20"/>
                <w:szCs w:val="20"/>
              </w:rPr>
            </w:pPr>
            <w:r w:rsidRPr="0001194F">
              <w:rPr>
                <w:rFonts w:ascii="Times New Roman" w:hAnsi="Times New Roman" w:cs="Times New Roman"/>
                <w:sz w:val="20"/>
                <w:szCs w:val="20"/>
              </w:rPr>
              <w:t>Gwarancja</w:t>
            </w:r>
          </w:p>
        </w:tc>
        <w:tc>
          <w:tcPr>
            <w:tcW w:w="2340" w:type="dxa"/>
            <w:tcBorders>
              <w:top w:val="single" w:sz="4" w:space="0" w:color="000000"/>
              <w:left w:val="nil"/>
              <w:bottom w:val="single" w:sz="4" w:space="0" w:color="000000"/>
              <w:right w:val="single" w:sz="4" w:space="0" w:color="000000"/>
            </w:tcBorders>
            <w:shd w:val="clear" w:color="000000" w:fill="FFFFFF"/>
            <w:noWrap/>
            <w:hideMark/>
          </w:tcPr>
          <w:p w14:paraId="2F13B3DC" w14:textId="1CF77DC3" w:rsidR="0001194F" w:rsidRPr="0001194F" w:rsidRDefault="0001194F" w:rsidP="00271DBF">
            <w:pPr>
              <w:spacing w:after="0" w:line="240" w:lineRule="auto"/>
              <w:ind w:left="0" w:right="0" w:firstLine="0"/>
              <w:jc w:val="right"/>
              <w:rPr>
                <w:rFonts w:ascii="Times New Roman" w:eastAsia="Times New Roman" w:hAnsi="Times New Roman" w:cs="Times New Roman"/>
                <w:color w:val="FF0000"/>
                <w:sz w:val="20"/>
                <w:szCs w:val="20"/>
              </w:rPr>
            </w:pPr>
            <w:r w:rsidRPr="0001194F">
              <w:rPr>
                <w:rFonts w:ascii="Times New Roman" w:hAnsi="Times New Roman" w:cs="Times New Roman"/>
                <w:sz w:val="20"/>
                <w:szCs w:val="20"/>
              </w:rPr>
              <w:t>4</w:t>
            </w:r>
            <w:r>
              <w:rPr>
                <w:rFonts w:ascii="Times New Roman" w:hAnsi="Times New Roman" w:cs="Times New Roman"/>
                <w:sz w:val="20"/>
                <w:szCs w:val="20"/>
              </w:rPr>
              <w:t xml:space="preserve"> </w:t>
            </w:r>
            <w:r w:rsidRPr="0001194F">
              <w:rPr>
                <w:rFonts w:ascii="Times New Roman" w:hAnsi="Times New Roman" w:cs="Times New Roman"/>
                <w:sz w:val="20"/>
                <w:szCs w:val="20"/>
              </w:rPr>
              <w:t>273</w:t>
            </w:r>
            <w:r>
              <w:rPr>
                <w:rFonts w:ascii="Times New Roman" w:hAnsi="Times New Roman" w:cs="Times New Roman"/>
                <w:sz w:val="20"/>
                <w:szCs w:val="20"/>
              </w:rPr>
              <w:t xml:space="preserve"> </w:t>
            </w:r>
          </w:p>
        </w:tc>
      </w:tr>
      <w:tr w:rsidR="0001194F" w:rsidRPr="00065790" w14:paraId="2742CB56" w14:textId="77777777" w:rsidTr="0001194F">
        <w:trPr>
          <w:trHeight w:val="510"/>
        </w:trPr>
        <w:tc>
          <w:tcPr>
            <w:tcW w:w="5377" w:type="dxa"/>
            <w:tcBorders>
              <w:top w:val="single" w:sz="4" w:space="0" w:color="000000"/>
              <w:left w:val="single" w:sz="4" w:space="0" w:color="000000"/>
              <w:bottom w:val="single" w:sz="4" w:space="0" w:color="000000"/>
              <w:right w:val="single" w:sz="4" w:space="0" w:color="000000"/>
            </w:tcBorders>
            <w:shd w:val="clear" w:color="000000" w:fill="F0F0F0"/>
            <w:hideMark/>
          </w:tcPr>
          <w:p w14:paraId="5556EF50" w14:textId="792DB532" w:rsidR="0001194F" w:rsidRPr="0001194F" w:rsidRDefault="0001194F" w:rsidP="0001194F">
            <w:pPr>
              <w:spacing w:after="0" w:line="240" w:lineRule="auto"/>
              <w:ind w:left="0" w:right="0" w:firstLine="0"/>
              <w:jc w:val="left"/>
              <w:rPr>
                <w:rFonts w:ascii="Times New Roman" w:eastAsia="Times New Roman" w:hAnsi="Times New Roman" w:cs="Times New Roman"/>
                <w:color w:val="FF0000"/>
                <w:sz w:val="20"/>
                <w:szCs w:val="20"/>
              </w:rPr>
            </w:pPr>
            <w:r w:rsidRPr="0001194F">
              <w:rPr>
                <w:rFonts w:ascii="Times New Roman" w:hAnsi="Times New Roman" w:cs="Times New Roman"/>
                <w:sz w:val="20"/>
                <w:szCs w:val="20"/>
              </w:rPr>
              <w:t>Hipoteka na nieruchomości komercyjnej i pozostałej</w:t>
            </w:r>
          </w:p>
        </w:tc>
        <w:tc>
          <w:tcPr>
            <w:tcW w:w="2340" w:type="dxa"/>
            <w:tcBorders>
              <w:top w:val="single" w:sz="4" w:space="0" w:color="000000"/>
              <w:left w:val="nil"/>
              <w:bottom w:val="single" w:sz="4" w:space="0" w:color="000000"/>
              <w:right w:val="single" w:sz="4" w:space="0" w:color="000000"/>
            </w:tcBorders>
            <w:shd w:val="clear" w:color="000000" w:fill="FFFFFF"/>
            <w:noWrap/>
            <w:hideMark/>
          </w:tcPr>
          <w:p w14:paraId="0327C1CF" w14:textId="5DA06B58" w:rsidR="0001194F" w:rsidRPr="0001194F" w:rsidRDefault="0001194F" w:rsidP="00271DBF">
            <w:pPr>
              <w:spacing w:after="0" w:line="240" w:lineRule="auto"/>
              <w:ind w:left="0" w:right="0" w:firstLine="0"/>
              <w:jc w:val="right"/>
              <w:rPr>
                <w:rFonts w:ascii="Times New Roman" w:eastAsia="Times New Roman" w:hAnsi="Times New Roman" w:cs="Times New Roman"/>
                <w:color w:val="FF0000"/>
                <w:sz w:val="20"/>
                <w:szCs w:val="20"/>
              </w:rPr>
            </w:pPr>
            <w:r w:rsidRPr="0001194F">
              <w:rPr>
                <w:rFonts w:ascii="Times New Roman" w:hAnsi="Times New Roman" w:cs="Times New Roman"/>
                <w:sz w:val="20"/>
                <w:szCs w:val="20"/>
              </w:rPr>
              <w:t>203</w:t>
            </w:r>
            <w:r>
              <w:rPr>
                <w:rFonts w:ascii="Times New Roman" w:hAnsi="Times New Roman" w:cs="Times New Roman"/>
                <w:sz w:val="20"/>
                <w:szCs w:val="20"/>
              </w:rPr>
              <w:t xml:space="preserve"> </w:t>
            </w:r>
            <w:r w:rsidRPr="0001194F">
              <w:rPr>
                <w:rFonts w:ascii="Times New Roman" w:hAnsi="Times New Roman" w:cs="Times New Roman"/>
                <w:sz w:val="20"/>
                <w:szCs w:val="20"/>
              </w:rPr>
              <w:t>748</w:t>
            </w:r>
            <w:r>
              <w:rPr>
                <w:rFonts w:ascii="Times New Roman" w:hAnsi="Times New Roman" w:cs="Times New Roman"/>
                <w:sz w:val="20"/>
                <w:szCs w:val="20"/>
              </w:rPr>
              <w:t xml:space="preserve"> </w:t>
            </w:r>
          </w:p>
        </w:tc>
      </w:tr>
      <w:tr w:rsidR="0001194F" w:rsidRPr="00065790" w14:paraId="4750CC4B" w14:textId="77777777" w:rsidTr="0001194F">
        <w:trPr>
          <w:trHeight w:val="300"/>
        </w:trPr>
        <w:tc>
          <w:tcPr>
            <w:tcW w:w="5377" w:type="dxa"/>
            <w:tcBorders>
              <w:top w:val="single" w:sz="4" w:space="0" w:color="000000"/>
              <w:left w:val="single" w:sz="4" w:space="0" w:color="000000"/>
              <w:bottom w:val="single" w:sz="4" w:space="0" w:color="000000"/>
              <w:right w:val="single" w:sz="4" w:space="0" w:color="000000"/>
            </w:tcBorders>
            <w:shd w:val="clear" w:color="000000" w:fill="F0F0F0"/>
            <w:hideMark/>
          </w:tcPr>
          <w:p w14:paraId="487F715E" w14:textId="6BFF7C6D" w:rsidR="0001194F" w:rsidRPr="0001194F" w:rsidRDefault="0001194F" w:rsidP="0001194F">
            <w:pPr>
              <w:spacing w:after="0" w:line="240" w:lineRule="auto"/>
              <w:ind w:left="0" w:right="0" w:firstLine="0"/>
              <w:jc w:val="left"/>
              <w:rPr>
                <w:rFonts w:ascii="Times New Roman" w:eastAsia="Times New Roman" w:hAnsi="Times New Roman" w:cs="Times New Roman"/>
                <w:color w:val="FF0000"/>
                <w:sz w:val="20"/>
                <w:szCs w:val="20"/>
              </w:rPr>
            </w:pPr>
            <w:r w:rsidRPr="0001194F">
              <w:rPr>
                <w:rFonts w:ascii="Times New Roman" w:hAnsi="Times New Roman" w:cs="Times New Roman"/>
                <w:sz w:val="20"/>
                <w:szCs w:val="20"/>
              </w:rPr>
              <w:t>Hipoteka na nieruchomości mieszkalnej</w:t>
            </w:r>
          </w:p>
        </w:tc>
        <w:tc>
          <w:tcPr>
            <w:tcW w:w="2340" w:type="dxa"/>
            <w:tcBorders>
              <w:top w:val="single" w:sz="4" w:space="0" w:color="000000"/>
              <w:left w:val="nil"/>
              <w:bottom w:val="single" w:sz="4" w:space="0" w:color="000000"/>
              <w:right w:val="single" w:sz="4" w:space="0" w:color="000000"/>
            </w:tcBorders>
            <w:shd w:val="clear" w:color="000000" w:fill="FFFFFF"/>
            <w:noWrap/>
            <w:hideMark/>
          </w:tcPr>
          <w:p w14:paraId="5C2D0CCC" w14:textId="12CE4662" w:rsidR="0001194F" w:rsidRPr="0001194F" w:rsidRDefault="0001194F" w:rsidP="00271DBF">
            <w:pPr>
              <w:spacing w:after="0" w:line="240" w:lineRule="auto"/>
              <w:ind w:left="0" w:right="0" w:firstLine="0"/>
              <w:jc w:val="right"/>
              <w:rPr>
                <w:rFonts w:ascii="Times New Roman" w:eastAsia="Times New Roman" w:hAnsi="Times New Roman" w:cs="Times New Roman"/>
                <w:color w:val="FF0000"/>
                <w:sz w:val="20"/>
                <w:szCs w:val="20"/>
              </w:rPr>
            </w:pPr>
            <w:r w:rsidRPr="0001194F">
              <w:rPr>
                <w:rFonts w:ascii="Times New Roman" w:hAnsi="Times New Roman" w:cs="Times New Roman"/>
                <w:sz w:val="20"/>
                <w:szCs w:val="20"/>
              </w:rPr>
              <w:t>144</w:t>
            </w:r>
            <w:r>
              <w:rPr>
                <w:rFonts w:ascii="Times New Roman" w:hAnsi="Times New Roman" w:cs="Times New Roman"/>
                <w:sz w:val="20"/>
                <w:szCs w:val="20"/>
              </w:rPr>
              <w:t xml:space="preserve"> </w:t>
            </w:r>
            <w:r w:rsidR="00271DBF">
              <w:rPr>
                <w:rFonts w:ascii="Times New Roman" w:hAnsi="Times New Roman" w:cs="Times New Roman"/>
                <w:sz w:val="20"/>
                <w:szCs w:val="20"/>
              </w:rPr>
              <w:t>677</w:t>
            </w:r>
          </w:p>
        </w:tc>
      </w:tr>
      <w:tr w:rsidR="0001194F" w:rsidRPr="00065790" w14:paraId="478A271C" w14:textId="77777777" w:rsidTr="0001194F">
        <w:trPr>
          <w:trHeight w:val="300"/>
        </w:trPr>
        <w:tc>
          <w:tcPr>
            <w:tcW w:w="5377" w:type="dxa"/>
            <w:tcBorders>
              <w:top w:val="single" w:sz="4" w:space="0" w:color="000000"/>
              <w:left w:val="single" w:sz="4" w:space="0" w:color="000000"/>
              <w:bottom w:val="single" w:sz="4" w:space="0" w:color="000000"/>
              <w:right w:val="single" w:sz="4" w:space="0" w:color="000000"/>
            </w:tcBorders>
            <w:shd w:val="clear" w:color="000000" w:fill="F0F0F0"/>
            <w:hideMark/>
          </w:tcPr>
          <w:p w14:paraId="01BA3F74" w14:textId="268C2E94" w:rsidR="0001194F" w:rsidRPr="0001194F" w:rsidRDefault="0001194F" w:rsidP="0001194F">
            <w:pPr>
              <w:spacing w:after="0" w:line="240" w:lineRule="auto"/>
              <w:ind w:left="0" w:right="0" w:firstLine="0"/>
              <w:jc w:val="left"/>
              <w:rPr>
                <w:rFonts w:ascii="Times New Roman" w:eastAsia="Times New Roman" w:hAnsi="Times New Roman" w:cs="Times New Roman"/>
                <w:color w:val="FF0000"/>
                <w:sz w:val="20"/>
                <w:szCs w:val="20"/>
              </w:rPr>
            </w:pPr>
            <w:r w:rsidRPr="0001194F">
              <w:rPr>
                <w:rFonts w:ascii="Times New Roman" w:hAnsi="Times New Roman" w:cs="Times New Roman"/>
                <w:sz w:val="20"/>
                <w:szCs w:val="20"/>
              </w:rPr>
              <w:t>Inne formy zabezpieczeń prawnych</w:t>
            </w:r>
          </w:p>
        </w:tc>
        <w:tc>
          <w:tcPr>
            <w:tcW w:w="2340" w:type="dxa"/>
            <w:tcBorders>
              <w:top w:val="single" w:sz="4" w:space="0" w:color="000000"/>
              <w:left w:val="nil"/>
              <w:bottom w:val="single" w:sz="4" w:space="0" w:color="000000"/>
              <w:right w:val="single" w:sz="4" w:space="0" w:color="000000"/>
            </w:tcBorders>
            <w:shd w:val="clear" w:color="000000" w:fill="FFFFFF"/>
            <w:noWrap/>
            <w:hideMark/>
          </w:tcPr>
          <w:p w14:paraId="6120EF53" w14:textId="0E6ED14E" w:rsidR="0001194F" w:rsidRPr="0001194F" w:rsidRDefault="0001194F" w:rsidP="00271DBF">
            <w:pPr>
              <w:spacing w:after="0" w:line="240" w:lineRule="auto"/>
              <w:ind w:left="0" w:right="0" w:firstLine="0"/>
              <w:jc w:val="right"/>
              <w:rPr>
                <w:rFonts w:ascii="Times New Roman" w:eastAsia="Times New Roman" w:hAnsi="Times New Roman" w:cs="Times New Roman"/>
                <w:color w:val="FF0000"/>
                <w:sz w:val="20"/>
                <w:szCs w:val="20"/>
              </w:rPr>
            </w:pPr>
            <w:r w:rsidRPr="0001194F">
              <w:rPr>
                <w:rFonts w:ascii="Times New Roman" w:hAnsi="Times New Roman" w:cs="Times New Roman"/>
                <w:sz w:val="20"/>
                <w:szCs w:val="20"/>
              </w:rPr>
              <w:t>309</w:t>
            </w:r>
            <w:r>
              <w:rPr>
                <w:rFonts w:ascii="Times New Roman" w:hAnsi="Times New Roman" w:cs="Times New Roman"/>
                <w:sz w:val="20"/>
                <w:szCs w:val="20"/>
              </w:rPr>
              <w:t xml:space="preserve"> </w:t>
            </w:r>
          </w:p>
        </w:tc>
      </w:tr>
      <w:tr w:rsidR="0001194F" w:rsidRPr="00065790" w14:paraId="126AAE21" w14:textId="77777777" w:rsidTr="0001194F">
        <w:trPr>
          <w:trHeight w:val="510"/>
        </w:trPr>
        <w:tc>
          <w:tcPr>
            <w:tcW w:w="5377" w:type="dxa"/>
            <w:tcBorders>
              <w:top w:val="single" w:sz="4" w:space="0" w:color="000000"/>
              <w:left w:val="single" w:sz="4" w:space="0" w:color="000000"/>
              <w:bottom w:val="single" w:sz="4" w:space="0" w:color="000000"/>
              <w:right w:val="single" w:sz="4" w:space="0" w:color="000000"/>
            </w:tcBorders>
            <w:shd w:val="clear" w:color="000000" w:fill="F0F0F0"/>
            <w:hideMark/>
          </w:tcPr>
          <w:p w14:paraId="7BD5ED20" w14:textId="5C192EF5" w:rsidR="0001194F" w:rsidRPr="0001194F" w:rsidRDefault="0001194F" w:rsidP="0001194F">
            <w:pPr>
              <w:spacing w:after="0" w:line="240" w:lineRule="auto"/>
              <w:ind w:left="0" w:right="0" w:firstLine="0"/>
              <w:jc w:val="left"/>
              <w:rPr>
                <w:rFonts w:ascii="Times New Roman" w:eastAsia="Times New Roman" w:hAnsi="Times New Roman" w:cs="Times New Roman"/>
                <w:color w:val="FF0000"/>
                <w:sz w:val="20"/>
                <w:szCs w:val="20"/>
              </w:rPr>
            </w:pPr>
            <w:r w:rsidRPr="0001194F">
              <w:rPr>
                <w:rFonts w:ascii="Times New Roman" w:hAnsi="Times New Roman" w:cs="Times New Roman"/>
                <w:sz w:val="20"/>
                <w:szCs w:val="20"/>
              </w:rPr>
              <w:t>Poręczenie wg prawa cywilnego oraz przystąpienie do długu</w:t>
            </w:r>
          </w:p>
        </w:tc>
        <w:tc>
          <w:tcPr>
            <w:tcW w:w="2340" w:type="dxa"/>
            <w:tcBorders>
              <w:top w:val="single" w:sz="4" w:space="0" w:color="000000"/>
              <w:left w:val="nil"/>
              <w:bottom w:val="single" w:sz="4" w:space="0" w:color="000000"/>
              <w:right w:val="single" w:sz="4" w:space="0" w:color="000000"/>
            </w:tcBorders>
            <w:shd w:val="clear" w:color="000000" w:fill="FFFFFF"/>
            <w:noWrap/>
            <w:hideMark/>
          </w:tcPr>
          <w:p w14:paraId="58F6E2E1" w14:textId="4C605D8D" w:rsidR="0001194F" w:rsidRPr="0001194F" w:rsidRDefault="0001194F" w:rsidP="00271DBF">
            <w:pPr>
              <w:spacing w:after="0" w:line="240" w:lineRule="auto"/>
              <w:ind w:left="0" w:right="0" w:firstLine="0"/>
              <w:jc w:val="right"/>
              <w:rPr>
                <w:rFonts w:ascii="Times New Roman" w:eastAsia="Times New Roman" w:hAnsi="Times New Roman" w:cs="Times New Roman"/>
                <w:color w:val="FF0000"/>
                <w:sz w:val="20"/>
                <w:szCs w:val="20"/>
              </w:rPr>
            </w:pPr>
            <w:r w:rsidRPr="0001194F">
              <w:rPr>
                <w:rFonts w:ascii="Times New Roman" w:hAnsi="Times New Roman" w:cs="Times New Roman"/>
                <w:sz w:val="20"/>
                <w:szCs w:val="20"/>
              </w:rPr>
              <w:t>6</w:t>
            </w:r>
            <w:r>
              <w:rPr>
                <w:rFonts w:ascii="Times New Roman" w:hAnsi="Times New Roman" w:cs="Times New Roman"/>
                <w:sz w:val="20"/>
                <w:szCs w:val="20"/>
              </w:rPr>
              <w:t xml:space="preserve"> </w:t>
            </w:r>
            <w:r w:rsidRPr="0001194F">
              <w:rPr>
                <w:rFonts w:ascii="Times New Roman" w:hAnsi="Times New Roman" w:cs="Times New Roman"/>
                <w:sz w:val="20"/>
                <w:szCs w:val="20"/>
              </w:rPr>
              <w:t>260</w:t>
            </w:r>
            <w:r>
              <w:rPr>
                <w:rFonts w:ascii="Times New Roman" w:hAnsi="Times New Roman" w:cs="Times New Roman"/>
                <w:sz w:val="20"/>
                <w:szCs w:val="20"/>
              </w:rPr>
              <w:t xml:space="preserve"> </w:t>
            </w:r>
          </w:p>
        </w:tc>
      </w:tr>
      <w:tr w:rsidR="0001194F" w:rsidRPr="00065790" w14:paraId="536CDC62" w14:textId="77777777" w:rsidTr="0001194F">
        <w:trPr>
          <w:trHeight w:val="300"/>
        </w:trPr>
        <w:tc>
          <w:tcPr>
            <w:tcW w:w="5377" w:type="dxa"/>
            <w:tcBorders>
              <w:top w:val="single" w:sz="4" w:space="0" w:color="000000"/>
              <w:left w:val="single" w:sz="4" w:space="0" w:color="000000"/>
              <w:bottom w:val="single" w:sz="4" w:space="0" w:color="000000"/>
              <w:right w:val="single" w:sz="4" w:space="0" w:color="000000"/>
            </w:tcBorders>
            <w:shd w:val="clear" w:color="000000" w:fill="F0F0F0"/>
            <w:hideMark/>
          </w:tcPr>
          <w:p w14:paraId="21A6DA0B" w14:textId="4A559F76" w:rsidR="0001194F" w:rsidRPr="0001194F" w:rsidRDefault="0001194F" w:rsidP="0001194F">
            <w:pPr>
              <w:spacing w:after="0" w:line="240" w:lineRule="auto"/>
              <w:ind w:left="0" w:right="0" w:firstLine="0"/>
              <w:jc w:val="left"/>
              <w:rPr>
                <w:rFonts w:ascii="Times New Roman" w:eastAsia="Times New Roman" w:hAnsi="Times New Roman" w:cs="Times New Roman"/>
                <w:color w:val="FF0000"/>
                <w:sz w:val="20"/>
                <w:szCs w:val="20"/>
              </w:rPr>
            </w:pPr>
            <w:r w:rsidRPr="0001194F">
              <w:rPr>
                <w:rFonts w:ascii="Times New Roman" w:hAnsi="Times New Roman" w:cs="Times New Roman"/>
                <w:sz w:val="20"/>
                <w:szCs w:val="20"/>
              </w:rPr>
              <w:t>Pozostałe formy zabezpieczeń</w:t>
            </w:r>
          </w:p>
        </w:tc>
        <w:tc>
          <w:tcPr>
            <w:tcW w:w="2340" w:type="dxa"/>
            <w:tcBorders>
              <w:top w:val="single" w:sz="4" w:space="0" w:color="000000"/>
              <w:left w:val="nil"/>
              <w:bottom w:val="single" w:sz="4" w:space="0" w:color="000000"/>
              <w:right w:val="single" w:sz="4" w:space="0" w:color="000000"/>
            </w:tcBorders>
            <w:shd w:val="clear" w:color="000000" w:fill="FFFFFF"/>
            <w:noWrap/>
            <w:hideMark/>
          </w:tcPr>
          <w:p w14:paraId="1907985D" w14:textId="27F1B740" w:rsidR="0001194F" w:rsidRPr="0001194F" w:rsidRDefault="0001194F" w:rsidP="00271DBF">
            <w:pPr>
              <w:spacing w:after="0" w:line="240" w:lineRule="auto"/>
              <w:ind w:left="0" w:right="0" w:firstLine="0"/>
              <w:jc w:val="right"/>
              <w:rPr>
                <w:rFonts w:ascii="Times New Roman" w:eastAsia="Times New Roman" w:hAnsi="Times New Roman" w:cs="Times New Roman"/>
                <w:color w:val="FF0000"/>
                <w:sz w:val="20"/>
                <w:szCs w:val="20"/>
              </w:rPr>
            </w:pPr>
            <w:r w:rsidRPr="0001194F">
              <w:rPr>
                <w:rFonts w:ascii="Times New Roman" w:hAnsi="Times New Roman" w:cs="Times New Roman"/>
                <w:sz w:val="20"/>
                <w:szCs w:val="20"/>
              </w:rPr>
              <w:t>13</w:t>
            </w:r>
            <w:r>
              <w:rPr>
                <w:rFonts w:ascii="Times New Roman" w:hAnsi="Times New Roman" w:cs="Times New Roman"/>
                <w:sz w:val="20"/>
                <w:szCs w:val="20"/>
              </w:rPr>
              <w:t xml:space="preserve"> </w:t>
            </w:r>
          </w:p>
        </w:tc>
      </w:tr>
      <w:tr w:rsidR="0001194F" w:rsidRPr="00065790" w14:paraId="104B8EF4" w14:textId="77777777" w:rsidTr="0001194F">
        <w:trPr>
          <w:trHeight w:val="300"/>
        </w:trPr>
        <w:tc>
          <w:tcPr>
            <w:tcW w:w="5377" w:type="dxa"/>
            <w:tcBorders>
              <w:top w:val="single" w:sz="4" w:space="0" w:color="000000"/>
              <w:left w:val="single" w:sz="4" w:space="0" w:color="000000"/>
              <w:bottom w:val="single" w:sz="4" w:space="0" w:color="000000"/>
              <w:right w:val="single" w:sz="4" w:space="0" w:color="000000"/>
            </w:tcBorders>
            <w:shd w:val="clear" w:color="000000" w:fill="F0F0F0"/>
            <w:hideMark/>
          </w:tcPr>
          <w:p w14:paraId="124F8913" w14:textId="12F9B9A4" w:rsidR="0001194F" w:rsidRPr="0001194F" w:rsidRDefault="0001194F" w:rsidP="0001194F">
            <w:pPr>
              <w:spacing w:after="0" w:line="240" w:lineRule="auto"/>
              <w:ind w:left="0" w:right="0" w:firstLine="0"/>
              <w:jc w:val="left"/>
              <w:rPr>
                <w:rFonts w:ascii="Times New Roman" w:eastAsia="Times New Roman" w:hAnsi="Times New Roman" w:cs="Times New Roman"/>
                <w:color w:val="FF0000"/>
                <w:sz w:val="20"/>
                <w:szCs w:val="20"/>
              </w:rPr>
            </w:pPr>
            <w:r w:rsidRPr="0001194F">
              <w:rPr>
                <w:rFonts w:ascii="Times New Roman" w:hAnsi="Times New Roman" w:cs="Times New Roman"/>
                <w:sz w:val="20"/>
                <w:szCs w:val="20"/>
              </w:rPr>
              <w:t>Przewłaszczenie rzeczy ruchomych</w:t>
            </w:r>
          </w:p>
        </w:tc>
        <w:tc>
          <w:tcPr>
            <w:tcW w:w="2340" w:type="dxa"/>
            <w:tcBorders>
              <w:top w:val="single" w:sz="4" w:space="0" w:color="000000"/>
              <w:left w:val="nil"/>
              <w:bottom w:val="single" w:sz="4" w:space="0" w:color="000000"/>
              <w:right w:val="single" w:sz="4" w:space="0" w:color="000000"/>
            </w:tcBorders>
            <w:shd w:val="clear" w:color="000000" w:fill="FFFFFF"/>
            <w:noWrap/>
            <w:hideMark/>
          </w:tcPr>
          <w:p w14:paraId="104A5FD8" w14:textId="7F0FE198" w:rsidR="0001194F" w:rsidRPr="0001194F" w:rsidRDefault="0001194F" w:rsidP="00271DBF">
            <w:pPr>
              <w:spacing w:after="0" w:line="240" w:lineRule="auto"/>
              <w:ind w:left="0" w:right="0" w:firstLine="0"/>
              <w:jc w:val="right"/>
              <w:rPr>
                <w:rFonts w:ascii="Times New Roman" w:eastAsia="Times New Roman" w:hAnsi="Times New Roman" w:cs="Times New Roman"/>
                <w:color w:val="FF0000"/>
                <w:sz w:val="20"/>
                <w:szCs w:val="20"/>
              </w:rPr>
            </w:pPr>
            <w:r w:rsidRPr="0001194F">
              <w:rPr>
                <w:rFonts w:ascii="Times New Roman" w:hAnsi="Times New Roman" w:cs="Times New Roman"/>
                <w:sz w:val="20"/>
                <w:szCs w:val="20"/>
              </w:rPr>
              <w:t>330</w:t>
            </w:r>
            <w:r>
              <w:rPr>
                <w:rFonts w:ascii="Times New Roman" w:hAnsi="Times New Roman" w:cs="Times New Roman"/>
                <w:sz w:val="20"/>
                <w:szCs w:val="20"/>
              </w:rPr>
              <w:t xml:space="preserve"> </w:t>
            </w:r>
          </w:p>
        </w:tc>
      </w:tr>
      <w:tr w:rsidR="0001194F" w:rsidRPr="00065790" w14:paraId="47A1241B" w14:textId="77777777" w:rsidTr="0001194F">
        <w:trPr>
          <w:trHeight w:val="300"/>
        </w:trPr>
        <w:tc>
          <w:tcPr>
            <w:tcW w:w="5377" w:type="dxa"/>
            <w:tcBorders>
              <w:top w:val="single" w:sz="4" w:space="0" w:color="000000"/>
              <w:left w:val="single" w:sz="4" w:space="0" w:color="000000"/>
              <w:bottom w:val="single" w:sz="4" w:space="0" w:color="000000"/>
              <w:right w:val="single" w:sz="4" w:space="0" w:color="000000"/>
            </w:tcBorders>
            <w:shd w:val="clear" w:color="000000" w:fill="F0F0F0"/>
            <w:hideMark/>
          </w:tcPr>
          <w:p w14:paraId="3DB7E3EF" w14:textId="551CA818" w:rsidR="0001194F" w:rsidRPr="0001194F" w:rsidRDefault="0001194F" w:rsidP="0001194F">
            <w:pPr>
              <w:spacing w:after="0" w:line="240" w:lineRule="auto"/>
              <w:ind w:left="0" w:right="0" w:firstLine="0"/>
              <w:jc w:val="left"/>
              <w:rPr>
                <w:rFonts w:ascii="Times New Roman" w:eastAsia="Times New Roman" w:hAnsi="Times New Roman" w:cs="Times New Roman"/>
                <w:color w:val="FF0000"/>
                <w:sz w:val="20"/>
                <w:szCs w:val="20"/>
              </w:rPr>
            </w:pPr>
            <w:r w:rsidRPr="0001194F">
              <w:rPr>
                <w:rFonts w:ascii="Times New Roman" w:hAnsi="Times New Roman" w:cs="Times New Roman"/>
                <w:sz w:val="20"/>
                <w:szCs w:val="20"/>
              </w:rPr>
              <w:t>Ubezpieczenie kredytu</w:t>
            </w:r>
          </w:p>
        </w:tc>
        <w:tc>
          <w:tcPr>
            <w:tcW w:w="2340" w:type="dxa"/>
            <w:tcBorders>
              <w:top w:val="single" w:sz="4" w:space="0" w:color="000000"/>
              <w:left w:val="nil"/>
              <w:bottom w:val="single" w:sz="4" w:space="0" w:color="000000"/>
              <w:right w:val="single" w:sz="4" w:space="0" w:color="000000"/>
            </w:tcBorders>
            <w:shd w:val="clear" w:color="000000" w:fill="FFFFFF"/>
            <w:noWrap/>
            <w:hideMark/>
          </w:tcPr>
          <w:p w14:paraId="52B011A1" w14:textId="2448FD64" w:rsidR="0001194F" w:rsidRPr="0001194F" w:rsidRDefault="00271DBF" w:rsidP="0001194F">
            <w:pPr>
              <w:spacing w:after="0" w:line="240" w:lineRule="auto"/>
              <w:ind w:left="0" w:right="0" w:firstLine="0"/>
              <w:jc w:val="right"/>
              <w:rPr>
                <w:rFonts w:ascii="Times New Roman" w:eastAsia="Times New Roman" w:hAnsi="Times New Roman" w:cs="Times New Roman"/>
                <w:color w:val="FF0000"/>
                <w:sz w:val="20"/>
                <w:szCs w:val="20"/>
              </w:rPr>
            </w:pPr>
            <w:r>
              <w:rPr>
                <w:rFonts w:ascii="Times New Roman" w:hAnsi="Times New Roman" w:cs="Times New Roman"/>
                <w:sz w:val="20"/>
                <w:szCs w:val="20"/>
              </w:rPr>
              <w:t>7</w:t>
            </w:r>
          </w:p>
        </w:tc>
      </w:tr>
      <w:tr w:rsidR="0001194F" w:rsidRPr="00065790" w14:paraId="6F772785" w14:textId="77777777" w:rsidTr="0001194F">
        <w:trPr>
          <w:trHeight w:val="300"/>
        </w:trPr>
        <w:tc>
          <w:tcPr>
            <w:tcW w:w="5377" w:type="dxa"/>
            <w:tcBorders>
              <w:top w:val="single" w:sz="4" w:space="0" w:color="000000"/>
              <w:left w:val="single" w:sz="4" w:space="0" w:color="000000"/>
              <w:bottom w:val="single" w:sz="4" w:space="0" w:color="000000"/>
              <w:right w:val="single" w:sz="4" w:space="0" w:color="000000"/>
            </w:tcBorders>
            <w:shd w:val="clear" w:color="000000" w:fill="F0F0F0"/>
            <w:hideMark/>
          </w:tcPr>
          <w:p w14:paraId="0BF2F8C1" w14:textId="42F7B667" w:rsidR="0001194F" w:rsidRPr="0001194F" w:rsidRDefault="0001194F" w:rsidP="0001194F">
            <w:pPr>
              <w:spacing w:after="0" w:line="240" w:lineRule="auto"/>
              <w:ind w:left="0" w:right="0" w:firstLine="0"/>
              <w:jc w:val="left"/>
              <w:rPr>
                <w:rFonts w:ascii="Times New Roman" w:eastAsia="Times New Roman" w:hAnsi="Times New Roman" w:cs="Times New Roman"/>
                <w:color w:val="FF0000"/>
                <w:sz w:val="20"/>
                <w:szCs w:val="20"/>
              </w:rPr>
            </w:pPr>
            <w:r w:rsidRPr="0001194F">
              <w:rPr>
                <w:rFonts w:ascii="Times New Roman" w:hAnsi="Times New Roman" w:cs="Times New Roman"/>
                <w:sz w:val="20"/>
                <w:szCs w:val="20"/>
              </w:rPr>
              <w:t>Weksel własny in blanco lub poręczenie wg prawa wekslowego</w:t>
            </w:r>
          </w:p>
        </w:tc>
        <w:tc>
          <w:tcPr>
            <w:tcW w:w="2340" w:type="dxa"/>
            <w:tcBorders>
              <w:top w:val="single" w:sz="4" w:space="0" w:color="000000"/>
              <w:left w:val="nil"/>
              <w:bottom w:val="single" w:sz="4" w:space="0" w:color="000000"/>
              <w:right w:val="single" w:sz="4" w:space="0" w:color="000000"/>
            </w:tcBorders>
            <w:shd w:val="clear" w:color="000000" w:fill="FFFFFF"/>
            <w:noWrap/>
            <w:hideMark/>
          </w:tcPr>
          <w:p w14:paraId="033DA888" w14:textId="1F2DB368" w:rsidR="0001194F" w:rsidRPr="0001194F" w:rsidRDefault="0001194F" w:rsidP="00271DBF">
            <w:pPr>
              <w:spacing w:after="0" w:line="240" w:lineRule="auto"/>
              <w:ind w:left="0" w:right="0" w:firstLine="0"/>
              <w:jc w:val="right"/>
              <w:rPr>
                <w:rFonts w:ascii="Times New Roman" w:eastAsia="Times New Roman" w:hAnsi="Times New Roman" w:cs="Times New Roman"/>
                <w:color w:val="FF0000"/>
                <w:sz w:val="20"/>
                <w:szCs w:val="20"/>
              </w:rPr>
            </w:pPr>
            <w:r w:rsidRPr="0001194F">
              <w:rPr>
                <w:rFonts w:ascii="Times New Roman" w:hAnsi="Times New Roman" w:cs="Times New Roman"/>
                <w:sz w:val="20"/>
                <w:szCs w:val="20"/>
              </w:rPr>
              <w:t>699</w:t>
            </w:r>
            <w:r>
              <w:rPr>
                <w:rFonts w:ascii="Times New Roman" w:hAnsi="Times New Roman" w:cs="Times New Roman"/>
                <w:sz w:val="20"/>
                <w:szCs w:val="20"/>
              </w:rPr>
              <w:t xml:space="preserve"> </w:t>
            </w:r>
          </w:p>
        </w:tc>
      </w:tr>
      <w:tr w:rsidR="0001194F" w:rsidRPr="00065790" w14:paraId="7A92C0A9" w14:textId="77777777" w:rsidTr="0001194F">
        <w:trPr>
          <w:trHeight w:val="300"/>
        </w:trPr>
        <w:tc>
          <w:tcPr>
            <w:tcW w:w="5377" w:type="dxa"/>
            <w:tcBorders>
              <w:top w:val="single" w:sz="4" w:space="0" w:color="000000"/>
              <w:left w:val="single" w:sz="4" w:space="0" w:color="000000"/>
              <w:bottom w:val="single" w:sz="4" w:space="0" w:color="000000"/>
              <w:right w:val="single" w:sz="4" w:space="0" w:color="000000"/>
            </w:tcBorders>
            <w:shd w:val="clear" w:color="000000" w:fill="F0F0F0"/>
          </w:tcPr>
          <w:p w14:paraId="0FA8FDC1" w14:textId="20FE4713" w:rsidR="0001194F" w:rsidRPr="0001194F" w:rsidRDefault="0001194F" w:rsidP="0001194F">
            <w:pPr>
              <w:spacing w:after="0" w:line="240" w:lineRule="auto"/>
              <w:ind w:left="0" w:right="0" w:firstLine="0"/>
              <w:jc w:val="left"/>
              <w:rPr>
                <w:rFonts w:ascii="Times New Roman" w:eastAsia="Times New Roman" w:hAnsi="Times New Roman" w:cs="Times New Roman"/>
                <w:color w:val="FF0000"/>
                <w:sz w:val="20"/>
                <w:szCs w:val="20"/>
              </w:rPr>
            </w:pPr>
            <w:r w:rsidRPr="0001194F">
              <w:rPr>
                <w:rFonts w:ascii="Times New Roman" w:hAnsi="Times New Roman" w:cs="Times New Roman"/>
                <w:sz w:val="20"/>
                <w:szCs w:val="20"/>
              </w:rPr>
              <w:t>Zastaw rejestrowy</w:t>
            </w:r>
          </w:p>
        </w:tc>
        <w:tc>
          <w:tcPr>
            <w:tcW w:w="2340" w:type="dxa"/>
            <w:tcBorders>
              <w:top w:val="single" w:sz="4" w:space="0" w:color="000000"/>
              <w:left w:val="nil"/>
              <w:bottom w:val="single" w:sz="4" w:space="0" w:color="000000"/>
              <w:right w:val="single" w:sz="4" w:space="0" w:color="000000"/>
            </w:tcBorders>
            <w:shd w:val="clear" w:color="000000" w:fill="FFFFFF"/>
            <w:noWrap/>
          </w:tcPr>
          <w:p w14:paraId="611B9793" w14:textId="37485A99" w:rsidR="0001194F" w:rsidRPr="0001194F" w:rsidRDefault="0001194F" w:rsidP="00271DBF">
            <w:pPr>
              <w:spacing w:after="0" w:line="240" w:lineRule="auto"/>
              <w:ind w:left="0" w:right="0" w:firstLine="0"/>
              <w:jc w:val="right"/>
              <w:rPr>
                <w:rFonts w:ascii="Times New Roman" w:eastAsia="Times New Roman" w:hAnsi="Times New Roman" w:cs="Times New Roman"/>
                <w:color w:val="FF0000"/>
                <w:sz w:val="20"/>
                <w:szCs w:val="20"/>
              </w:rPr>
            </w:pPr>
            <w:r w:rsidRPr="0001194F">
              <w:rPr>
                <w:rFonts w:ascii="Times New Roman" w:hAnsi="Times New Roman" w:cs="Times New Roman"/>
                <w:sz w:val="20"/>
                <w:szCs w:val="20"/>
              </w:rPr>
              <w:t>1</w:t>
            </w:r>
            <w:r>
              <w:rPr>
                <w:rFonts w:ascii="Times New Roman" w:hAnsi="Times New Roman" w:cs="Times New Roman"/>
                <w:sz w:val="20"/>
                <w:szCs w:val="20"/>
              </w:rPr>
              <w:t xml:space="preserve"> </w:t>
            </w:r>
            <w:r w:rsidRPr="0001194F">
              <w:rPr>
                <w:rFonts w:ascii="Times New Roman" w:hAnsi="Times New Roman" w:cs="Times New Roman"/>
                <w:sz w:val="20"/>
                <w:szCs w:val="20"/>
              </w:rPr>
              <w:t>825</w:t>
            </w:r>
            <w:r>
              <w:rPr>
                <w:rFonts w:ascii="Times New Roman" w:hAnsi="Times New Roman" w:cs="Times New Roman"/>
                <w:sz w:val="20"/>
                <w:szCs w:val="20"/>
              </w:rPr>
              <w:t xml:space="preserve"> </w:t>
            </w:r>
          </w:p>
        </w:tc>
      </w:tr>
      <w:tr w:rsidR="00271DBF" w:rsidRPr="00065790" w14:paraId="6A81353C" w14:textId="77777777" w:rsidTr="0001194F">
        <w:trPr>
          <w:trHeight w:val="300"/>
        </w:trPr>
        <w:tc>
          <w:tcPr>
            <w:tcW w:w="5377" w:type="dxa"/>
            <w:tcBorders>
              <w:top w:val="single" w:sz="4" w:space="0" w:color="000000"/>
              <w:left w:val="single" w:sz="4" w:space="0" w:color="000000"/>
              <w:bottom w:val="single" w:sz="4" w:space="0" w:color="000000"/>
              <w:right w:val="single" w:sz="4" w:space="0" w:color="000000"/>
            </w:tcBorders>
            <w:shd w:val="clear" w:color="000000" w:fill="F0F0F0"/>
          </w:tcPr>
          <w:p w14:paraId="6ED398F2" w14:textId="4044035C" w:rsidR="00271DBF" w:rsidRPr="0001194F" w:rsidRDefault="00271DBF" w:rsidP="0001194F">
            <w:pPr>
              <w:spacing w:after="0" w:line="240" w:lineRule="auto"/>
              <w:ind w:left="0" w:right="0" w:firstLine="0"/>
              <w:jc w:val="left"/>
              <w:rPr>
                <w:rFonts w:ascii="Times New Roman" w:hAnsi="Times New Roman" w:cs="Times New Roman"/>
                <w:sz w:val="20"/>
                <w:szCs w:val="20"/>
              </w:rPr>
            </w:pPr>
            <w:r>
              <w:rPr>
                <w:rFonts w:ascii="Times New Roman" w:hAnsi="Times New Roman" w:cs="Times New Roman"/>
                <w:sz w:val="20"/>
                <w:szCs w:val="20"/>
              </w:rPr>
              <w:t>Suma</w:t>
            </w:r>
          </w:p>
        </w:tc>
        <w:tc>
          <w:tcPr>
            <w:tcW w:w="2340" w:type="dxa"/>
            <w:tcBorders>
              <w:top w:val="single" w:sz="4" w:space="0" w:color="000000"/>
              <w:left w:val="nil"/>
              <w:bottom w:val="single" w:sz="4" w:space="0" w:color="000000"/>
              <w:right w:val="single" w:sz="4" w:space="0" w:color="000000"/>
            </w:tcBorders>
            <w:shd w:val="clear" w:color="000000" w:fill="FFFFFF"/>
            <w:noWrap/>
          </w:tcPr>
          <w:p w14:paraId="469F5B5F" w14:textId="0C41B16C" w:rsidR="00271DBF" w:rsidRPr="0001194F" w:rsidRDefault="00271DBF" w:rsidP="00271DBF">
            <w:pPr>
              <w:spacing w:after="0" w:line="240" w:lineRule="auto"/>
              <w:ind w:left="0" w:right="0" w:firstLine="0"/>
              <w:jc w:val="right"/>
              <w:rPr>
                <w:rFonts w:ascii="Times New Roman" w:hAnsi="Times New Roman" w:cs="Times New Roman"/>
                <w:sz w:val="20"/>
                <w:szCs w:val="20"/>
              </w:rPr>
            </w:pPr>
            <w:r>
              <w:rPr>
                <w:rFonts w:ascii="Times New Roman" w:hAnsi="Times New Roman" w:cs="Times New Roman"/>
                <w:sz w:val="20"/>
                <w:szCs w:val="20"/>
              </w:rPr>
              <w:t>369 024</w:t>
            </w:r>
          </w:p>
        </w:tc>
      </w:tr>
    </w:tbl>
    <w:p w14:paraId="49340969" w14:textId="77777777" w:rsidR="00D00CB7" w:rsidRPr="00065790" w:rsidRDefault="00D00CB7" w:rsidP="00D00CB7">
      <w:pPr>
        <w:spacing w:after="3" w:line="259" w:lineRule="auto"/>
        <w:ind w:left="-5" w:right="0"/>
        <w:jc w:val="left"/>
        <w:rPr>
          <w:rFonts w:ascii="Times New Roman" w:hAnsi="Times New Roman" w:cs="Times New Roman"/>
          <w:i/>
          <w:color w:val="FF0000"/>
          <w:szCs w:val="24"/>
        </w:rPr>
      </w:pPr>
    </w:p>
    <w:p w14:paraId="145AA285" w14:textId="186F083E" w:rsidR="000E4871" w:rsidRPr="00B40CAA" w:rsidRDefault="000E4871" w:rsidP="000E4871">
      <w:pPr>
        <w:spacing w:line="240" w:lineRule="auto"/>
        <w:ind w:left="11" w:right="6" w:hanging="11"/>
        <w:rPr>
          <w:rFonts w:ascii="Times New Roman" w:hAnsi="Times New Roman" w:cs="Times New Roman"/>
          <w:color w:val="auto"/>
        </w:rPr>
      </w:pPr>
      <w:r w:rsidRPr="00B40CAA">
        <w:rPr>
          <w:rFonts w:ascii="Times New Roman" w:hAnsi="Times New Roman" w:cs="Times New Roman"/>
          <w:color w:val="auto"/>
        </w:rPr>
        <w:t>Z powyższej tabeli wynika, że w strukturze zabezpiec</w:t>
      </w:r>
      <w:r w:rsidR="00977E61">
        <w:rPr>
          <w:rFonts w:ascii="Times New Roman" w:hAnsi="Times New Roman" w:cs="Times New Roman"/>
          <w:color w:val="auto"/>
        </w:rPr>
        <w:t xml:space="preserve">zeń największy udział posiada </w:t>
      </w:r>
      <w:r w:rsidRPr="00B40CAA">
        <w:rPr>
          <w:rFonts w:ascii="Times New Roman" w:hAnsi="Times New Roman" w:cs="Times New Roman"/>
          <w:color w:val="auto"/>
        </w:rPr>
        <w:t xml:space="preserve">hipoteka na nieruchomości komercyjnej i mieszkalnej. Bank przestrzega zapisów rekomendacji S dotyczących maksymalnych poziomów wskaźnika </w:t>
      </w:r>
      <w:proofErr w:type="spellStart"/>
      <w:r w:rsidRPr="00B40CAA">
        <w:rPr>
          <w:rFonts w:ascii="Times New Roman" w:hAnsi="Times New Roman" w:cs="Times New Roman"/>
          <w:color w:val="auto"/>
        </w:rPr>
        <w:t>LtV</w:t>
      </w:r>
      <w:proofErr w:type="spellEnd"/>
      <w:r w:rsidRPr="00B40CAA">
        <w:rPr>
          <w:rFonts w:ascii="Times New Roman" w:hAnsi="Times New Roman" w:cs="Times New Roman"/>
          <w:color w:val="auto"/>
        </w:rPr>
        <w:t xml:space="preserve"> i wkładu własnego dla ekspozycji kredytowych zabezpieczonych hipotecznie. Bank podejmując decyzję o zaangażowaniu kredytowym dąży do </w:t>
      </w:r>
      <w:r w:rsidRPr="00B40CAA">
        <w:rPr>
          <w:rFonts w:ascii="Times New Roman" w:hAnsi="Times New Roman" w:cs="Times New Roman"/>
          <w:b/>
          <w:bCs/>
          <w:color w:val="auto"/>
        </w:rPr>
        <w:t xml:space="preserve">uzyskania optymalnego zabezpieczenia </w:t>
      </w:r>
      <w:r w:rsidRPr="00B40CAA">
        <w:rPr>
          <w:rFonts w:ascii="Times New Roman" w:hAnsi="Times New Roman" w:cs="Times New Roman"/>
          <w:color w:val="auto"/>
        </w:rPr>
        <w:t>o jak najwyższej jakości. Bank ocenia jakość zaproponowanych zabezpieczeń według ich płynności, aktualnej wartości rynkowej oraz ich wpływu na wysokość ewentualnie tworzonych rezerw celowych. Wartość rynkowa przyjętych zabezpieczeń jest systematycznie aktualizowana przez pracowników Banku, w ramach prowadzonego monitoringu. Oceniając przedmiot zabezpieczenia Bank uwzględnia wartość zabezpieczenia możliwą do uzyskania podczas ewentualnego postępowania windykacyjnego, biorąc pod uwagę ograniczenia prawne, ekonomiczne oraz inne mogące wpływać na rzeczywistą możliwość zaspokojenia się Banku.</w:t>
      </w:r>
    </w:p>
    <w:p w14:paraId="17983DBD" w14:textId="77777777" w:rsidR="002C50F6" w:rsidRPr="00B40CAA" w:rsidRDefault="00E81BF6">
      <w:pPr>
        <w:pStyle w:val="Nagwek1"/>
        <w:ind w:left="-5" w:right="7"/>
        <w:rPr>
          <w:rFonts w:ascii="Times New Roman" w:hAnsi="Times New Roman" w:cs="Times New Roman"/>
          <w:color w:val="auto"/>
        </w:rPr>
      </w:pPr>
      <w:bookmarkStart w:id="93" w:name="_Toc75336321"/>
      <w:r w:rsidRPr="00B40CAA">
        <w:rPr>
          <w:rFonts w:ascii="Times New Roman" w:hAnsi="Times New Roman" w:cs="Times New Roman"/>
          <w:color w:val="auto"/>
        </w:rPr>
        <w:lastRenderedPageBreak/>
        <w:t>21. Stosowanie metod zaawansowanego pomiaru w odniesieniu do ryzyka operacyjnego – art. 454 Rozporządzenia CRR</w:t>
      </w:r>
      <w:bookmarkEnd w:id="93"/>
    </w:p>
    <w:p w14:paraId="468529AB" w14:textId="77777777" w:rsidR="002C50F6" w:rsidRPr="00B40CAA" w:rsidRDefault="00E81BF6" w:rsidP="006D3FE5">
      <w:pPr>
        <w:spacing w:after="0" w:line="276" w:lineRule="auto"/>
        <w:ind w:left="-6" w:right="6" w:hanging="11"/>
        <w:rPr>
          <w:rFonts w:ascii="Times New Roman" w:hAnsi="Times New Roman" w:cs="Times New Roman"/>
          <w:color w:val="auto"/>
        </w:rPr>
      </w:pPr>
      <w:r w:rsidRPr="00B40CAA">
        <w:rPr>
          <w:rFonts w:ascii="Times New Roman" w:hAnsi="Times New Roman" w:cs="Times New Roman"/>
          <w:color w:val="auto"/>
        </w:rPr>
        <w:t>Nie dotyczy.</w:t>
      </w:r>
    </w:p>
    <w:p w14:paraId="7D9C4CD3" w14:textId="77777777" w:rsidR="002C50F6" w:rsidRPr="00B40CAA" w:rsidRDefault="00E81BF6" w:rsidP="006D3FE5">
      <w:pPr>
        <w:spacing w:after="0" w:line="276" w:lineRule="auto"/>
        <w:ind w:left="-6" w:right="6" w:hanging="11"/>
        <w:rPr>
          <w:rFonts w:ascii="Times New Roman" w:hAnsi="Times New Roman" w:cs="Times New Roman"/>
          <w:color w:val="auto"/>
        </w:rPr>
      </w:pPr>
      <w:r w:rsidRPr="00B40CAA">
        <w:rPr>
          <w:rFonts w:ascii="Times New Roman" w:hAnsi="Times New Roman" w:cs="Times New Roman"/>
          <w:color w:val="auto"/>
        </w:rPr>
        <w:t>Bank nie stosuje zaawansowanych metod pomiaru w odniesieniu do ryzyka operacyjnego.</w:t>
      </w:r>
    </w:p>
    <w:p w14:paraId="703C3455" w14:textId="77777777" w:rsidR="006D3FE5" w:rsidRPr="00B40CAA" w:rsidRDefault="006D3FE5" w:rsidP="006D3FE5">
      <w:pPr>
        <w:spacing w:after="0" w:line="276" w:lineRule="auto"/>
        <w:ind w:left="-6" w:right="6" w:hanging="11"/>
        <w:rPr>
          <w:rFonts w:ascii="Times New Roman" w:hAnsi="Times New Roman" w:cs="Times New Roman"/>
          <w:color w:val="auto"/>
        </w:rPr>
      </w:pPr>
    </w:p>
    <w:p w14:paraId="50B0A07B" w14:textId="77777777" w:rsidR="002C50F6" w:rsidRPr="00B40CAA" w:rsidRDefault="00E81BF6" w:rsidP="006D3FE5">
      <w:pPr>
        <w:pStyle w:val="Nagwek1"/>
        <w:ind w:left="-5" w:right="7"/>
        <w:rPr>
          <w:rFonts w:ascii="Times New Roman" w:hAnsi="Times New Roman" w:cs="Times New Roman"/>
          <w:color w:val="auto"/>
        </w:rPr>
      </w:pPr>
      <w:bookmarkStart w:id="94" w:name="_Toc75336322"/>
      <w:r w:rsidRPr="00B40CAA">
        <w:rPr>
          <w:rFonts w:ascii="Times New Roman" w:hAnsi="Times New Roman" w:cs="Times New Roman"/>
          <w:color w:val="auto"/>
        </w:rPr>
        <w:t>22. Stosowanie wewnętrznych modeli pomiaru ryzyka rynkowego – art. 455 Rozporządzenia CRR</w:t>
      </w:r>
      <w:bookmarkEnd w:id="94"/>
    </w:p>
    <w:p w14:paraId="2309756A" w14:textId="77777777" w:rsidR="002C50F6" w:rsidRPr="00B40CAA" w:rsidRDefault="00E81BF6" w:rsidP="006D3FE5">
      <w:pPr>
        <w:spacing w:after="0" w:line="276" w:lineRule="auto"/>
        <w:ind w:left="-6" w:right="6" w:hanging="11"/>
        <w:rPr>
          <w:rFonts w:ascii="Times New Roman" w:hAnsi="Times New Roman" w:cs="Times New Roman"/>
          <w:color w:val="auto"/>
        </w:rPr>
      </w:pPr>
      <w:r w:rsidRPr="00B40CAA">
        <w:rPr>
          <w:rFonts w:ascii="Times New Roman" w:hAnsi="Times New Roman" w:cs="Times New Roman"/>
          <w:color w:val="auto"/>
        </w:rPr>
        <w:t>Nie dotyczy</w:t>
      </w:r>
      <w:r w:rsidR="005A7EF0" w:rsidRPr="00B40CAA">
        <w:rPr>
          <w:rFonts w:ascii="Times New Roman" w:hAnsi="Times New Roman" w:cs="Times New Roman"/>
          <w:color w:val="auto"/>
        </w:rPr>
        <w:t>.</w:t>
      </w:r>
    </w:p>
    <w:p w14:paraId="3CEA181C" w14:textId="77777777" w:rsidR="002C50F6" w:rsidRPr="00B40CAA" w:rsidRDefault="00E81BF6" w:rsidP="006D3FE5">
      <w:pPr>
        <w:spacing w:after="0" w:line="276" w:lineRule="auto"/>
        <w:ind w:left="-6" w:right="6" w:hanging="11"/>
        <w:rPr>
          <w:rFonts w:ascii="Times New Roman" w:hAnsi="Times New Roman" w:cs="Times New Roman"/>
          <w:color w:val="auto"/>
        </w:rPr>
      </w:pPr>
      <w:r w:rsidRPr="00B40CAA">
        <w:rPr>
          <w:rFonts w:ascii="Times New Roman" w:hAnsi="Times New Roman" w:cs="Times New Roman"/>
          <w:color w:val="auto"/>
        </w:rPr>
        <w:t>Bank nie stosuje wewnętrznych modeli pomiaru ryzyka rynkowego.</w:t>
      </w:r>
    </w:p>
    <w:p w14:paraId="7BABB147" w14:textId="77777777" w:rsidR="006D3FE5" w:rsidRPr="00065790" w:rsidRDefault="006D3FE5" w:rsidP="006D3FE5">
      <w:pPr>
        <w:spacing w:after="0" w:line="276" w:lineRule="auto"/>
        <w:ind w:left="-6" w:right="6" w:hanging="11"/>
        <w:rPr>
          <w:rFonts w:ascii="Times New Roman" w:hAnsi="Times New Roman" w:cs="Times New Roman"/>
          <w:color w:val="FF0000"/>
        </w:rPr>
      </w:pPr>
    </w:p>
    <w:p w14:paraId="04BCD919" w14:textId="77777777" w:rsidR="002C50F6" w:rsidRPr="00271DBF" w:rsidRDefault="00E81BF6">
      <w:pPr>
        <w:pStyle w:val="Nagwek1"/>
        <w:ind w:left="-5" w:right="7"/>
        <w:rPr>
          <w:rFonts w:ascii="Times New Roman" w:hAnsi="Times New Roman" w:cs="Times New Roman"/>
          <w:color w:val="auto"/>
        </w:rPr>
      </w:pPr>
      <w:bookmarkStart w:id="95" w:name="_Toc75336323"/>
      <w:r w:rsidRPr="00271DBF">
        <w:rPr>
          <w:rFonts w:ascii="Times New Roman" w:hAnsi="Times New Roman" w:cs="Times New Roman"/>
          <w:color w:val="auto"/>
        </w:rPr>
        <w:t>23. Wymogi informacyjne na temat podejści</w:t>
      </w:r>
      <w:r w:rsidR="005A7EF0" w:rsidRPr="00271DBF">
        <w:rPr>
          <w:rFonts w:ascii="Times New Roman" w:hAnsi="Times New Roman" w:cs="Times New Roman"/>
          <w:color w:val="auto"/>
        </w:rPr>
        <w:t>a do ryzyka płynności zgodnie z </w:t>
      </w:r>
      <w:r w:rsidRPr="00271DBF">
        <w:rPr>
          <w:rFonts w:ascii="Times New Roman" w:hAnsi="Times New Roman" w:cs="Times New Roman"/>
          <w:color w:val="auto"/>
        </w:rPr>
        <w:t>Rekomendacją 18 Rekomendacji P</w:t>
      </w:r>
      <w:bookmarkEnd w:id="95"/>
    </w:p>
    <w:p w14:paraId="5BE14190" w14:textId="77777777" w:rsidR="00F1098D" w:rsidRPr="00271DBF" w:rsidRDefault="00F1098D" w:rsidP="00660775">
      <w:pPr>
        <w:tabs>
          <w:tab w:val="left" w:pos="284"/>
        </w:tabs>
        <w:spacing w:before="120" w:after="0" w:line="276" w:lineRule="auto"/>
        <w:ind w:left="0"/>
        <w:contextualSpacing/>
        <w:rPr>
          <w:rFonts w:ascii="Times New Roman" w:hAnsi="Times New Roman" w:cs="Times New Roman"/>
          <w:color w:val="auto"/>
          <w:szCs w:val="24"/>
        </w:rPr>
      </w:pPr>
      <w:r w:rsidRPr="00271DBF">
        <w:rPr>
          <w:rFonts w:ascii="Times New Roman" w:hAnsi="Times New Roman" w:cs="Times New Roman"/>
          <w:color w:val="auto"/>
          <w:szCs w:val="24"/>
        </w:rPr>
        <w:t>Ryzyko płynności to zagrożenie utraty zdolności do finansowania aktywów i terminowego wykonywania zobowiązań w toku normalnej działalnoś</w:t>
      </w:r>
      <w:r w:rsidR="007E00A0" w:rsidRPr="00271DBF">
        <w:rPr>
          <w:rFonts w:ascii="Times New Roman" w:hAnsi="Times New Roman" w:cs="Times New Roman"/>
          <w:color w:val="auto"/>
          <w:szCs w:val="24"/>
        </w:rPr>
        <w:t>ci banku lub w innych warunkach, które można przewidzieć</w:t>
      </w:r>
      <w:r w:rsidRPr="00271DBF">
        <w:rPr>
          <w:rFonts w:ascii="Times New Roman" w:hAnsi="Times New Roman" w:cs="Times New Roman"/>
          <w:color w:val="auto"/>
          <w:szCs w:val="24"/>
        </w:rPr>
        <w:t>, powodujące konieczność poniesienia nieakceptowalnych strat</w:t>
      </w:r>
      <w:r w:rsidR="007E00A0" w:rsidRPr="00271DBF">
        <w:rPr>
          <w:rFonts w:ascii="Times New Roman" w:hAnsi="Times New Roman" w:cs="Times New Roman"/>
          <w:color w:val="auto"/>
          <w:szCs w:val="24"/>
        </w:rPr>
        <w:t>.</w:t>
      </w:r>
    </w:p>
    <w:p w14:paraId="6B9D14F7" w14:textId="28AFA2C6" w:rsidR="00F1098D" w:rsidRPr="005578F9" w:rsidRDefault="00F1098D" w:rsidP="00660775">
      <w:pPr>
        <w:widowControl w:val="0"/>
        <w:tabs>
          <w:tab w:val="left" w:pos="284"/>
        </w:tabs>
        <w:overflowPunct w:val="0"/>
        <w:autoSpaceDE w:val="0"/>
        <w:autoSpaceDN w:val="0"/>
        <w:adjustRightInd w:val="0"/>
        <w:spacing w:before="120" w:after="0" w:line="276" w:lineRule="auto"/>
        <w:ind w:left="0"/>
        <w:contextualSpacing/>
        <w:rPr>
          <w:rFonts w:ascii="Times New Roman" w:hAnsi="Times New Roman" w:cs="Times New Roman"/>
          <w:color w:val="auto"/>
          <w:szCs w:val="24"/>
        </w:rPr>
      </w:pPr>
      <w:r w:rsidRPr="00271DBF">
        <w:rPr>
          <w:rFonts w:ascii="Times New Roman" w:hAnsi="Times New Roman" w:cs="Times New Roman"/>
          <w:color w:val="auto"/>
          <w:szCs w:val="24"/>
        </w:rPr>
        <w:t>Celem strategicznym w zakresie zarządzania płynnością jest zapobieganie wystąpieniu sytuacji kryzysowej poprzez utrzymywanie odpowiedniej struktury aktywów i pasywów</w:t>
      </w:r>
      <w:r w:rsidR="005A7EF0" w:rsidRPr="00271DBF">
        <w:rPr>
          <w:rFonts w:ascii="Times New Roman" w:hAnsi="Times New Roman" w:cs="Times New Roman"/>
          <w:color w:val="auto"/>
          <w:szCs w:val="24"/>
        </w:rPr>
        <w:t>,</w:t>
      </w:r>
      <w:r w:rsidRPr="00271DBF">
        <w:rPr>
          <w:rFonts w:ascii="Times New Roman" w:hAnsi="Times New Roman" w:cs="Times New Roman"/>
          <w:color w:val="auto"/>
          <w:szCs w:val="24"/>
        </w:rPr>
        <w:t xml:space="preserve"> mającej na celu os</w:t>
      </w:r>
      <w:r w:rsidR="000816BC" w:rsidRPr="00271DBF">
        <w:rPr>
          <w:rFonts w:ascii="Times New Roman" w:hAnsi="Times New Roman" w:cs="Times New Roman"/>
          <w:color w:val="auto"/>
          <w:szCs w:val="24"/>
        </w:rPr>
        <w:t>iągnięcie założonej rentowności/</w:t>
      </w:r>
      <w:r w:rsidRPr="00271DBF">
        <w:rPr>
          <w:rFonts w:ascii="Times New Roman" w:hAnsi="Times New Roman" w:cs="Times New Roman"/>
          <w:color w:val="auto"/>
          <w:szCs w:val="24"/>
        </w:rPr>
        <w:t>stałego i rosnącego wyniku finansowego oraz zapewnienie zdolności do terminowego wywiązania się z bieżących i przyszłych zobowiązań</w:t>
      </w:r>
      <w:r w:rsidR="007E00A0" w:rsidRPr="00271DBF">
        <w:rPr>
          <w:rFonts w:ascii="Times New Roman" w:hAnsi="Times New Roman" w:cs="Times New Roman"/>
          <w:color w:val="auto"/>
          <w:szCs w:val="24"/>
        </w:rPr>
        <w:t xml:space="preserve">. Wyrazem wspomnianych celów strategicznych w zakresie zarządzania ryzykiem płynności jest utrzymanie </w:t>
      </w:r>
      <w:r w:rsidR="007E00A0" w:rsidRPr="005578F9">
        <w:rPr>
          <w:rFonts w:ascii="Times New Roman" w:hAnsi="Times New Roman" w:cs="Times New Roman"/>
          <w:color w:val="auto"/>
          <w:szCs w:val="24"/>
        </w:rPr>
        <w:t>tolerancji na ryzyko zgodnej z założonym apetytem na ryzyko, określonym poprzez wsk</w:t>
      </w:r>
      <w:r w:rsidR="00A77B9B" w:rsidRPr="005578F9">
        <w:rPr>
          <w:rFonts w:ascii="Times New Roman" w:hAnsi="Times New Roman" w:cs="Times New Roman"/>
          <w:color w:val="auto"/>
          <w:szCs w:val="24"/>
        </w:rPr>
        <w:t xml:space="preserve">aźniki mierzalne. </w:t>
      </w:r>
      <w:r w:rsidR="003C2784" w:rsidRPr="005578F9">
        <w:rPr>
          <w:rFonts w:ascii="Times New Roman" w:hAnsi="Times New Roman" w:cs="Times New Roman"/>
          <w:color w:val="auto"/>
          <w:szCs w:val="24"/>
        </w:rPr>
        <w:t>Na koniec 20</w:t>
      </w:r>
      <w:r w:rsidR="00271DBF" w:rsidRPr="005578F9">
        <w:rPr>
          <w:rFonts w:ascii="Times New Roman" w:hAnsi="Times New Roman" w:cs="Times New Roman"/>
          <w:color w:val="auto"/>
          <w:szCs w:val="24"/>
        </w:rPr>
        <w:t>20</w:t>
      </w:r>
      <w:r w:rsidR="007E00A0" w:rsidRPr="005578F9">
        <w:rPr>
          <w:rFonts w:ascii="Times New Roman" w:hAnsi="Times New Roman" w:cs="Times New Roman"/>
          <w:color w:val="auto"/>
          <w:szCs w:val="24"/>
        </w:rPr>
        <w:t xml:space="preserve"> roku cele strategiczne zostały osiągnięte, co obrazuje poniższa tabela:</w:t>
      </w:r>
    </w:p>
    <w:p w14:paraId="043A37E7" w14:textId="77777777" w:rsidR="00660775" w:rsidRPr="005578F9" w:rsidRDefault="00660775" w:rsidP="00660775">
      <w:pPr>
        <w:spacing w:after="0" w:line="276" w:lineRule="auto"/>
        <w:ind w:left="0"/>
        <w:rPr>
          <w:rFonts w:ascii="Times New Roman" w:hAnsi="Times New Roman" w:cs="Times New Roman"/>
          <w:i/>
          <w:color w:val="auto"/>
          <w:sz w:val="20"/>
          <w:szCs w:val="20"/>
        </w:rPr>
      </w:pPr>
    </w:p>
    <w:p w14:paraId="487F493F" w14:textId="77777777" w:rsidR="006E0285" w:rsidRPr="005578F9" w:rsidRDefault="006E0285" w:rsidP="00660775">
      <w:pPr>
        <w:spacing w:after="0" w:line="276" w:lineRule="auto"/>
        <w:ind w:left="0"/>
        <w:rPr>
          <w:rFonts w:ascii="Times New Roman" w:hAnsi="Times New Roman" w:cs="Times New Roman"/>
          <w:i/>
          <w:color w:val="auto"/>
          <w:sz w:val="20"/>
          <w:szCs w:val="20"/>
        </w:rPr>
      </w:pPr>
    </w:p>
    <w:p w14:paraId="5629D5CB" w14:textId="418AB4E1" w:rsidR="007E00A0" w:rsidRPr="005578F9" w:rsidRDefault="007E00A0" w:rsidP="00660775">
      <w:pPr>
        <w:spacing w:after="0" w:line="276" w:lineRule="auto"/>
        <w:ind w:left="0"/>
        <w:rPr>
          <w:rFonts w:ascii="Times New Roman" w:hAnsi="Times New Roman" w:cs="Times New Roman"/>
          <w:color w:val="auto"/>
          <w:sz w:val="20"/>
          <w:szCs w:val="20"/>
        </w:rPr>
      </w:pPr>
      <w:r w:rsidRPr="005578F9">
        <w:rPr>
          <w:rFonts w:ascii="Times New Roman" w:hAnsi="Times New Roman" w:cs="Times New Roman"/>
          <w:i/>
          <w:color w:val="auto"/>
          <w:sz w:val="20"/>
          <w:szCs w:val="20"/>
        </w:rPr>
        <w:t>Tabela – Cele strategiczne Banku WMBS</w:t>
      </w:r>
      <w:r w:rsidR="005A7EF0" w:rsidRPr="005578F9">
        <w:rPr>
          <w:rFonts w:ascii="Times New Roman" w:hAnsi="Times New Roman" w:cs="Times New Roman"/>
          <w:i/>
          <w:color w:val="auto"/>
          <w:sz w:val="20"/>
          <w:szCs w:val="20"/>
        </w:rPr>
        <w:t xml:space="preserve"> </w:t>
      </w:r>
      <w:r w:rsidRPr="005578F9">
        <w:rPr>
          <w:rFonts w:ascii="Times New Roman" w:hAnsi="Times New Roman" w:cs="Times New Roman"/>
          <w:i/>
          <w:color w:val="auto"/>
          <w:sz w:val="20"/>
          <w:szCs w:val="20"/>
        </w:rPr>
        <w:t>–</w:t>
      </w:r>
      <w:r w:rsidR="00A77B9B" w:rsidRPr="005578F9">
        <w:rPr>
          <w:rFonts w:ascii="Times New Roman" w:hAnsi="Times New Roman" w:cs="Times New Roman"/>
          <w:i/>
          <w:color w:val="auto"/>
          <w:sz w:val="20"/>
          <w:szCs w:val="20"/>
        </w:rPr>
        <w:t xml:space="preserve"> wykonanie n</w:t>
      </w:r>
      <w:r w:rsidR="00811F1F" w:rsidRPr="005578F9">
        <w:rPr>
          <w:rFonts w:ascii="Times New Roman" w:hAnsi="Times New Roman" w:cs="Times New Roman"/>
          <w:i/>
          <w:color w:val="auto"/>
          <w:sz w:val="20"/>
          <w:szCs w:val="20"/>
        </w:rPr>
        <w:t>a 31.12.20</w:t>
      </w:r>
      <w:r w:rsidR="00271DBF" w:rsidRPr="005578F9">
        <w:rPr>
          <w:rFonts w:ascii="Times New Roman" w:hAnsi="Times New Roman" w:cs="Times New Roman"/>
          <w:i/>
          <w:color w:val="auto"/>
          <w:sz w:val="20"/>
          <w:szCs w:val="20"/>
        </w:rPr>
        <w:t>20</w:t>
      </w:r>
      <w:r w:rsidR="005A7EF0" w:rsidRPr="005578F9">
        <w:rPr>
          <w:rFonts w:ascii="Times New Roman" w:hAnsi="Times New Roman" w:cs="Times New Roman"/>
          <w:i/>
          <w:color w:val="auto"/>
          <w:sz w:val="20"/>
          <w:szCs w:val="20"/>
        </w:rPr>
        <w:t xml:space="preserve"> roku</w:t>
      </w:r>
    </w:p>
    <w:tbl>
      <w:tblPr>
        <w:tblStyle w:val="TableGrid"/>
        <w:tblW w:w="9638" w:type="dxa"/>
        <w:tblInd w:w="-2" w:type="dxa"/>
        <w:tblCellMar>
          <w:top w:w="117" w:type="dxa"/>
          <w:left w:w="56" w:type="dxa"/>
          <w:right w:w="68" w:type="dxa"/>
        </w:tblCellMar>
        <w:tblLook w:val="04A0" w:firstRow="1" w:lastRow="0" w:firstColumn="1" w:lastColumn="0" w:noHBand="0" w:noVBand="1"/>
      </w:tblPr>
      <w:tblGrid>
        <w:gridCol w:w="386"/>
        <w:gridCol w:w="4380"/>
        <w:gridCol w:w="2965"/>
        <w:gridCol w:w="1907"/>
      </w:tblGrid>
      <w:tr w:rsidR="00065790" w:rsidRPr="005578F9" w14:paraId="296507A0" w14:textId="77777777" w:rsidTr="00221CA4">
        <w:trPr>
          <w:trHeight w:val="336"/>
        </w:trPr>
        <w:tc>
          <w:tcPr>
            <w:tcW w:w="386" w:type="dxa"/>
            <w:tcBorders>
              <w:top w:val="single" w:sz="2" w:space="0" w:color="1B1B1B"/>
              <w:left w:val="single" w:sz="2" w:space="0" w:color="1B1B1B"/>
              <w:bottom w:val="single" w:sz="2" w:space="0" w:color="1B1B1B"/>
              <w:right w:val="single" w:sz="2" w:space="0" w:color="1B1B1B"/>
            </w:tcBorders>
          </w:tcPr>
          <w:p w14:paraId="1DFBB9C5" w14:textId="77777777" w:rsidR="007E00A0" w:rsidRPr="005578F9" w:rsidRDefault="007E00A0" w:rsidP="00660775">
            <w:pPr>
              <w:spacing w:after="0" w:line="276" w:lineRule="auto"/>
              <w:ind w:left="4" w:right="0" w:firstLine="0"/>
              <w:jc w:val="left"/>
              <w:rPr>
                <w:rFonts w:ascii="Times New Roman" w:hAnsi="Times New Roman" w:cs="Times New Roman"/>
                <w:color w:val="auto"/>
              </w:rPr>
            </w:pPr>
            <w:r w:rsidRPr="005578F9">
              <w:rPr>
                <w:rFonts w:ascii="Times New Roman" w:hAnsi="Times New Roman" w:cs="Times New Roman"/>
                <w:b/>
                <w:i/>
                <w:color w:val="auto"/>
                <w:sz w:val="16"/>
              </w:rPr>
              <w:t>L.p.</w:t>
            </w:r>
          </w:p>
        </w:tc>
        <w:tc>
          <w:tcPr>
            <w:tcW w:w="4380" w:type="dxa"/>
            <w:tcBorders>
              <w:top w:val="single" w:sz="2" w:space="0" w:color="1B1B1B"/>
              <w:left w:val="single" w:sz="2" w:space="0" w:color="1B1B1B"/>
              <w:bottom w:val="single" w:sz="2" w:space="0" w:color="1B1B1B"/>
              <w:right w:val="single" w:sz="2" w:space="0" w:color="1B1B1B"/>
            </w:tcBorders>
          </w:tcPr>
          <w:p w14:paraId="5D12790E" w14:textId="77777777" w:rsidR="007E00A0" w:rsidRPr="005578F9" w:rsidRDefault="007E00A0" w:rsidP="00660775">
            <w:pPr>
              <w:spacing w:after="0" w:line="276" w:lineRule="auto"/>
              <w:ind w:left="17" w:right="0" w:firstLine="0"/>
              <w:jc w:val="center"/>
              <w:rPr>
                <w:rFonts w:ascii="Times New Roman" w:hAnsi="Times New Roman" w:cs="Times New Roman"/>
                <w:color w:val="auto"/>
              </w:rPr>
            </w:pPr>
            <w:r w:rsidRPr="005578F9">
              <w:rPr>
                <w:rFonts w:ascii="Times New Roman" w:hAnsi="Times New Roman" w:cs="Times New Roman"/>
                <w:b/>
                <w:color w:val="auto"/>
                <w:sz w:val="16"/>
              </w:rPr>
              <w:t>Nazwa wskaźnika</w:t>
            </w:r>
          </w:p>
        </w:tc>
        <w:tc>
          <w:tcPr>
            <w:tcW w:w="2965" w:type="dxa"/>
            <w:tcBorders>
              <w:top w:val="single" w:sz="2" w:space="0" w:color="1B1B1B"/>
              <w:left w:val="single" w:sz="2" w:space="0" w:color="1B1B1B"/>
              <w:bottom w:val="single" w:sz="2" w:space="0" w:color="1B1B1B"/>
              <w:right w:val="single" w:sz="2" w:space="0" w:color="1B1B1B"/>
            </w:tcBorders>
          </w:tcPr>
          <w:p w14:paraId="28BAFAA9" w14:textId="77777777" w:rsidR="007E00A0" w:rsidRPr="005578F9" w:rsidRDefault="007E00A0" w:rsidP="00660775">
            <w:pPr>
              <w:spacing w:after="0" w:line="276" w:lineRule="auto"/>
              <w:ind w:left="17" w:right="0" w:firstLine="0"/>
              <w:jc w:val="center"/>
              <w:rPr>
                <w:rFonts w:ascii="Times New Roman" w:hAnsi="Times New Roman" w:cs="Times New Roman"/>
                <w:color w:val="auto"/>
              </w:rPr>
            </w:pPr>
            <w:r w:rsidRPr="005578F9">
              <w:rPr>
                <w:rFonts w:ascii="Times New Roman" w:hAnsi="Times New Roman" w:cs="Times New Roman"/>
                <w:b/>
                <w:color w:val="auto"/>
                <w:sz w:val="16"/>
              </w:rPr>
              <w:t>Wartość progowa</w:t>
            </w:r>
          </w:p>
        </w:tc>
        <w:tc>
          <w:tcPr>
            <w:tcW w:w="1907" w:type="dxa"/>
            <w:tcBorders>
              <w:top w:val="single" w:sz="2" w:space="0" w:color="1B1B1B"/>
              <w:left w:val="single" w:sz="2" w:space="0" w:color="1B1B1B"/>
              <w:bottom w:val="single" w:sz="2" w:space="0" w:color="1B1B1B"/>
              <w:right w:val="single" w:sz="2" w:space="0" w:color="1B1B1B"/>
            </w:tcBorders>
          </w:tcPr>
          <w:p w14:paraId="282EE071" w14:textId="77777777" w:rsidR="007E00A0" w:rsidRPr="005578F9" w:rsidRDefault="007E00A0" w:rsidP="00660775">
            <w:pPr>
              <w:spacing w:after="0" w:line="276" w:lineRule="auto"/>
              <w:ind w:left="16" w:right="0" w:firstLine="0"/>
              <w:rPr>
                <w:rFonts w:ascii="Times New Roman" w:hAnsi="Times New Roman" w:cs="Times New Roman"/>
                <w:color w:val="auto"/>
              </w:rPr>
            </w:pPr>
            <w:r w:rsidRPr="005578F9">
              <w:rPr>
                <w:rFonts w:ascii="Times New Roman" w:hAnsi="Times New Roman" w:cs="Times New Roman"/>
                <w:b/>
                <w:color w:val="auto"/>
                <w:sz w:val="16"/>
              </w:rPr>
              <w:t>Wartość na dzień analizy</w:t>
            </w:r>
          </w:p>
        </w:tc>
      </w:tr>
      <w:tr w:rsidR="00065790" w:rsidRPr="005578F9" w14:paraId="483985E7" w14:textId="77777777" w:rsidTr="00221CA4">
        <w:trPr>
          <w:trHeight w:val="336"/>
        </w:trPr>
        <w:tc>
          <w:tcPr>
            <w:tcW w:w="386" w:type="dxa"/>
            <w:tcBorders>
              <w:top w:val="single" w:sz="2" w:space="0" w:color="1B1B1B"/>
              <w:left w:val="single" w:sz="2" w:space="0" w:color="1B1B1B"/>
              <w:bottom w:val="single" w:sz="2" w:space="0" w:color="1B1B1B"/>
              <w:right w:val="single" w:sz="2" w:space="0" w:color="1B1B1B"/>
            </w:tcBorders>
          </w:tcPr>
          <w:p w14:paraId="0AD4E8AE" w14:textId="77AE3D5B" w:rsidR="00221CA4" w:rsidRPr="005578F9" w:rsidRDefault="00221CA4" w:rsidP="00221CA4">
            <w:pPr>
              <w:spacing w:after="0" w:line="276" w:lineRule="auto"/>
              <w:ind w:left="98" w:right="0" w:firstLine="0"/>
              <w:jc w:val="left"/>
              <w:rPr>
                <w:rFonts w:ascii="Times New Roman" w:hAnsi="Times New Roman" w:cs="Times New Roman"/>
                <w:color w:val="auto"/>
                <w:sz w:val="16"/>
              </w:rPr>
            </w:pPr>
            <w:r w:rsidRPr="005578F9">
              <w:rPr>
                <w:rFonts w:ascii="Times New Roman" w:hAnsi="Times New Roman" w:cs="Times New Roman"/>
                <w:color w:val="auto"/>
                <w:sz w:val="16"/>
              </w:rPr>
              <w:t>1</w:t>
            </w:r>
          </w:p>
        </w:tc>
        <w:tc>
          <w:tcPr>
            <w:tcW w:w="4380" w:type="dxa"/>
            <w:tcBorders>
              <w:top w:val="single" w:sz="2" w:space="0" w:color="1B1B1B"/>
              <w:left w:val="single" w:sz="2" w:space="0" w:color="1B1B1B"/>
              <w:bottom w:val="single" w:sz="2" w:space="0" w:color="1B1B1B"/>
              <w:right w:val="single" w:sz="2" w:space="0" w:color="1B1B1B"/>
            </w:tcBorders>
          </w:tcPr>
          <w:p w14:paraId="24EF20BF" w14:textId="53D4E383" w:rsidR="00221CA4" w:rsidRPr="005578F9" w:rsidRDefault="00D90451" w:rsidP="00221CA4">
            <w:pPr>
              <w:spacing w:after="0" w:line="276" w:lineRule="auto"/>
              <w:ind w:left="0" w:right="0" w:firstLine="0"/>
              <w:jc w:val="left"/>
              <w:rPr>
                <w:rFonts w:ascii="Times New Roman" w:hAnsi="Times New Roman" w:cs="Times New Roman"/>
                <w:color w:val="auto"/>
                <w:sz w:val="16"/>
              </w:rPr>
            </w:pPr>
            <w:r w:rsidRPr="005578F9">
              <w:rPr>
                <w:rFonts w:ascii="Times New Roman" w:hAnsi="Times New Roman" w:cs="Times New Roman"/>
                <w:color w:val="auto"/>
                <w:sz w:val="16"/>
              </w:rPr>
              <w:t xml:space="preserve">Miara LCR – wskaźnik pokrycia przez aktywa płynne wypływów płynności netto w warunkach skrajnych przez okres 3 dni kalendarzowy  </w:t>
            </w:r>
          </w:p>
        </w:tc>
        <w:tc>
          <w:tcPr>
            <w:tcW w:w="2965" w:type="dxa"/>
            <w:tcBorders>
              <w:top w:val="single" w:sz="2" w:space="0" w:color="1B1B1B"/>
              <w:left w:val="single" w:sz="2" w:space="0" w:color="1B1B1B"/>
              <w:bottom w:val="single" w:sz="2" w:space="0" w:color="1B1B1B"/>
              <w:right w:val="single" w:sz="2" w:space="0" w:color="1B1B1B"/>
            </w:tcBorders>
          </w:tcPr>
          <w:p w14:paraId="04C80872" w14:textId="29290696" w:rsidR="00221CA4" w:rsidRPr="005578F9" w:rsidRDefault="00D90451" w:rsidP="00221CA4">
            <w:pPr>
              <w:spacing w:after="0" w:line="276" w:lineRule="auto"/>
              <w:ind w:left="16" w:right="0" w:firstLine="0"/>
              <w:jc w:val="center"/>
              <w:rPr>
                <w:rFonts w:ascii="Times New Roman" w:hAnsi="Times New Roman" w:cs="Times New Roman"/>
                <w:color w:val="auto"/>
                <w:sz w:val="16"/>
                <w:szCs w:val="16"/>
              </w:rPr>
            </w:pPr>
            <w:r w:rsidRPr="005578F9">
              <w:rPr>
                <w:rFonts w:ascii="Times New Roman" w:hAnsi="Times New Roman" w:cs="Times New Roman"/>
                <w:color w:val="auto"/>
                <w:sz w:val="16"/>
                <w:szCs w:val="16"/>
              </w:rPr>
              <w:t>Min. 100%</w:t>
            </w:r>
          </w:p>
        </w:tc>
        <w:tc>
          <w:tcPr>
            <w:tcW w:w="1907" w:type="dxa"/>
            <w:tcBorders>
              <w:top w:val="single" w:sz="2" w:space="0" w:color="1B1B1B"/>
              <w:left w:val="single" w:sz="2" w:space="0" w:color="1B1B1B"/>
              <w:bottom w:val="single" w:sz="2" w:space="0" w:color="1B1B1B"/>
              <w:right w:val="single" w:sz="2" w:space="0" w:color="1B1B1B"/>
            </w:tcBorders>
          </w:tcPr>
          <w:p w14:paraId="08F8B4B7" w14:textId="606F1F60" w:rsidR="00221CA4" w:rsidRPr="005578F9" w:rsidRDefault="00D60577" w:rsidP="00221CA4">
            <w:pPr>
              <w:spacing w:after="0" w:line="276" w:lineRule="auto"/>
              <w:ind w:left="19" w:right="0" w:firstLine="0"/>
              <w:jc w:val="center"/>
              <w:rPr>
                <w:rFonts w:ascii="Times New Roman" w:hAnsi="Times New Roman" w:cs="Times New Roman"/>
                <w:color w:val="auto"/>
                <w:sz w:val="16"/>
                <w:szCs w:val="16"/>
              </w:rPr>
            </w:pPr>
            <w:r w:rsidRPr="005578F9">
              <w:rPr>
                <w:rFonts w:ascii="Times New Roman" w:hAnsi="Times New Roman" w:cs="Times New Roman"/>
                <w:color w:val="auto"/>
                <w:sz w:val="16"/>
                <w:szCs w:val="16"/>
              </w:rPr>
              <w:t>508,66</w:t>
            </w:r>
            <w:r w:rsidR="00811F1F" w:rsidRPr="005578F9">
              <w:rPr>
                <w:rFonts w:ascii="Times New Roman" w:hAnsi="Times New Roman" w:cs="Times New Roman"/>
                <w:color w:val="auto"/>
                <w:sz w:val="16"/>
                <w:szCs w:val="16"/>
              </w:rPr>
              <w:t>%</w:t>
            </w:r>
          </w:p>
        </w:tc>
      </w:tr>
      <w:tr w:rsidR="00065790" w:rsidRPr="005578F9" w14:paraId="17A635A0" w14:textId="77777777" w:rsidTr="00221CA4">
        <w:trPr>
          <w:trHeight w:val="336"/>
        </w:trPr>
        <w:tc>
          <w:tcPr>
            <w:tcW w:w="386" w:type="dxa"/>
            <w:tcBorders>
              <w:top w:val="single" w:sz="2" w:space="0" w:color="1B1B1B"/>
              <w:left w:val="single" w:sz="2" w:space="0" w:color="1B1B1B"/>
              <w:bottom w:val="single" w:sz="2" w:space="0" w:color="1B1B1B"/>
              <w:right w:val="single" w:sz="2" w:space="0" w:color="1B1B1B"/>
            </w:tcBorders>
          </w:tcPr>
          <w:p w14:paraId="23E23DEC" w14:textId="063193A4" w:rsidR="00221CA4" w:rsidRPr="005578F9" w:rsidRDefault="00221CA4" w:rsidP="00221CA4">
            <w:pPr>
              <w:spacing w:after="0" w:line="276" w:lineRule="auto"/>
              <w:ind w:left="98" w:right="0" w:firstLine="0"/>
              <w:jc w:val="left"/>
              <w:rPr>
                <w:rFonts w:ascii="Times New Roman" w:hAnsi="Times New Roman" w:cs="Times New Roman"/>
                <w:color w:val="auto"/>
              </w:rPr>
            </w:pPr>
            <w:r w:rsidRPr="005578F9">
              <w:rPr>
                <w:rFonts w:ascii="Times New Roman" w:hAnsi="Times New Roman" w:cs="Times New Roman"/>
                <w:color w:val="auto"/>
                <w:sz w:val="16"/>
              </w:rPr>
              <w:t>2</w:t>
            </w:r>
          </w:p>
        </w:tc>
        <w:tc>
          <w:tcPr>
            <w:tcW w:w="4380" w:type="dxa"/>
            <w:tcBorders>
              <w:top w:val="single" w:sz="2" w:space="0" w:color="1B1B1B"/>
              <w:left w:val="single" w:sz="2" w:space="0" w:color="1B1B1B"/>
              <w:bottom w:val="single" w:sz="2" w:space="0" w:color="1B1B1B"/>
              <w:right w:val="single" w:sz="2" w:space="0" w:color="1B1B1B"/>
            </w:tcBorders>
          </w:tcPr>
          <w:p w14:paraId="396E5470" w14:textId="77777777" w:rsidR="00221CA4" w:rsidRPr="005578F9" w:rsidRDefault="00221CA4" w:rsidP="00221CA4">
            <w:pPr>
              <w:spacing w:after="0" w:line="276" w:lineRule="auto"/>
              <w:ind w:left="0" w:right="0" w:firstLine="0"/>
              <w:jc w:val="left"/>
              <w:rPr>
                <w:rFonts w:ascii="Times New Roman" w:hAnsi="Times New Roman" w:cs="Times New Roman"/>
                <w:color w:val="auto"/>
              </w:rPr>
            </w:pPr>
            <w:r w:rsidRPr="005578F9">
              <w:rPr>
                <w:rFonts w:ascii="Times New Roman" w:hAnsi="Times New Roman" w:cs="Times New Roman"/>
                <w:color w:val="auto"/>
                <w:sz w:val="16"/>
              </w:rPr>
              <w:t>pożyczki i kredyty netto / depozyty ogółem (bez odsetek)</w:t>
            </w:r>
          </w:p>
        </w:tc>
        <w:tc>
          <w:tcPr>
            <w:tcW w:w="2965" w:type="dxa"/>
            <w:tcBorders>
              <w:top w:val="single" w:sz="2" w:space="0" w:color="1B1B1B"/>
              <w:left w:val="single" w:sz="2" w:space="0" w:color="1B1B1B"/>
              <w:bottom w:val="single" w:sz="2" w:space="0" w:color="1B1B1B"/>
              <w:right w:val="single" w:sz="2" w:space="0" w:color="1B1B1B"/>
            </w:tcBorders>
          </w:tcPr>
          <w:p w14:paraId="58AA0E06" w14:textId="77777777" w:rsidR="00221CA4" w:rsidRPr="005578F9" w:rsidRDefault="00221CA4" w:rsidP="00221CA4">
            <w:pPr>
              <w:spacing w:after="0" w:line="276" w:lineRule="auto"/>
              <w:ind w:left="16" w:right="0" w:firstLine="0"/>
              <w:jc w:val="center"/>
              <w:rPr>
                <w:rFonts w:ascii="Times New Roman" w:hAnsi="Times New Roman" w:cs="Times New Roman"/>
                <w:color w:val="auto"/>
                <w:sz w:val="16"/>
                <w:szCs w:val="16"/>
              </w:rPr>
            </w:pPr>
            <w:r w:rsidRPr="005578F9">
              <w:rPr>
                <w:rFonts w:ascii="Times New Roman" w:hAnsi="Times New Roman" w:cs="Times New Roman"/>
                <w:color w:val="auto"/>
                <w:sz w:val="16"/>
                <w:szCs w:val="16"/>
              </w:rPr>
              <w:t>Max. 95%</w:t>
            </w:r>
          </w:p>
        </w:tc>
        <w:tc>
          <w:tcPr>
            <w:tcW w:w="1907" w:type="dxa"/>
            <w:tcBorders>
              <w:top w:val="single" w:sz="2" w:space="0" w:color="1B1B1B"/>
              <w:left w:val="single" w:sz="2" w:space="0" w:color="1B1B1B"/>
              <w:bottom w:val="single" w:sz="2" w:space="0" w:color="1B1B1B"/>
              <w:right w:val="single" w:sz="2" w:space="0" w:color="1B1B1B"/>
            </w:tcBorders>
          </w:tcPr>
          <w:p w14:paraId="0EE8E502" w14:textId="6094DCEA" w:rsidR="00221CA4" w:rsidRPr="005578F9" w:rsidRDefault="005578F9" w:rsidP="00221CA4">
            <w:pPr>
              <w:spacing w:after="0" w:line="276" w:lineRule="auto"/>
              <w:ind w:left="19" w:right="0" w:firstLine="0"/>
              <w:jc w:val="center"/>
              <w:rPr>
                <w:rFonts w:ascii="Times New Roman" w:hAnsi="Times New Roman" w:cs="Times New Roman"/>
                <w:color w:val="auto"/>
                <w:sz w:val="16"/>
                <w:szCs w:val="16"/>
              </w:rPr>
            </w:pPr>
            <w:r w:rsidRPr="005578F9">
              <w:rPr>
                <w:rFonts w:ascii="Times New Roman" w:hAnsi="Times New Roman" w:cs="Times New Roman"/>
                <w:color w:val="auto"/>
                <w:sz w:val="16"/>
                <w:szCs w:val="16"/>
              </w:rPr>
              <w:t>71,27</w:t>
            </w:r>
            <w:r w:rsidR="00B507B8" w:rsidRPr="005578F9">
              <w:rPr>
                <w:rFonts w:ascii="Times New Roman" w:hAnsi="Times New Roman" w:cs="Times New Roman"/>
                <w:color w:val="auto"/>
                <w:sz w:val="16"/>
                <w:szCs w:val="16"/>
              </w:rPr>
              <w:t>% (*)</w:t>
            </w:r>
          </w:p>
        </w:tc>
      </w:tr>
      <w:tr w:rsidR="005578F9" w:rsidRPr="005578F9" w14:paraId="06239028" w14:textId="77777777" w:rsidTr="00221CA4">
        <w:trPr>
          <w:trHeight w:val="336"/>
        </w:trPr>
        <w:tc>
          <w:tcPr>
            <w:tcW w:w="386" w:type="dxa"/>
            <w:tcBorders>
              <w:top w:val="single" w:sz="2" w:space="0" w:color="1B1B1B"/>
              <w:left w:val="single" w:sz="2" w:space="0" w:color="1B1B1B"/>
              <w:bottom w:val="single" w:sz="2" w:space="0" w:color="1B1B1B"/>
              <w:right w:val="single" w:sz="2" w:space="0" w:color="1B1B1B"/>
            </w:tcBorders>
          </w:tcPr>
          <w:p w14:paraId="7AB80C3B" w14:textId="1F7B2D3D" w:rsidR="00221CA4" w:rsidRPr="005578F9" w:rsidRDefault="003C2784" w:rsidP="00221CA4">
            <w:pPr>
              <w:spacing w:after="0" w:line="276" w:lineRule="auto"/>
              <w:ind w:left="98" w:right="0" w:firstLine="0"/>
              <w:jc w:val="left"/>
              <w:rPr>
                <w:rFonts w:ascii="Times New Roman" w:hAnsi="Times New Roman" w:cs="Times New Roman"/>
                <w:color w:val="auto"/>
                <w:sz w:val="16"/>
                <w:szCs w:val="16"/>
              </w:rPr>
            </w:pPr>
            <w:r w:rsidRPr="005578F9">
              <w:rPr>
                <w:rFonts w:ascii="Times New Roman" w:hAnsi="Times New Roman" w:cs="Times New Roman"/>
                <w:color w:val="auto"/>
                <w:sz w:val="16"/>
                <w:szCs w:val="16"/>
              </w:rPr>
              <w:t>3</w:t>
            </w:r>
          </w:p>
        </w:tc>
        <w:tc>
          <w:tcPr>
            <w:tcW w:w="4380" w:type="dxa"/>
            <w:tcBorders>
              <w:top w:val="single" w:sz="2" w:space="0" w:color="1B1B1B"/>
              <w:left w:val="single" w:sz="2" w:space="0" w:color="1B1B1B"/>
              <w:bottom w:val="single" w:sz="2" w:space="0" w:color="1B1B1B"/>
              <w:right w:val="single" w:sz="2" w:space="0" w:color="1B1B1B"/>
            </w:tcBorders>
          </w:tcPr>
          <w:p w14:paraId="01BA2567" w14:textId="77777777" w:rsidR="00221CA4" w:rsidRPr="005578F9" w:rsidRDefault="00221CA4" w:rsidP="00221CA4">
            <w:pPr>
              <w:spacing w:after="0" w:line="276" w:lineRule="auto"/>
              <w:ind w:left="0" w:right="0" w:firstLine="0"/>
              <w:jc w:val="left"/>
              <w:rPr>
                <w:rFonts w:ascii="Times New Roman" w:hAnsi="Times New Roman" w:cs="Times New Roman"/>
                <w:color w:val="auto"/>
              </w:rPr>
            </w:pPr>
            <w:r w:rsidRPr="005578F9">
              <w:rPr>
                <w:rFonts w:ascii="Times New Roman" w:hAnsi="Times New Roman" w:cs="Times New Roman"/>
                <w:color w:val="auto"/>
                <w:sz w:val="16"/>
              </w:rPr>
              <w:t>nadzorcza miara płynności M3</w:t>
            </w:r>
          </w:p>
        </w:tc>
        <w:tc>
          <w:tcPr>
            <w:tcW w:w="2965" w:type="dxa"/>
            <w:tcBorders>
              <w:top w:val="single" w:sz="2" w:space="0" w:color="1B1B1B"/>
              <w:left w:val="single" w:sz="2" w:space="0" w:color="1B1B1B"/>
              <w:bottom w:val="single" w:sz="2" w:space="0" w:color="1B1B1B"/>
              <w:right w:val="single" w:sz="2" w:space="0" w:color="1B1B1B"/>
            </w:tcBorders>
          </w:tcPr>
          <w:p w14:paraId="5D399E88" w14:textId="77777777" w:rsidR="00221CA4" w:rsidRPr="005578F9" w:rsidRDefault="00221CA4" w:rsidP="00221CA4">
            <w:pPr>
              <w:spacing w:after="0" w:line="276" w:lineRule="auto"/>
              <w:ind w:left="16" w:right="0" w:firstLine="0"/>
              <w:jc w:val="center"/>
              <w:rPr>
                <w:rFonts w:ascii="Times New Roman" w:hAnsi="Times New Roman" w:cs="Times New Roman"/>
                <w:color w:val="auto"/>
                <w:sz w:val="16"/>
              </w:rPr>
            </w:pPr>
            <w:r w:rsidRPr="005578F9">
              <w:rPr>
                <w:rFonts w:ascii="Times New Roman" w:hAnsi="Times New Roman" w:cs="Times New Roman"/>
                <w:color w:val="auto"/>
                <w:sz w:val="16"/>
              </w:rPr>
              <w:t>Min. 1</w:t>
            </w:r>
          </w:p>
        </w:tc>
        <w:tc>
          <w:tcPr>
            <w:tcW w:w="1907" w:type="dxa"/>
            <w:tcBorders>
              <w:top w:val="single" w:sz="2" w:space="0" w:color="1B1B1B"/>
              <w:left w:val="single" w:sz="2" w:space="0" w:color="1B1B1B"/>
              <w:bottom w:val="single" w:sz="2" w:space="0" w:color="1B1B1B"/>
              <w:right w:val="single" w:sz="2" w:space="0" w:color="1B1B1B"/>
            </w:tcBorders>
          </w:tcPr>
          <w:p w14:paraId="0683B781" w14:textId="599C1416" w:rsidR="00221CA4" w:rsidRPr="004C3834" w:rsidRDefault="003C2784" w:rsidP="00D60577">
            <w:pPr>
              <w:spacing w:after="0" w:line="276" w:lineRule="auto"/>
              <w:ind w:left="18" w:right="0" w:firstLine="0"/>
              <w:jc w:val="center"/>
              <w:rPr>
                <w:rFonts w:ascii="Times New Roman" w:hAnsi="Times New Roman" w:cs="Times New Roman"/>
                <w:color w:val="auto"/>
                <w:sz w:val="16"/>
              </w:rPr>
            </w:pPr>
            <w:r w:rsidRPr="004C3834">
              <w:rPr>
                <w:rFonts w:ascii="Times New Roman" w:hAnsi="Times New Roman" w:cs="Times New Roman"/>
                <w:color w:val="auto"/>
                <w:sz w:val="16"/>
              </w:rPr>
              <w:t>6,</w:t>
            </w:r>
            <w:r w:rsidR="00977E61">
              <w:rPr>
                <w:rFonts w:ascii="Times New Roman" w:hAnsi="Times New Roman" w:cs="Times New Roman"/>
                <w:color w:val="auto"/>
                <w:sz w:val="16"/>
              </w:rPr>
              <w:t>23</w:t>
            </w:r>
          </w:p>
        </w:tc>
      </w:tr>
      <w:tr w:rsidR="005578F9" w:rsidRPr="005578F9" w14:paraId="5921218C" w14:textId="77777777" w:rsidTr="00221CA4">
        <w:trPr>
          <w:trHeight w:val="336"/>
        </w:trPr>
        <w:tc>
          <w:tcPr>
            <w:tcW w:w="386" w:type="dxa"/>
            <w:tcBorders>
              <w:top w:val="single" w:sz="2" w:space="0" w:color="1B1B1B"/>
              <w:left w:val="single" w:sz="2" w:space="0" w:color="1B1B1B"/>
              <w:bottom w:val="single" w:sz="2" w:space="0" w:color="1B1B1B"/>
              <w:right w:val="single" w:sz="2" w:space="0" w:color="1B1B1B"/>
            </w:tcBorders>
          </w:tcPr>
          <w:p w14:paraId="1D5DFC2A" w14:textId="6F5A3BEE" w:rsidR="007E00A0" w:rsidRPr="005578F9" w:rsidRDefault="003C2784" w:rsidP="00660775">
            <w:pPr>
              <w:spacing w:after="0" w:line="276" w:lineRule="auto"/>
              <w:ind w:left="98" w:right="0" w:firstLine="0"/>
              <w:jc w:val="left"/>
              <w:rPr>
                <w:rFonts w:ascii="Times New Roman" w:hAnsi="Times New Roman" w:cs="Times New Roman"/>
                <w:color w:val="auto"/>
              </w:rPr>
            </w:pPr>
            <w:r w:rsidRPr="005578F9">
              <w:rPr>
                <w:rFonts w:ascii="Times New Roman" w:hAnsi="Times New Roman" w:cs="Times New Roman"/>
                <w:color w:val="auto"/>
                <w:sz w:val="16"/>
              </w:rPr>
              <w:t>4</w:t>
            </w:r>
          </w:p>
        </w:tc>
        <w:tc>
          <w:tcPr>
            <w:tcW w:w="4380" w:type="dxa"/>
            <w:tcBorders>
              <w:top w:val="single" w:sz="2" w:space="0" w:color="1B1B1B"/>
              <w:left w:val="single" w:sz="2" w:space="0" w:color="1B1B1B"/>
              <w:bottom w:val="single" w:sz="2" w:space="0" w:color="1B1B1B"/>
              <w:right w:val="single" w:sz="2" w:space="0" w:color="1B1B1B"/>
            </w:tcBorders>
          </w:tcPr>
          <w:p w14:paraId="399FA27D" w14:textId="77777777" w:rsidR="007E00A0" w:rsidRPr="005578F9" w:rsidRDefault="007E00A0" w:rsidP="00660775">
            <w:pPr>
              <w:spacing w:after="0" w:line="276" w:lineRule="auto"/>
              <w:ind w:left="0" w:right="0" w:firstLine="0"/>
              <w:jc w:val="left"/>
              <w:rPr>
                <w:rFonts w:ascii="Times New Roman" w:hAnsi="Times New Roman" w:cs="Times New Roman"/>
                <w:color w:val="auto"/>
              </w:rPr>
            </w:pPr>
            <w:r w:rsidRPr="005578F9">
              <w:rPr>
                <w:rFonts w:ascii="Times New Roman" w:hAnsi="Times New Roman" w:cs="Times New Roman"/>
                <w:color w:val="auto"/>
                <w:sz w:val="16"/>
              </w:rPr>
              <w:t>nadzorcza miara płynności M4</w:t>
            </w:r>
          </w:p>
        </w:tc>
        <w:tc>
          <w:tcPr>
            <w:tcW w:w="2965" w:type="dxa"/>
            <w:tcBorders>
              <w:top w:val="single" w:sz="2" w:space="0" w:color="1B1B1B"/>
              <w:left w:val="single" w:sz="2" w:space="0" w:color="1B1B1B"/>
              <w:bottom w:val="single" w:sz="2" w:space="0" w:color="1B1B1B"/>
              <w:right w:val="single" w:sz="2" w:space="0" w:color="1B1B1B"/>
            </w:tcBorders>
          </w:tcPr>
          <w:p w14:paraId="3C2956F9" w14:textId="77777777" w:rsidR="007E00A0" w:rsidRPr="005578F9" w:rsidRDefault="007E00A0" w:rsidP="00660775">
            <w:pPr>
              <w:spacing w:after="0" w:line="276" w:lineRule="auto"/>
              <w:ind w:left="16" w:right="0" w:firstLine="0"/>
              <w:jc w:val="center"/>
              <w:rPr>
                <w:rFonts w:ascii="Times New Roman" w:hAnsi="Times New Roman" w:cs="Times New Roman"/>
                <w:color w:val="auto"/>
                <w:sz w:val="16"/>
              </w:rPr>
            </w:pPr>
            <w:r w:rsidRPr="005578F9">
              <w:rPr>
                <w:rFonts w:ascii="Times New Roman" w:hAnsi="Times New Roman" w:cs="Times New Roman"/>
                <w:color w:val="auto"/>
                <w:sz w:val="16"/>
              </w:rPr>
              <w:t>Min. 1</w:t>
            </w:r>
          </w:p>
        </w:tc>
        <w:tc>
          <w:tcPr>
            <w:tcW w:w="1907" w:type="dxa"/>
            <w:tcBorders>
              <w:top w:val="single" w:sz="2" w:space="0" w:color="1B1B1B"/>
              <w:left w:val="single" w:sz="2" w:space="0" w:color="1B1B1B"/>
              <w:bottom w:val="single" w:sz="2" w:space="0" w:color="1B1B1B"/>
              <w:right w:val="single" w:sz="2" w:space="0" w:color="1B1B1B"/>
            </w:tcBorders>
          </w:tcPr>
          <w:p w14:paraId="18FA65D3" w14:textId="0B2FC00F" w:rsidR="007E00A0" w:rsidRPr="004C3834" w:rsidRDefault="003C2784" w:rsidP="00D60577">
            <w:pPr>
              <w:spacing w:after="0" w:line="276" w:lineRule="auto"/>
              <w:ind w:left="18" w:right="0" w:firstLine="0"/>
              <w:jc w:val="center"/>
              <w:rPr>
                <w:rFonts w:ascii="Times New Roman" w:hAnsi="Times New Roman" w:cs="Times New Roman"/>
                <w:color w:val="auto"/>
                <w:sz w:val="16"/>
              </w:rPr>
            </w:pPr>
            <w:r w:rsidRPr="004C3834">
              <w:rPr>
                <w:rFonts w:ascii="Times New Roman" w:hAnsi="Times New Roman" w:cs="Times New Roman"/>
                <w:color w:val="auto"/>
                <w:sz w:val="16"/>
              </w:rPr>
              <w:t>1,</w:t>
            </w:r>
            <w:r w:rsidR="00D60577" w:rsidRPr="004C3834">
              <w:rPr>
                <w:rFonts w:ascii="Times New Roman" w:hAnsi="Times New Roman" w:cs="Times New Roman"/>
                <w:color w:val="auto"/>
                <w:sz w:val="16"/>
              </w:rPr>
              <w:t>12</w:t>
            </w:r>
          </w:p>
        </w:tc>
      </w:tr>
    </w:tbl>
    <w:p w14:paraId="6710E627" w14:textId="0E0B78AE" w:rsidR="006E0285" w:rsidRPr="005578F9" w:rsidRDefault="00617278" w:rsidP="00811F1F">
      <w:pPr>
        <w:tabs>
          <w:tab w:val="left" w:pos="284"/>
          <w:tab w:val="left" w:pos="360"/>
        </w:tabs>
        <w:spacing w:after="0" w:line="276" w:lineRule="auto"/>
        <w:ind w:right="0"/>
        <w:rPr>
          <w:rFonts w:ascii="Times New Roman" w:hAnsi="Times New Roman" w:cs="Times New Roman"/>
          <w:color w:val="auto"/>
          <w:sz w:val="20"/>
          <w:szCs w:val="20"/>
        </w:rPr>
      </w:pPr>
      <w:r w:rsidRPr="005578F9">
        <w:rPr>
          <w:rFonts w:ascii="Times New Roman" w:hAnsi="Times New Roman" w:cs="Times New Roman"/>
          <w:color w:val="auto"/>
          <w:sz w:val="20"/>
          <w:szCs w:val="20"/>
        </w:rPr>
        <w:t>(*)</w:t>
      </w:r>
      <w:r w:rsidRPr="005578F9">
        <w:rPr>
          <w:rFonts w:ascii="Times New Roman" w:eastAsia="Meiryo UI" w:hAnsi="Times New Roman" w:cs="Times New Roman"/>
          <w:color w:val="auto"/>
          <w:sz w:val="20"/>
          <w:szCs w:val="20"/>
        </w:rPr>
        <w:t xml:space="preserve">źródło: Raport </w:t>
      </w:r>
      <w:r w:rsidR="00811F1F" w:rsidRPr="005578F9">
        <w:rPr>
          <w:rFonts w:ascii="Times New Roman" w:eastAsia="Meiryo UI" w:hAnsi="Times New Roman" w:cs="Times New Roman"/>
          <w:color w:val="auto"/>
          <w:sz w:val="20"/>
          <w:szCs w:val="20"/>
        </w:rPr>
        <w:t>analiza ryzyka płynności Warmińsko – Mazurskiego Banku Spółdzielczego wg stanu na 31 grudnia 20</w:t>
      </w:r>
      <w:r w:rsidR="00271DBF" w:rsidRPr="005578F9">
        <w:rPr>
          <w:rFonts w:ascii="Times New Roman" w:eastAsia="Meiryo UI" w:hAnsi="Times New Roman" w:cs="Times New Roman"/>
          <w:color w:val="auto"/>
          <w:sz w:val="20"/>
          <w:szCs w:val="20"/>
        </w:rPr>
        <w:t>20</w:t>
      </w:r>
      <w:r w:rsidR="00811F1F" w:rsidRPr="005578F9">
        <w:rPr>
          <w:rFonts w:ascii="Times New Roman" w:eastAsia="Meiryo UI" w:hAnsi="Times New Roman" w:cs="Times New Roman"/>
          <w:color w:val="auto"/>
          <w:sz w:val="20"/>
          <w:szCs w:val="20"/>
        </w:rPr>
        <w:t xml:space="preserve"> r.</w:t>
      </w:r>
      <w:r w:rsidRPr="005578F9">
        <w:rPr>
          <w:rFonts w:ascii="Times New Roman" w:eastAsia="Meiryo UI" w:hAnsi="Times New Roman" w:cs="Times New Roman"/>
          <w:color w:val="auto"/>
          <w:sz w:val="20"/>
          <w:szCs w:val="20"/>
        </w:rPr>
        <w:t>)</w:t>
      </w:r>
    </w:p>
    <w:p w14:paraId="0E5A4E66" w14:textId="77777777" w:rsidR="00F1098D" w:rsidRPr="005578F9" w:rsidRDefault="00F1098D" w:rsidP="00660775">
      <w:pPr>
        <w:tabs>
          <w:tab w:val="left" w:pos="284"/>
          <w:tab w:val="left" w:pos="360"/>
        </w:tabs>
        <w:spacing w:after="0" w:line="276" w:lineRule="auto"/>
        <w:ind w:right="0"/>
        <w:rPr>
          <w:rFonts w:ascii="Times New Roman" w:hAnsi="Times New Roman" w:cs="Times New Roman"/>
          <w:color w:val="auto"/>
          <w:szCs w:val="24"/>
        </w:rPr>
      </w:pPr>
      <w:r w:rsidRPr="005578F9">
        <w:rPr>
          <w:rFonts w:ascii="Times New Roman" w:hAnsi="Times New Roman" w:cs="Times New Roman"/>
          <w:color w:val="auto"/>
          <w:szCs w:val="24"/>
        </w:rPr>
        <w:t>Zarządzanie ryzykiem płynności w Banku ma charakter skonsolidowany i całościowy, co  oznacza zarządzanie płynnością złotową i walutową, zarówno w odniesien</w:t>
      </w:r>
      <w:r w:rsidR="005A7EF0" w:rsidRPr="005578F9">
        <w:rPr>
          <w:rFonts w:ascii="Times New Roman" w:hAnsi="Times New Roman" w:cs="Times New Roman"/>
          <w:color w:val="auto"/>
          <w:szCs w:val="24"/>
        </w:rPr>
        <w:t xml:space="preserve">iu do pozycji bilansowych jak </w:t>
      </w:r>
      <w:r w:rsidR="005A7EF0" w:rsidRPr="005578F9">
        <w:rPr>
          <w:rFonts w:ascii="Times New Roman" w:hAnsi="Times New Roman" w:cs="Times New Roman"/>
          <w:color w:val="auto"/>
          <w:szCs w:val="24"/>
        </w:rPr>
        <w:lastRenderedPageBreak/>
        <w:t>i </w:t>
      </w:r>
      <w:r w:rsidRPr="005578F9">
        <w:rPr>
          <w:rFonts w:ascii="Times New Roman" w:hAnsi="Times New Roman" w:cs="Times New Roman"/>
          <w:color w:val="auto"/>
          <w:szCs w:val="24"/>
        </w:rPr>
        <w:t>pozabilansowych we wszystkich horyzontach czasowych ustalonych przez Bank i obejmuje wszystkie komórki i jednostki organizacyjne Banku.</w:t>
      </w:r>
    </w:p>
    <w:p w14:paraId="397E4592" w14:textId="5CD10F86" w:rsidR="00F1098D" w:rsidRPr="005578F9" w:rsidRDefault="000E696A" w:rsidP="00660775">
      <w:pPr>
        <w:tabs>
          <w:tab w:val="left" w:pos="284"/>
          <w:tab w:val="left" w:pos="360"/>
        </w:tabs>
        <w:spacing w:after="0" w:line="276" w:lineRule="auto"/>
        <w:ind w:right="0"/>
        <w:rPr>
          <w:rFonts w:ascii="Times New Roman" w:hAnsi="Times New Roman" w:cs="Times New Roman"/>
          <w:color w:val="auto"/>
          <w:szCs w:val="24"/>
        </w:rPr>
      </w:pPr>
      <w:r w:rsidRPr="005578F9">
        <w:rPr>
          <w:rFonts w:ascii="Times New Roman" w:hAnsi="Times New Roman" w:cs="Times New Roman"/>
          <w:color w:val="auto"/>
          <w:szCs w:val="24"/>
        </w:rPr>
        <w:t xml:space="preserve">Zgodnie z zawartymi umowami, </w:t>
      </w:r>
      <w:r w:rsidR="00F1098D" w:rsidRPr="005578F9">
        <w:rPr>
          <w:rFonts w:ascii="Times New Roman" w:hAnsi="Times New Roman" w:cs="Times New Roman"/>
          <w:color w:val="auto"/>
          <w:szCs w:val="24"/>
        </w:rPr>
        <w:t>Bank w ramach zabezpieczenia płynności korzystał z</w:t>
      </w:r>
      <w:r w:rsidRPr="005578F9">
        <w:rPr>
          <w:rFonts w:ascii="Times New Roman" w:hAnsi="Times New Roman" w:cs="Times New Roman"/>
          <w:color w:val="auto"/>
          <w:szCs w:val="24"/>
        </w:rPr>
        <w:t> </w:t>
      </w:r>
      <w:r w:rsidR="00F1098D" w:rsidRPr="005578F9">
        <w:rPr>
          <w:rFonts w:ascii="Times New Roman" w:hAnsi="Times New Roman" w:cs="Times New Roman"/>
          <w:color w:val="auto"/>
          <w:szCs w:val="24"/>
        </w:rPr>
        <w:t>następujących czynności:</w:t>
      </w:r>
    </w:p>
    <w:p w14:paraId="3C3FB374" w14:textId="137168E9" w:rsidR="00F1098D" w:rsidRPr="005578F9" w:rsidRDefault="00F1098D" w:rsidP="00D8051F">
      <w:pPr>
        <w:numPr>
          <w:ilvl w:val="1"/>
          <w:numId w:val="46"/>
        </w:numPr>
        <w:tabs>
          <w:tab w:val="left" w:pos="284"/>
          <w:tab w:val="left" w:pos="360"/>
        </w:tabs>
        <w:spacing w:after="0" w:line="276" w:lineRule="auto"/>
        <w:ind w:left="709" w:right="0" w:hanging="425"/>
        <w:rPr>
          <w:rFonts w:ascii="Times New Roman" w:hAnsi="Times New Roman" w:cs="Times New Roman"/>
          <w:color w:val="auto"/>
          <w:szCs w:val="24"/>
        </w:rPr>
      </w:pPr>
      <w:r w:rsidRPr="005578F9">
        <w:rPr>
          <w:rFonts w:ascii="Times New Roman" w:hAnsi="Times New Roman" w:cs="Times New Roman"/>
          <w:color w:val="auto"/>
          <w:szCs w:val="24"/>
        </w:rPr>
        <w:t xml:space="preserve">utrzymywanie rezerwy obowiązkowej </w:t>
      </w:r>
      <w:r w:rsidR="005A7EF0" w:rsidRPr="005578F9">
        <w:rPr>
          <w:rFonts w:ascii="Times New Roman" w:hAnsi="Times New Roman" w:cs="Times New Roman"/>
          <w:color w:val="auto"/>
          <w:szCs w:val="24"/>
        </w:rPr>
        <w:t xml:space="preserve">na </w:t>
      </w:r>
      <w:r w:rsidR="006509C1" w:rsidRPr="005578F9">
        <w:rPr>
          <w:rFonts w:ascii="Times New Roman" w:hAnsi="Times New Roman" w:cs="Times New Roman"/>
          <w:color w:val="auto"/>
          <w:szCs w:val="24"/>
        </w:rPr>
        <w:t xml:space="preserve">wymaganym </w:t>
      </w:r>
      <w:r w:rsidR="005A7EF0" w:rsidRPr="005578F9">
        <w:rPr>
          <w:rFonts w:ascii="Times New Roman" w:hAnsi="Times New Roman" w:cs="Times New Roman"/>
          <w:color w:val="auto"/>
          <w:szCs w:val="24"/>
        </w:rPr>
        <w:t>poziomie</w:t>
      </w:r>
      <w:r w:rsidR="006509C1" w:rsidRPr="005578F9">
        <w:rPr>
          <w:rFonts w:ascii="Times New Roman" w:hAnsi="Times New Roman" w:cs="Times New Roman"/>
          <w:color w:val="auto"/>
          <w:szCs w:val="24"/>
        </w:rPr>
        <w:t xml:space="preserve"> na rachunku rezerwy obowiązkowej w NBP;</w:t>
      </w:r>
    </w:p>
    <w:p w14:paraId="72D43291" w14:textId="5AFAF4FA" w:rsidR="00F1098D" w:rsidRPr="005578F9" w:rsidRDefault="00F1098D" w:rsidP="00D8051F">
      <w:pPr>
        <w:numPr>
          <w:ilvl w:val="1"/>
          <w:numId w:val="46"/>
        </w:numPr>
        <w:tabs>
          <w:tab w:val="left" w:pos="284"/>
          <w:tab w:val="left" w:pos="360"/>
        </w:tabs>
        <w:spacing w:after="0" w:line="276" w:lineRule="auto"/>
        <w:ind w:left="709" w:right="0" w:hanging="425"/>
        <w:rPr>
          <w:rFonts w:ascii="Times New Roman" w:hAnsi="Times New Roman" w:cs="Times New Roman"/>
          <w:color w:val="auto"/>
          <w:szCs w:val="24"/>
        </w:rPr>
      </w:pPr>
      <w:r w:rsidRPr="005578F9">
        <w:rPr>
          <w:rFonts w:ascii="Times New Roman" w:hAnsi="Times New Roman" w:cs="Times New Roman"/>
          <w:color w:val="auto"/>
          <w:szCs w:val="24"/>
        </w:rPr>
        <w:t xml:space="preserve">lokowanie nadwyżek środków finansowych </w:t>
      </w:r>
      <w:r w:rsidR="006509C1" w:rsidRPr="005578F9">
        <w:rPr>
          <w:rFonts w:ascii="Times New Roman" w:hAnsi="Times New Roman" w:cs="Times New Roman"/>
          <w:color w:val="auto"/>
          <w:szCs w:val="24"/>
        </w:rPr>
        <w:t>w bankach (BPS S.A., Santander Bank Polska S.A., BGK</w:t>
      </w:r>
      <w:r w:rsidR="002D5148" w:rsidRPr="005578F9">
        <w:rPr>
          <w:rFonts w:ascii="Times New Roman" w:hAnsi="Times New Roman" w:cs="Times New Roman"/>
          <w:color w:val="auto"/>
          <w:szCs w:val="24"/>
        </w:rPr>
        <w:t>)</w:t>
      </w:r>
      <w:r w:rsidR="005A7EF0" w:rsidRPr="005578F9">
        <w:rPr>
          <w:rFonts w:ascii="Times New Roman" w:hAnsi="Times New Roman" w:cs="Times New Roman"/>
          <w:color w:val="auto"/>
          <w:szCs w:val="24"/>
        </w:rPr>
        <w:t>;</w:t>
      </w:r>
    </w:p>
    <w:p w14:paraId="51A4E52D" w14:textId="6105588E" w:rsidR="00F1098D" w:rsidRPr="005578F9" w:rsidRDefault="00901D24" w:rsidP="00D8051F">
      <w:pPr>
        <w:numPr>
          <w:ilvl w:val="1"/>
          <w:numId w:val="46"/>
        </w:numPr>
        <w:tabs>
          <w:tab w:val="left" w:pos="284"/>
          <w:tab w:val="left" w:pos="360"/>
        </w:tabs>
        <w:spacing w:after="0" w:line="276" w:lineRule="auto"/>
        <w:ind w:left="709" w:right="0" w:hanging="425"/>
        <w:rPr>
          <w:rFonts w:ascii="Times New Roman" w:hAnsi="Times New Roman" w:cs="Times New Roman"/>
          <w:color w:val="auto"/>
          <w:szCs w:val="24"/>
        </w:rPr>
      </w:pPr>
      <w:r w:rsidRPr="005578F9">
        <w:rPr>
          <w:rFonts w:ascii="Times New Roman" w:hAnsi="Times New Roman" w:cs="Times New Roman"/>
          <w:color w:val="auto"/>
          <w:szCs w:val="24"/>
        </w:rPr>
        <w:t>zakup</w:t>
      </w:r>
      <w:r w:rsidR="00F1098D" w:rsidRPr="005578F9">
        <w:rPr>
          <w:rFonts w:ascii="Times New Roman" w:hAnsi="Times New Roman" w:cs="Times New Roman"/>
          <w:color w:val="auto"/>
          <w:szCs w:val="24"/>
        </w:rPr>
        <w:t xml:space="preserve"> bonów pieniężnych i skarbowych papierów wartościowych zaku</w:t>
      </w:r>
      <w:r w:rsidR="005A7EF0" w:rsidRPr="005578F9">
        <w:rPr>
          <w:rFonts w:ascii="Times New Roman" w:hAnsi="Times New Roman" w:cs="Times New Roman"/>
          <w:color w:val="auto"/>
          <w:szCs w:val="24"/>
        </w:rPr>
        <w:t>pionych na rynku międzybankowym</w:t>
      </w:r>
      <w:r w:rsidR="002D5148" w:rsidRPr="005578F9">
        <w:rPr>
          <w:rFonts w:ascii="Times New Roman" w:hAnsi="Times New Roman" w:cs="Times New Roman"/>
          <w:color w:val="auto"/>
          <w:szCs w:val="24"/>
        </w:rPr>
        <w:t xml:space="preserve"> (BPS S.A.)</w:t>
      </w:r>
      <w:r w:rsidR="005A7EF0" w:rsidRPr="005578F9">
        <w:rPr>
          <w:rFonts w:ascii="Times New Roman" w:hAnsi="Times New Roman" w:cs="Times New Roman"/>
          <w:color w:val="auto"/>
          <w:szCs w:val="24"/>
        </w:rPr>
        <w:t>;</w:t>
      </w:r>
    </w:p>
    <w:p w14:paraId="3DF8DCF8" w14:textId="32796B44" w:rsidR="00F1098D" w:rsidRPr="005578F9" w:rsidRDefault="00901D24" w:rsidP="00D8051F">
      <w:pPr>
        <w:numPr>
          <w:ilvl w:val="1"/>
          <w:numId w:val="46"/>
        </w:numPr>
        <w:tabs>
          <w:tab w:val="left" w:pos="284"/>
          <w:tab w:val="left" w:pos="360"/>
        </w:tabs>
        <w:spacing w:after="0" w:line="276" w:lineRule="auto"/>
        <w:ind w:left="709" w:right="0" w:hanging="425"/>
        <w:rPr>
          <w:rFonts w:ascii="Times New Roman" w:hAnsi="Times New Roman" w:cs="Times New Roman"/>
          <w:color w:val="auto"/>
          <w:szCs w:val="24"/>
        </w:rPr>
      </w:pPr>
      <w:r w:rsidRPr="005578F9">
        <w:rPr>
          <w:rFonts w:ascii="Times New Roman" w:hAnsi="Times New Roman" w:cs="Times New Roman"/>
          <w:color w:val="auto"/>
          <w:szCs w:val="24"/>
        </w:rPr>
        <w:t>zakup</w:t>
      </w:r>
      <w:r w:rsidR="00F1098D" w:rsidRPr="005578F9">
        <w:rPr>
          <w:rFonts w:ascii="Times New Roman" w:hAnsi="Times New Roman" w:cs="Times New Roman"/>
          <w:color w:val="auto"/>
          <w:szCs w:val="24"/>
        </w:rPr>
        <w:t xml:space="preserve"> instrumentów f</w:t>
      </w:r>
      <w:r w:rsidR="005A7EF0" w:rsidRPr="005578F9">
        <w:rPr>
          <w:rFonts w:ascii="Times New Roman" w:hAnsi="Times New Roman" w:cs="Times New Roman"/>
          <w:color w:val="auto"/>
          <w:szCs w:val="24"/>
        </w:rPr>
        <w:t xml:space="preserve">inansowych za pośrednictwem </w:t>
      </w:r>
      <w:r w:rsidR="002D5148" w:rsidRPr="005578F9">
        <w:rPr>
          <w:rFonts w:ascii="Times New Roman" w:hAnsi="Times New Roman" w:cs="Times New Roman"/>
          <w:color w:val="auto"/>
          <w:szCs w:val="24"/>
        </w:rPr>
        <w:t>biur maklerskich (BPS S.A., PKO BP S.A.)</w:t>
      </w:r>
      <w:r w:rsidR="005A7EF0" w:rsidRPr="005578F9">
        <w:rPr>
          <w:rFonts w:ascii="Times New Roman" w:hAnsi="Times New Roman" w:cs="Times New Roman"/>
          <w:color w:val="auto"/>
          <w:szCs w:val="24"/>
        </w:rPr>
        <w:t>;</w:t>
      </w:r>
    </w:p>
    <w:p w14:paraId="7714E711" w14:textId="4F3FF983" w:rsidR="002D5148" w:rsidRPr="005578F9" w:rsidRDefault="002D5148" w:rsidP="00D8051F">
      <w:pPr>
        <w:numPr>
          <w:ilvl w:val="1"/>
          <w:numId w:val="46"/>
        </w:numPr>
        <w:tabs>
          <w:tab w:val="left" w:pos="284"/>
          <w:tab w:val="left" w:pos="360"/>
        </w:tabs>
        <w:spacing w:after="0" w:line="276" w:lineRule="auto"/>
        <w:ind w:left="709" w:right="0" w:hanging="425"/>
        <w:rPr>
          <w:rFonts w:ascii="Times New Roman" w:hAnsi="Times New Roman" w:cs="Times New Roman"/>
          <w:color w:val="auto"/>
          <w:szCs w:val="24"/>
        </w:rPr>
      </w:pPr>
      <w:r w:rsidRPr="005578F9">
        <w:rPr>
          <w:rFonts w:ascii="Times New Roman" w:hAnsi="Times New Roman" w:cs="Times New Roman"/>
          <w:color w:val="auto"/>
          <w:szCs w:val="24"/>
        </w:rPr>
        <w:t>zaciągnięcie kredytu w rachunku bieżącym w Santander Bank Polska S.A.;</w:t>
      </w:r>
    </w:p>
    <w:p w14:paraId="0F41E5F8" w14:textId="23D69069" w:rsidR="00F1098D" w:rsidRPr="005578F9" w:rsidRDefault="00901D24" w:rsidP="00D8051F">
      <w:pPr>
        <w:numPr>
          <w:ilvl w:val="1"/>
          <w:numId w:val="46"/>
        </w:numPr>
        <w:tabs>
          <w:tab w:val="left" w:pos="284"/>
          <w:tab w:val="left" w:pos="360"/>
        </w:tabs>
        <w:spacing w:after="0" w:line="276" w:lineRule="auto"/>
        <w:ind w:left="709" w:right="0" w:hanging="425"/>
        <w:rPr>
          <w:rFonts w:ascii="Times New Roman" w:hAnsi="Times New Roman" w:cs="Times New Roman"/>
          <w:color w:val="auto"/>
          <w:szCs w:val="24"/>
        </w:rPr>
      </w:pPr>
      <w:r w:rsidRPr="005578F9">
        <w:rPr>
          <w:rFonts w:ascii="Times New Roman" w:hAnsi="Times New Roman" w:cs="Times New Roman"/>
          <w:color w:val="auto"/>
          <w:szCs w:val="24"/>
        </w:rPr>
        <w:t>dokonywanie</w:t>
      </w:r>
      <w:r w:rsidR="00F1098D" w:rsidRPr="005578F9">
        <w:rPr>
          <w:rFonts w:ascii="Times New Roman" w:hAnsi="Times New Roman" w:cs="Times New Roman"/>
          <w:color w:val="auto"/>
          <w:szCs w:val="24"/>
        </w:rPr>
        <w:t xml:space="preserve"> </w:t>
      </w:r>
      <w:r w:rsidR="005E2E8B" w:rsidRPr="005578F9">
        <w:rPr>
          <w:rFonts w:ascii="Times New Roman" w:hAnsi="Times New Roman" w:cs="Times New Roman"/>
          <w:color w:val="auto"/>
          <w:szCs w:val="24"/>
        </w:rPr>
        <w:t>zasileń i odprowadzeń</w:t>
      </w:r>
      <w:r w:rsidR="005A7EF0" w:rsidRPr="005578F9">
        <w:rPr>
          <w:rFonts w:ascii="Times New Roman" w:hAnsi="Times New Roman" w:cs="Times New Roman"/>
          <w:color w:val="auto"/>
          <w:szCs w:val="24"/>
        </w:rPr>
        <w:t xml:space="preserve"> gotówki.</w:t>
      </w:r>
    </w:p>
    <w:p w14:paraId="6E2026B2" w14:textId="77777777" w:rsidR="000E4EB7" w:rsidRPr="005578F9" w:rsidRDefault="00F1098D" w:rsidP="00660775">
      <w:pPr>
        <w:tabs>
          <w:tab w:val="left" w:pos="284"/>
        </w:tabs>
        <w:spacing w:after="0" w:line="276" w:lineRule="auto"/>
        <w:ind w:left="0"/>
        <w:contextualSpacing/>
        <w:rPr>
          <w:rFonts w:ascii="Times New Roman" w:hAnsi="Times New Roman" w:cs="Times New Roman"/>
          <w:color w:val="auto"/>
          <w:szCs w:val="24"/>
        </w:rPr>
      </w:pPr>
      <w:r w:rsidRPr="005578F9">
        <w:rPr>
          <w:rFonts w:ascii="Times New Roman" w:hAnsi="Times New Roman" w:cs="Times New Roman"/>
          <w:color w:val="auto"/>
          <w:szCs w:val="24"/>
        </w:rPr>
        <w:t>W celu ograniczenia ryzyka płynności Bank wprowadził li</w:t>
      </w:r>
      <w:r w:rsidR="005A7EF0" w:rsidRPr="005578F9">
        <w:rPr>
          <w:rFonts w:ascii="Times New Roman" w:hAnsi="Times New Roman" w:cs="Times New Roman"/>
          <w:color w:val="auto"/>
          <w:szCs w:val="24"/>
        </w:rPr>
        <w:t>mity pozwalające na wdrożenie w </w:t>
      </w:r>
      <w:r w:rsidRPr="005578F9">
        <w:rPr>
          <w:rFonts w:ascii="Times New Roman" w:hAnsi="Times New Roman" w:cs="Times New Roman"/>
          <w:color w:val="auto"/>
          <w:szCs w:val="24"/>
        </w:rPr>
        <w:t>odpowiedni</w:t>
      </w:r>
      <w:r w:rsidR="005A7EF0" w:rsidRPr="005578F9">
        <w:rPr>
          <w:rFonts w:ascii="Times New Roman" w:hAnsi="Times New Roman" w:cs="Times New Roman"/>
          <w:color w:val="auto"/>
          <w:szCs w:val="24"/>
        </w:rPr>
        <w:t>m</w:t>
      </w:r>
      <w:r w:rsidRPr="005578F9">
        <w:rPr>
          <w:rFonts w:ascii="Times New Roman" w:hAnsi="Times New Roman" w:cs="Times New Roman"/>
          <w:color w:val="auto"/>
          <w:szCs w:val="24"/>
        </w:rPr>
        <w:t xml:space="preserve"> momencie mechanizmów zapobiegających powstaniu nadmiernego ryzyka. Podstawowymi limitami, w zakresie których Bank nie dopuszczał </w:t>
      </w:r>
      <w:r w:rsidR="000E696A" w:rsidRPr="005578F9">
        <w:rPr>
          <w:rFonts w:ascii="Times New Roman" w:hAnsi="Times New Roman" w:cs="Times New Roman"/>
          <w:color w:val="auto"/>
          <w:szCs w:val="24"/>
        </w:rPr>
        <w:t>możliwości</w:t>
      </w:r>
      <w:r w:rsidRPr="005578F9">
        <w:rPr>
          <w:rFonts w:ascii="Times New Roman" w:hAnsi="Times New Roman" w:cs="Times New Roman"/>
          <w:color w:val="auto"/>
          <w:szCs w:val="24"/>
        </w:rPr>
        <w:t xml:space="preserve"> ich przekroczenia</w:t>
      </w:r>
      <w:r w:rsidR="005A7EF0" w:rsidRPr="005578F9">
        <w:rPr>
          <w:rFonts w:ascii="Times New Roman" w:hAnsi="Times New Roman" w:cs="Times New Roman"/>
          <w:color w:val="auto"/>
          <w:szCs w:val="24"/>
        </w:rPr>
        <w:t>,</w:t>
      </w:r>
      <w:r w:rsidRPr="005578F9">
        <w:rPr>
          <w:rFonts w:ascii="Times New Roman" w:hAnsi="Times New Roman" w:cs="Times New Roman"/>
          <w:color w:val="auto"/>
          <w:szCs w:val="24"/>
        </w:rPr>
        <w:t xml:space="preserve"> były następujące limity regulacyjne:</w:t>
      </w:r>
    </w:p>
    <w:p w14:paraId="62795F11" w14:textId="77777777" w:rsidR="00F1098D" w:rsidRPr="005578F9" w:rsidRDefault="00F1098D" w:rsidP="00660775">
      <w:pPr>
        <w:tabs>
          <w:tab w:val="left" w:pos="284"/>
        </w:tabs>
        <w:spacing w:after="0" w:line="276" w:lineRule="auto"/>
        <w:ind w:left="567" w:hanging="141"/>
        <w:contextualSpacing/>
        <w:rPr>
          <w:rFonts w:ascii="Times New Roman" w:hAnsi="Times New Roman" w:cs="Times New Roman"/>
          <w:color w:val="auto"/>
          <w:szCs w:val="24"/>
        </w:rPr>
      </w:pPr>
      <w:r w:rsidRPr="005578F9">
        <w:rPr>
          <w:rFonts w:ascii="Times New Roman" w:hAnsi="Times New Roman" w:cs="Times New Roman"/>
          <w:color w:val="auto"/>
          <w:szCs w:val="24"/>
        </w:rPr>
        <w:t>- nadzorcze miary płynności,</w:t>
      </w:r>
    </w:p>
    <w:p w14:paraId="6540F84C" w14:textId="77777777" w:rsidR="00F1098D" w:rsidRPr="005578F9" w:rsidRDefault="00F1098D" w:rsidP="00660775">
      <w:pPr>
        <w:pStyle w:val="Akapitzlist"/>
        <w:tabs>
          <w:tab w:val="left" w:pos="284"/>
        </w:tabs>
        <w:spacing w:line="276" w:lineRule="auto"/>
        <w:ind w:left="567" w:hanging="141"/>
        <w:contextualSpacing/>
        <w:jc w:val="both"/>
        <w:rPr>
          <w:sz w:val="24"/>
          <w:szCs w:val="24"/>
        </w:rPr>
      </w:pPr>
      <w:r w:rsidRPr="005578F9">
        <w:rPr>
          <w:sz w:val="24"/>
          <w:szCs w:val="24"/>
        </w:rPr>
        <w:t>- limit wskaźnika LCR.</w:t>
      </w:r>
    </w:p>
    <w:p w14:paraId="088275BF" w14:textId="7772F671" w:rsidR="00F1098D" w:rsidRPr="005578F9" w:rsidRDefault="00F1098D" w:rsidP="00660775">
      <w:pPr>
        <w:tabs>
          <w:tab w:val="left" w:pos="284"/>
        </w:tabs>
        <w:spacing w:after="0" w:line="276" w:lineRule="auto"/>
        <w:ind w:left="0"/>
        <w:contextualSpacing/>
        <w:rPr>
          <w:rFonts w:ascii="Times New Roman" w:hAnsi="Times New Roman" w:cs="Times New Roman"/>
          <w:color w:val="auto"/>
          <w:szCs w:val="24"/>
        </w:rPr>
      </w:pPr>
      <w:r w:rsidRPr="005578F9">
        <w:rPr>
          <w:rFonts w:ascii="Times New Roman" w:hAnsi="Times New Roman" w:cs="Times New Roman"/>
          <w:color w:val="auto"/>
          <w:szCs w:val="24"/>
        </w:rPr>
        <w:t>Zgodnie z Uchwałą 386/2008 KNF Bank dokonuje kalkulacj</w:t>
      </w:r>
      <w:r w:rsidR="005A7EF0" w:rsidRPr="005578F9">
        <w:rPr>
          <w:rFonts w:ascii="Times New Roman" w:hAnsi="Times New Roman" w:cs="Times New Roman"/>
          <w:color w:val="auto"/>
          <w:szCs w:val="24"/>
        </w:rPr>
        <w:t>i nadzorczych miar płynności na </w:t>
      </w:r>
      <w:r w:rsidRPr="005578F9">
        <w:rPr>
          <w:rFonts w:ascii="Times New Roman" w:hAnsi="Times New Roman" w:cs="Times New Roman"/>
          <w:color w:val="auto"/>
          <w:szCs w:val="24"/>
        </w:rPr>
        <w:t xml:space="preserve">każdy dzień sprawozdawczy. Wartość </w:t>
      </w:r>
      <w:r w:rsidR="0090220D" w:rsidRPr="005578F9">
        <w:rPr>
          <w:rFonts w:ascii="Times New Roman" w:hAnsi="Times New Roman" w:cs="Times New Roman"/>
          <w:color w:val="auto"/>
          <w:szCs w:val="24"/>
        </w:rPr>
        <w:t xml:space="preserve">nadzorczych </w:t>
      </w:r>
      <w:r w:rsidRPr="005578F9">
        <w:rPr>
          <w:rFonts w:ascii="Times New Roman" w:hAnsi="Times New Roman" w:cs="Times New Roman"/>
          <w:color w:val="auto"/>
          <w:szCs w:val="24"/>
        </w:rPr>
        <w:t xml:space="preserve">miar </w:t>
      </w:r>
      <w:r w:rsidR="0090220D" w:rsidRPr="005578F9">
        <w:rPr>
          <w:rFonts w:ascii="Times New Roman" w:hAnsi="Times New Roman" w:cs="Times New Roman"/>
          <w:color w:val="auto"/>
          <w:szCs w:val="24"/>
        </w:rPr>
        <w:t xml:space="preserve">płynności </w:t>
      </w:r>
      <w:r w:rsidRPr="005578F9">
        <w:rPr>
          <w:rFonts w:ascii="Times New Roman" w:hAnsi="Times New Roman" w:cs="Times New Roman"/>
          <w:color w:val="auto"/>
          <w:szCs w:val="24"/>
        </w:rPr>
        <w:t>na dzień 31.12.20</w:t>
      </w:r>
      <w:r w:rsidR="005578F9" w:rsidRPr="005578F9">
        <w:rPr>
          <w:rFonts w:ascii="Times New Roman" w:hAnsi="Times New Roman" w:cs="Times New Roman"/>
          <w:color w:val="auto"/>
          <w:szCs w:val="24"/>
        </w:rPr>
        <w:t>20</w:t>
      </w:r>
      <w:r w:rsidRPr="005578F9">
        <w:rPr>
          <w:rFonts w:ascii="Times New Roman" w:hAnsi="Times New Roman" w:cs="Times New Roman"/>
          <w:color w:val="auto"/>
          <w:szCs w:val="24"/>
        </w:rPr>
        <w:t xml:space="preserve"> r. </w:t>
      </w:r>
      <w:r w:rsidR="00660775" w:rsidRPr="005578F9">
        <w:rPr>
          <w:rFonts w:ascii="Times New Roman" w:hAnsi="Times New Roman" w:cs="Times New Roman"/>
          <w:color w:val="auto"/>
          <w:szCs w:val="24"/>
        </w:rPr>
        <w:t xml:space="preserve">została </w:t>
      </w:r>
      <w:r w:rsidR="005A7EF0" w:rsidRPr="005578F9">
        <w:rPr>
          <w:rFonts w:ascii="Times New Roman" w:hAnsi="Times New Roman" w:cs="Times New Roman"/>
          <w:color w:val="auto"/>
          <w:szCs w:val="24"/>
        </w:rPr>
        <w:t>przedstawiona</w:t>
      </w:r>
      <w:r w:rsidRPr="005578F9">
        <w:rPr>
          <w:rFonts w:ascii="Times New Roman" w:hAnsi="Times New Roman" w:cs="Times New Roman"/>
          <w:color w:val="auto"/>
          <w:szCs w:val="24"/>
        </w:rPr>
        <w:t xml:space="preserve"> </w:t>
      </w:r>
      <w:r w:rsidR="00660775" w:rsidRPr="005578F9">
        <w:rPr>
          <w:rFonts w:ascii="Times New Roman" w:hAnsi="Times New Roman" w:cs="Times New Roman"/>
          <w:color w:val="auto"/>
          <w:szCs w:val="24"/>
        </w:rPr>
        <w:t>w poniższej tabeli.</w:t>
      </w:r>
    </w:p>
    <w:p w14:paraId="0FEBD6B7" w14:textId="77777777" w:rsidR="00660775" w:rsidRPr="00065790" w:rsidRDefault="00660775" w:rsidP="00660775">
      <w:pPr>
        <w:tabs>
          <w:tab w:val="left" w:pos="284"/>
        </w:tabs>
        <w:spacing w:after="0" w:line="276" w:lineRule="auto"/>
        <w:ind w:left="0"/>
        <w:contextualSpacing/>
        <w:rPr>
          <w:rFonts w:ascii="Times New Roman" w:hAnsi="Times New Roman" w:cs="Times New Roman"/>
          <w:color w:val="FF0000"/>
          <w:szCs w:val="24"/>
        </w:rPr>
      </w:pPr>
    </w:p>
    <w:tbl>
      <w:tblPr>
        <w:tblW w:w="9129" w:type="dxa"/>
        <w:jc w:val="center"/>
        <w:tblCellMar>
          <w:left w:w="70" w:type="dxa"/>
          <w:right w:w="70" w:type="dxa"/>
        </w:tblCellMar>
        <w:tblLook w:val="04A0" w:firstRow="1" w:lastRow="0" w:firstColumn="1" w:lastColumn="0" w:noHBand="0" w:noVBand="1"/>
      </w:tblPr>
      <w:tblGrid>
        <w:gridCol w:w="7"/>
        <w:gridCol w:w="702"/>
        <w:gridCol w:w="3840"/>
        <w:gridCol w:w="2700"/>
        <w:gridCol w:w="1865"/>
        <w:gridCol w:w="6"/>
        <w:gridCol w:w="9"/>
      </w:tblGrid>
      <w:tr w:rsidR="00F87B7F" w:rsidRPr="00F87B7F" w14:paraId="32BEC63D" w14:textId="77777777" w:rsidTr="00B851FE">
        <w:trPr>
          <w:gridAfter w:val="1"/>
          <w:wAfter w:w="9" w:type="dxa"/>
          <w:trHeight w:val="264"/>
          <w:jc w:val="center"/>
        </w:trPr>
        <w:tc>
          <w:tcPr>
            <w:tcW w:w="709" w:type="dxa"/>
            <w:gridSpan w:val="2"/>
            <w:tcBorders>
              <w:top w:val="nil"/>
              <w:left w:val="nil"/>
              <w:bottom w:val="nil"/>
              <w:right w:val="nil"/>
            </w:tcBorders>
          </w:tcPr>
          <w:p w14:paraId="22071BB5" w14:textId="77777777" w:rsidR="00CE51B4" w:rsidRPr="004C3834" w:rsidRDefault="00CE51B4" w:rsidP="00683DF4">
            <w:pPr>
              <w:rPr>
                <w:rFonts w:ascii="Times New Roman" w:hAnsi="Times New Roman" w:cs="Times New Roman"/>
                <w:i/>
                <w:iCs/>
                <w:color w:val="000000" w:themeColor="text1"/>
                <w:sz w:val="20"/>
                <w:szCs w:val="20"/>
              </w:rPr>
            </w:pPr>
          </w:p>
        </w:tc>
        <w:tc>
          <w:tcPr>
            <w:tcW w:w="8411" w:type="dxa"/>
            <w:gridSpan w:val="4"/>
            <w:tcBorders>
              <w:top w:val="nil"/>
              <w:left w:val="nil"/>
              <w:bottom w:val="nil"/>
              <w:right w:val="nil"/>
            </w:tcBorders>
            <w:shd w:val="clear" w:color="auto" w:fill="auto"/>
            <w:vAlign w:val="center"/>
            <w:hideMark/>
          </w:tcPr>
          <w:p w14:paraId="6598D20A" w14:textId="6BA796B4" w:rsidR="00CE51B4" w:rsidRPr="004C3834" w:rsidRDefault="00CE51B4" w:rsidP="007824CB">
            <w:pPr>
              <w:rPr>
                <w:rFonts w:ascii="Times New Roman" w:hAnsi="Times New Roman" w:cs="Times New Roman"/>
                <w:i/>
                <w:iCs/>
                <w:color w:val="000000" w:themeColor="text1"/>
                <w:sz w:val="20"/>
                <w:szCs w:val="20"/>
              </w:rPr>
            </w:pPr>
            <w:r w:rsidRPr="004C3834">
              <w:rPr>
                <w:rFonts w:ascii="Times New Roman" w:hAnsi="Times New Roman" w:cs="Times New Roman"/>
                <w:i/>
                <w:iCs/>
                <w:color w:val="000000" w:themeColor="text1"/>
                <w:sz w:val="20"/>
                <w:szCs w:val="20"/>
              </w:rPr>
              <w:t xml:space="preserve">Tabela - </w:t>
            </w:r>
            <w:r w:rsidR="007824CB" w:rsidRPr="004C3834">
              <w:rPr>
                <w:rFonts w:ascii="Times New Roman" w:hAnsi="Times New Roman" w:cs="Times New Roman"/>
                <w:i/>
                <w:iCs/>
                <w:color w:val="000000" w:themeColor="text1"/>
                <w:sz w:val="20"/>
                <w:szCs w:val="20"/>
              </w:rPr>
              <w:t>Nadzorcze</w:t>
            </w:r>
            <w:r w:rsidRPr="004C3834">
              <w:rPr>
                <w:rFonts w:ascii="Times New Roman" w:hAnsi="Times New Roman" w:cs="Times New Roman"/>
                <w:i/>
                <w:iCs/>
                <w:color w:val="000000" w:themeColor="text1"/>
                <w:sz w:val="20"/>
                <w:szCs w:val="20"/>
              </w:rPr>
              <w:t xml:space="preserve"> miar</w:t>
            </w:r>
            <w:r w:rsidR="007824CB" w:rsidRPr="004C3834">
              <w:rPr>
                <w:rFonts w:ascii="Times New Roman" w:hAnsi="Times New Roman" w:cs="Times New Roman"/>
                <w:i/>
                <w:iCs/>
                <w:color w:val="000000" w:themeColor="text1"/>
                <w:sz w:val="20"/>
                <w:szCs w:val="20"/>
              </w:rPr>
              <w:t>y</w:t>
            </w:r>
            <w:r w:rsidRPr="004C3834">
              <w:rPr>
                <w:rFonts w:ascii="Times New Roman" w:hAnsi="Times New Roman" w:cs="Times New Roman"/>
                <w:i/>
                <w:iCs/>
                <w:color w:val="000000" w:themeColor="text1"/>
                <w:sz w:val="20"/>
                <w:szCs w:val="20"/>
              </w:rPr>
              <w:t xml:space="preserve"> płynności na dzień 31.12.20</w:t>
            </w:r>
            <w:r w:rsidR="001F707D" w:rsidRPr="004C3834">
              <w:rPr>
                <w:rFonts w:ascii="Times New Roman" w:hAnsi="Times New Roman" w:cs="Times New Roman"/>
                <w:i/>
                <w:iCs/>
                <w:color w:val="000000" w:themeColor="text1"/>
                <w:sz w:val="20"/>
                <w:szCs w:val="20"/>
              </w:rPr>
              <w:t>20</w:t>
            </w:r>
            <w:r w:rsidRPr="004C3834">
              <w:rPr>
                <w:rFonts w:ascii="Times New Roman" w:hAnsi="Times New Roman" w:cs="Times New Roman"/>
                <w:i/>
                <w:iCs/>
                <w:color w:val="000000" w:themeColor="text1"/>
                <w:sz w:val="20"/>
                <w:szCs w:val="20"/>
              </w:rPr>
              <w:t xml:space="preserve"> r. </w:t>
            </w:r>
          </w:p>
        </w:tc>
      </w:tr>
      <w:tr w:rsidR="00F87B7F" w:rsidRPr="00F87B7F" w14:paraId="26A9530D" w14:textId="77777777" w:rsidTr="00B851FE">
        <w:trPr>
          <w:gridBefore w:val="1"/>
          <w:wBefore w:w="7" w:type="dxa"/>
          <w:trHeight w:val="312"/>
          <w:jc w:val="center"/>
        </w:trPr>
        <w:tc>
          <w:tcPr>
            <w:tcW w:w="702" w:type="dxa"/>
            <w:tcBorders>
              <w:top w:val="single" w:sz="12" w:space="0" w:color="FFFFFF"/>
              <w:left w:val="single" w:sz="12" w:space="0" w:color="FFFFFF"/>
              <w:bottom w:val="single" w:sz="12" w:space="0" w:color="FFFFFF"/>
              <w:right w:val="single" w:sz="12" w:space="0" w:color="FFFFFF"/>
            </w:tcBorders>
            <w:shd w:val="clear" w:color="4F81BD" w:fill="538DD5"/>
          </w:tcPr>
          <w:p w14:paraId="0261A98F" w14:textId="77777777" w:rsidR="00CE51B4" w:rsidRPr="00F87B7F" w:rsidRDefault="00CE51B4" w:rsidP="001E522D">
            <w:pPr>
              <w:jc w:val="center"/>
              <w:rPr>
                <w:rFonts w:ascii="Times New Roman" w:hAnsi="Times New Roman" w:cs="Times New Roman"/>
                <w:b/>
                <w:bCs/>
                <w:color w:val="000000" w:themeColor="text1"/>
                <w:sz w:val="22"/>
              </w:rPr>
            </w:pPr>
          </w:p>
        </w:tc>
        <w:tc>
          <w:tcPr>
            <w:tcW w:w="6540" w:type="dxa"/>
            <w:gridSpan w:val="2"/>
            <w:tcBorders>
              <w:top w:val="single" w:sz="12" w:space="0" w:color="FFFFFF"/>
              <w:left w:val="single" w:sz="12" w:space="0" w:color="FFFFFF"/>
              <w:bottom w:val="single" w:sz="12" w:space="0" w:color="FFFFFF"/>
              <w:right w:val="single" w:sz="12" w:space="0" w:color="FFFFFF"/>
            </w:tcBorders>
            <w:shd w:val="clear" w:color="4F81BD" w:fill="538DD5"/>
            <w:noWrap/>
            <w:vAlign w:val="center"/>
          </w:tcPr>
          <w:p w14:paraId="5BC7EE9F" w14:textId="05BEC394" w:rsidR="00CE51B4" w:rsidRPr="00F87B7F" w:rsidRDefault="00CE51B4" w:rsidP="001E522D">
            <w:pPr>
              <w:jc w:val="center"/>
              <w:rPr>
                <w:rFonts w:ascii="Times New Roman" w:hAnsi="Times New Roman" w:cs="Times New Roman"/>
                <w:b/>
                <w:bCs/>
                <w:color w:val="000000" w:themeColor="text1"/>
                <w:sz w:val="22"/>
              </w:rPr>
            </w:pPr>
            <w:r w:rsidRPr="00F87B7F">
              <w:rPr>
                <w:rFonts w:ascii="Times New Roman" w:hAnsi="Times New Roman" w:cs="Times New Roman"/>
                <w:b/>
                <w:bCs/>
                <w:color w:val="000000" w:themeColor="text1"/>
                <w:sz w:val="22"/>
              </w:rPr>
              <w:t>NA DZIEŃ SPRAWOZDAWCZY WEDŁUG STANU NA DZIEŃ:</w:t>
            </w:r>
          </w:p>
        </w:tc>
        <w:tc>
          <w:tcPr>
            <w:tcW w:w="1880" w:type="dxa"/>
            <w:gridSpan w:val="3"/>
            <w:tcBorders>
              <w:top w:val="single" w:sz="12" w:space="0" w:color="FFFFFF"/>
              <w:left w:val="nil"/>
              <w:bottom w:val="single" w:sz="12" w:space="0" w:color="FFFFFF"/>
              <w:right w:val="single" w:sz="12" w:space="0" w:color="FFFFFF"/>
            </w:tcBorders>
            <w:shd w:val="clear" w:color="4F81BD" w:fill="538DD5"/>
            <w:noWrap/>
            <w:vAlign w:val="center"/>
          </w:tcPr>
          <w:p w14:paraId="201A2926" w14:textId="3B870709" w:rsidR="00CE51B4" w:rsidRPr="00F87B7F" w:rsidRDefault="00CE51B4" w:rsidP="001F707D">
            <w:pPr>
              <w:jc w:val="center"/>
              <w:rPr>
                <w:rFonts w:ascii="Times New Roman" w:hAnsi="Times New Roman" w:cs="Times New Roman"/>
                <w:b/>
                <w:bCs/>
                <w:color w:val="000000" w:themeColor="text1"/>
                <w:sz w:val="22"/>
              </w:rPr>
            </w:pPr>
            <w:r w:rsidRPr="00F87B7F">
              <w:rPr>
                <w:rFonts w:ascii="Times New Roman" w:hAnsi="Times New Roman" w:cs="Times New Roman"/>
                <w:b/>
                <w:bCs/>
                <w:color w:val="000000" w:themeColor="text1"/>
                <w:sz w:val="22"/>
              </w:rPr>
              <w:t>31 grudnia 20</w:t>
            </w:r>
            <w:r w:rsidR="001F707D" w:rsidRPr="00F87B7F">
              <w:rPr>
                <w:rFonts w:ascii="Times New Roman" w:hAnsi="Times New Roman" w:cs="Times New Roman"/>
                <w:b/>
                <w:bCs/>
                <w:color w:val="000000" w:themeColor="text1"/>
                <w:sz w:val="22"/>
              </w:rPr>
              <w:t>20</w:t>
            </w:r>
            <w:r w:rsidRPr="00F87B7F">
              <w:rPr>
                <w:rFonts w:ascii="Times New Roman" w:hAnsi="Times New Roman" w:cs="Times New Roman"/>
                <w:b/>
                <w:bCs/>
                <w:color w:val="000000" w:themeColor="text1"/>
                <w:sz w:val="22"/>
              </w:rPr>
              <w:t xml:space="preserve"> r.</w:t>
            </w:r>
          </w:p>
        </w:tc>
      </w:tr>
      <w:tr w:rsidR="00F87B7F" w:rsidRPr="00F87B7F" w14:paraId="7B6264D3" w14:textId="77777777" w:rsidTr="00B851FE">
        <w:trPr>
          <w:gridBefore w:val="1"/>
          <w:wBefore w:w="7" w:type="dxa"/>
          <w:trHeight w:val="312"/>
          <w:jc w:val="center"/>
        </w:trPr>
        <w:tc>
          <w:tcPr>
            <w:tcW w:w="702" w:type="dxa"/>
            <w:tcBorders>
              <w:top w:val="single" w:sz="12" w:space="0" w:color="FFFFFF"/>
              <w:left w:val="single" w:sz="12" w:space="0" w:color="FFFFFF"/>
              <w:bottom w:val="single" w:sz="12" w:space="0" w:color="FFFFFF"/>
              <w:right w:val="single" w:sz="12" w:space="0" w:color="FFFFFF"/>
            </w:tcBorders>
            <w:shd w:val="clear" w:color="B8CCE4" w:fill="538DD5"/>
          </w:tcPr>
          <w:p w14:paraId="6B123D0C" w14:textId="77777777" w:rsidR="00CE51B4" w:rsidRPr="00F87B7F" w:rsidRDefault="00CE51B4" w:rsidP="00061BA7">
            <w:pPr>
              <w:jc w:val="center"/>
              <w:rPr>
                <w:rFonts w:ascii="Times New Roman" w:hAnsi="Times New Roman" w:cs="Times New Roman"/>
                <w:b/>
                <w:bCs/>
                <w:color w:val="000000" w:themeColor="text1"/>
                <w:sz w:val="22"/>
              </w:rPr>
            </w:pPr>
          </w:p>
        </w:tc>
        <w:tc>
          <w:tcPr>
            <w:tcW w:w="3840" w:type="dxa"/>
            <w:tcBorders>
              <w:top w:val="single" w:sz="12" w:space="0" w:color="FFFFFF"/>
              <w:left w:val="single" w:sz="12" w:space="0" w:color="FFFFFF"/>
              <w:bottom w:val="single" w:sz="12" w:space="0" w:color="FFFFFF"/>
              <w:right w:val="single" w:sz="12" w:space="0" w:color="FFFFFF"/>
            </w:tcBorders>
            <w:shd w:val="clear" w:color="B8CCE4" w:fill="538DD5"/>
            <w:vAlign w:val="center"/>
            <w:hideMark/>
          </w:tcPr>
          <w:p w14:paraId="41210C14" w14:textId="197CFD68" w:rsidR="00CE51B4" w:rsidRPr="00F87B7F" w:rsidRDefault="00CE51B4" w:rsidP="00061BA7">
            <w:pPr>
              <w:jc w:val="center"/>
              <w:rPr>
                <w:rFonts w:ascii="Times New Roman" w:hAnsi="Times New Roman" w:cs="Times New Roman"/>
                <w:b/>
                <w:bCs/>
                <w:color w:val="000000" w:themeColor="text1"/>
                <w:sz w:val="22"/>
              </w:rPr>
            </w:pPr>
            <w:r w:rsidRPr="00F87B7F">
              <w:rPr>
                <w:rFonts w:ascii="Times New Roman" w:hAnsi="Times New Roman" w:cs="Times New Roman"/>
                <w:b/>
                <w:bCs/>
                <w:color w:val="000000" w:themeColor="text1"/>
                <w:sz w:val="22"/>
              </w:rPr>
              <w:t>Miary płynności</w:t>
            </w:r>
          </w:p>
        </w:tc>
        <w:tc>
          <w:tcPr>
            <w:tcW w:w="2700" w:type="dxa"/>
            <w:tcBorders>
              <w:top w:val="nil"/>
              <w:left w:val="nil"/>
              <w:bottom w:val="single" w:sz="12" w:space="0" w:color="FFFFFF"/>
              <w:right w:val="single" w:sz="12" w:space="0" w:color="FFFFFF"/>
            </w:tcBorders>
            <w:shd w:val="clear" w:color="B8CCE4" w:fill="538DD5"/>
            <w:vAlign w:val="center"/>
            <w:hideMark/>
          </w:tcPr>
          <w:p w14:paraId="2BD92166" w14:textId="77777777" w:rsidR="00CE51B4" w:rsidRPr="00F87B7F" w:rsidRDefault="00CE51B4" w:rsidP="00061BA7">
            <w:pPr>
              <w:jc w:val="center"/>
              <w:rPr>
                <w:rFonts w:ascii="Times New Roman" w:hAnsi="Times New Roman" w:cs="Times New Roman"/>
                <w:b/>
                <w:bCs/>
                <w:color w:val="000000" w:themeColor="text1"/>
                <w:sz w:val="22"/>
              </w:rPr>
            </w:pPr>
            <w:r w:rsidRPr="00F87B7F">
              <w:rPr>
                <w:rFonts w:ascii="Times New Roman" w:hAnsi="Times New Roman" w:cs="Times New Roman"/>
                <w:b/>
                <w:bCs/>
                <w:color w:val="000000" w:themeColor="text1"/>
                <w:sz w:val="22"/>
              </w:rPr>
              <w:t>wartość minimalna</w:t>
            </w:r>
          </w:p>
        </w:tc>
        <w:tc>
          <w:tcPr>
            <w:tcW w:w="1880" w:type="dxa"/>
            <w:gridSpan w:val="3"/>
            <w:tcBorders>
              <w:top w:val="nil"/>
              <w:left w:val="nil"/>
              <w:bottom w:val="single" w:sz="12" w:space="0" w:color="FFFFFF"/>
              <w:right w:val="single" w:sz="12" w:space="0" w:color="FFFFFF"/>
            </w:tcBorders>
            <w:shd w:val="clear" w:color="B8CCE4" w:fill="538DD5"/>
            <w:noWrap/>
            <w:vAlign w:val="center"/>
            <w:hideMark/>
          </w:tcPr>
          <w:p w14:paraId="43E3207E" w14:textId="77777777" w:rsidR="00CE51B4" w:rsidRPr="00F87B7F" w:rsidRDefault="00CE51B4" w:rsidP="00061BA7">
            <w:pPr>
              <w:jc w:val="center"/>
              <w:rPr>
                <w:rFonts w:ascii="Times New Roman" w:hAnsi="Times New Roman" w:cs="Times New Roman"/>
                <w:b/>
                <w:bCs/>
                <w:color w:val="000000" w:themeColor="text1"/>
                <w:sz w:val="22"/>
              </w:rPr>
            </w:pPr>
            <w:r w:rsidRPr="00F87B7F">
              <w:rPr>
                <w:rFonts w:ascii="Times New Roman" w:hAnsi="Times New Roman" w:cs="Times New Roman"/>
                <w:b/>
                <w:bCs/>
                <w:color w:val="000000" w:themeColor="text1"/>
                <w:sz w:val="22"/>
              </w:rPr>
              <w:t>wartość w tys. zł</w:t>
            </w:r>
          </w:p>
        </w:tc>
      </w:tr>
      <w:tr w:rsidR="00F87B7F" w:rsidRPr="00F87B7F" w14:paraId="7D5FB4E0" w14:textId="77777777" w:rsidTr="00B851FE">
        <w:trPr>
          <w:gridBefore w:val="1"/>
          <w:gridAfter w:val="2"/>
          <w:wBefore w:w="7" w:type="dxa"/>
          <w:wAfter w:w="15" w:type="dxa"/>
          <w:trHeight w:val="552"/>
          <w:jc w:val="center"/>
        </w:trPr>
        <w:tc>
          <w:tcPr>
            <w:tcW w:w="702" w:type="dxa"/>
            <w:tcBorders>
              <w:top w:val="nil"/>
              <w:left w:val="nil"/>
              <w:bottom w:val="single" w:sz="12" w:space="0" w:color="FFFFFF"/>
              <w:right w:val="single" w:sz="12" w:space="0" w:color="FFFFFF"/>
            </w:tcBorders>
            <w:shd w:val="clear" w:color="DCE6F1" w:fill="DCE6F1"/>
          </w:tcPr>
          <w:p w14:paraId="2A84C553" w14:textId="78646962" w:rsidR="00CE51B4" w:rsidRPr="00F87B7F" w:rsidRDefault="00B851FE" w:rsidP="0090220D">
            <w:pPr>
              <w:rPr>
                <w:rFonts w:ascii="Times New Roman" w:hAnsi="Times New Roman" w:cs="Times New Roman"/>
                <w:color w:val="000000" w:themeColor="text1"/>
                <w:sz w:val="18"/>
                <w:szCs w:val="18"/>
              </w:rPr>
            </w:pPr>
            <w:r w:rsidRPr="00F87B7F">
              <w:rPr>
                <w:rFonts w:ascii="Times New Roman" w:hAnsi="Times New Roman" w:cs="Times New Roman"/>
                <w:color w:val="000000" w:themeColor="text1"/>
                <w:sz w:val="18"/>
                <w:szCs w:val="18"/>
              </w:rPr>
              <w:t>M3</w:t>
            </w:r>
          </w:p>
        </w:tc>
        <w:tc>
          <w:tcPr>
            <w:tcW w:w="3840" w:type="dxa"/>
            <w:tcBorders>
              <w:top w:val="nil"/>
              <w:left w:val="nil"/>
              <w:bottom w:val="single" w:sz="12" w:space="0" w:color="FFFFFF"/>
              <w:right w:val="single" w:sz="12" w:space="0" w:color="FFFFFF"/>
            </w:tcBorders>
            <w:shd w:val="clear" w:color="DCE6F1" w:fill="DCE6F1"/>
            <w:vAlign w:val="center"/>
            <w:hideMark/>
          </w:tcPr>
          <w:p w14:paraId="73B43F3C" w14:textId="35BCE408" w:rsidR="00CE51B4" w:rsidRPr="00F87B7F" w:rsidRDefault="00CE51B4" w:rsidP="0090220D">
            <w:pPr>
              <w:rPr>
                <w:rFonts w:ascii="Times New Roman" w:hAnsi="Times New Roman" w:cs="Times New Roman"/>
                <w:color w:val="000000" w:themeColor="text1"/>
                <w:sz w:val="18"/>
                <w:szCs w:val="18"/>
              </w:rPr>
            </w:pPr>
            <w:r w:rsidRPr="00F87B7F">
              <w:rPr>
                <w:rFonts w:ascii="Times New Roman" w:hAnsi="Times New Roman" w:cs="Times New Roman"/>
                <w:color w:val="000000" w:themeColor="text1"/>
                <w:sz w:val="18"/>
                <w:szCs w:val="18"/>
              </w:rPr>
              <w:t>Współczynnik pokrycia aktywów niepłynnych funduszami własnymi (B1 / A5)</w:t>
            </w:r>
          </w:p>
        </w:tc>
        <w:tc>
          <w:tcPr>
            <w:tcW w:w="2700" w:type="dxa"/>
            <w:tcBorders>
              <w:top w:val="nil"/>
              <w:left w:val="nil"/>
              <w:bottom w:val="single" w:sz="12" w:space="0" w:color="FFFFFF"/>
              <w:right w:val="single" w:sz="12" w:space="0" w:color="FFFFFF"/>
            </w:tcBorders>
            <w:shd w:val="clear" w:color="DCE6F1" w:fill="DCE6F1"/>
            <w:noWrap/>
            <w:vAlign w:val="center"/>
            <w:hideMark/>
          </w:tcPr>
          <w:p w14:paraId="64EACAEE" w14:textId="77777777" w:rsidR="00CE51B4" w:rsidRPr="00F87B7F" w:rsidRDefault="00CE51B4" w:rsidP="0090220D">
            <w:pPr>
              <w:jc w:val="right"/>
              <w:rPr>
                <w:rFonts w:ascii="Times New Roman" w:hAnsi="Times New Roman" w:cs="Times New Roman"/>
                <w:color w:val="000000" w:themeColor="text1"/>
                <w:sz w:val="18"/>
                <w:szCs w:val="18"/>
              </w:rPr>
            </w:pPr>
            <w:r w:rsidRPr="00F87B7F">
              <w:rPr>
                <w:rFonts w:ascii="Times New Roman" w:hAnsi="Times New Roman" w:cs="Times New Roman"/>
                <w:color w:val="000000" w:themeColor="text1"/>
                <w:sz w:val="18"/>
                <w:szCs w:val="18"/>
              </w:rPr>
              <w:t xml:space="preserve">1,00 </w:t>
            </w:r>
          </w:p>
        </w:tc>
        <w:tc>
          <w:tcPr>
            <w:tcW w:w="1865" w:type="dxa"/>
            <w:tcBorders>
              <w:top w:val="nil"/>
              <w:left w:val="nil"/>
              <w:bottom w:val="single" w:sz="12" w:space="0" w:color="FFFFFF"/>
              <w:right w:val="single" w:sz="12" w:space="0" w:color="FFFFFF"/>
            </w:tcBorders>
            <w:shd w:val="clear" w:color="DCE6F1" w:fill="DCE6F1"/>
            <w:noWrap/>
            <w:vAlign w:val="center"/>
            <w:hideMark/>
          </w:tcPr>
          <w:p w14:paraId="1E7804E0" w14:textId="5C612DCD" w:rsidR="00CE51B4" w:rsidRPr="00F87B7F" w:rsidRDefault="005B3797" w:rsidP="00977E61">
            <w:pPr>
              <w:jc w:val="right"/>
              <w:rPr>
                <w:rFonts w:ascii="Times New Roman" w:hAnsi="Times New Roman" w:cs="Times New Roman"/>
                <w:color w:val="000000" w:themeColor="text1"/>
                <w:sz w:val="18"/>
                <w:szCs w:val="18"/>
              </w:rPr>
            </w:pPr>
            <w:r w:rsidRPr="00F87B7F">
              <w:rPr>
                <w:rFonts w:ascii="Times New Roman" w:hAnsi="Times New Roman" w:cs="Times New Roman"/>
                <w:color w:val="000000" w:themeColor="text1"/>
                <w:sz w:val="18"/>
                <w:szCs w:val="18"/>
              </w:rPr>
              <w:t>6,2</w:t>
            </w:r>
            <w:r w:rsidR="00977E61">
              <w:rPr>
                <w:rFonts w:ascii="Times New Roman" w:hAnsi="Times New Roman" w:cs="Times New Roman"/>
                <w:color w:val="000000" w:themeColor="text1"/>
                <w:sz w:val="18"/>
                <w:szCs w:val="18"/>
              </w:rPr>
              <w:t>3</w:t>
            </w:r>
          </w:p>
        </w:tc>
      </w:tr>
      <w:tr w:rsidR="00065790" w:rsidRPr="00F87B7F" w14:paraId="0613C203" w14:textId="77777777" w:rsidTr="00B851FE">
        <w:trPr>
          <w:gridBefore w:val="1"/>
          <w:gridAfter w:val="2"/>
          <w:wBefore w:w="7" w:type="dxa"/>
          <w:wAfter w:w="15" w:type="dxa"/>
          <w:trHeight w:val="900"/>
          <w:jc w:val="center"/>
        </w:trPr>
        <w:tc>
          <w:tcPr>
            <w:tcW w:w="702" w:type="dxa"/>
            <w:tcBorders>
              <w:top w:val="nil"/>
              <w:left w:val="nil"/>
              <w:bottom w:val="single" w:sz="12" w:space="0" w:color="FFFFFF"/>
              <w:right w:val="single" w:sz="12" w:space="0" w:color="FFFFFF"/>
            </w:tcBorders>
            <w:shd w:val="clear" w:color="B8CCE4" w:fill="B8CCE4"/>
          </w:tcPr>
          <w:p w14:paraId="12EBA1DC" w14:textId="0F141A12" w:rsidR="00CE51B4" w:rsidRPr="00F87B7F" w:rsidRDefault="00B851FE" w:rsidP="0090220D">
            <w:pPr>
              <w:rPr>
                <w:rFonts w:ascii="Times New Roman" w:hAnsi="Times New Roman" w:cs="Times New Roman"/>
                <w:color w:val="000000" w:themeColor="text1"/>
                <w:sz w:val="18"/>
                <w:szCs w:val="18"/>
              </w:rPr>
            </w:pPr>
            <w:r w:rsidRPr="00F87B7F">
              <w:rPr>
                <w:rFonts w:ascii="Times New Roman" w:hAnsi="Times New Roman" w:cs="Times New Roman"/>
                <w:color w:val="000000" w:themeColor="text1"/>
                <w:sz w:val="18"/>
                <w:szCs w:val="18"/>
              </w:rPr>
              <w:t>M4</w:t>
            </w:r>
          </w:p>
        </w:tc>
        <w:tc>
          <w:tcPr>
            <w:tcW w:w="3840" w:type="dxa"/>
            <w:tcBorders>
              <w:top w:val="nil"/>
              <w:left w:val="nil"/>
              <w:bottom w:val="single" w:sz="12" w:space="0" w:color="FFFFFF"/>
              <w:right w:val="single" w:sz="12" w:space="0" w:color="FFFFFF"/>
            </w:tcBorders>
            <w:shd w:val="clear" w:color="B8CCE4" w:fill="B8CCE4"/>
            <w:vAlign w:val="center"/>
            <w:hideMark/>
          </w:tcPr>
          <w:p w14:paraId="5BAAFBB8" w14:textId="4292C064" w:rsidR="00CE51B4" w:rsidRPr="00F87B7F" w:rsidRDefault="00CE51B4" w:rsidP="0090220D">
            <w:pPr>
              <w:rPr>
                <w:rFonts w:ascii="Times New Roman" w:hAnsi="Times New Roman" w:cs="Times New Roman"/>
                <w:color w:val="000000" w:themeColor="text1"/>
                <w:sz w:val="18"/>
                <w:szCs w:val="18"/>
              </w:rPr>
            </w:pPr>
            <w:r w:rsidRPr="00F87B7F">
              <w:rPr>
                <w:rFonts w:ascii="Times New Roman" w:hAnsi="Times New Roman" w:cs="Times New Roman"/>
                <w:color w:val="000000" w:themeColor="text1"/>
                <w:sz w:val="18"/>
                <w:szCs w:val="18"/>
              </w:rPr>
              <w:t>Współczynnik pokrycia aktywów niepłynnych i aktywów o ograniczonej płynności funduszami własnymi i środkami obcymi stabilnymi ((B1 + B2) / (A5 + A4))</w:t>
            </w:r>
          </w:p>
        </w:tc>
        <w:tc>
          <w:tcPr>
            <w:tcW w:w="2700" w:type="dxa"/>
            <w:tcBorders>
              <w:top w:val="nil"/>
              <w:left w:val="nil"/>
              <w:bottom w:val="single" w:sz="12" w:space="0" w:color="FFFFFF"/>
              <w:right w:val="single" w:sz="12" w:space="0" w:color="FFFFFF"/>
            </w:tcBorders>
            <w:shd w:val="clear" w:color="B8CCE4" w:fill="B8CCE4"/>
            <w:noWrap/>
            <w:vAlign w:val="center"/>
            <w:hideMark/>
          </w:tcPr>
          <w:p w14:paraId="4987B5E8" w14:textId="77777777" w:rsidR="00CE51B4" w:rsidRPr="00F87B7F" w:rsidRDefault="00CE51B4" w:rsidP="0090220D">
            <w:pPr>
              <w:jc w:val="right"/>
              <w:rPr>
                <w:rFonts w:ascii="Times New Roman" w:hAnsi="Times New Roman" w:cs="Times New Roman"/>
                <w:color w:val="000000" w:themeColor="text1"/>
                <w:sz w:val="18"/>
                <w:szCs w:val="18"/>
              </w:rPr>
            </w:pPr>
            <w:r w:rsidRPr="00F87B7F">
              <w:rPr>
                <w:rFonts w:ascii="Times New Roman" w:hAnsi="Times New Roman" w:cs="Times New Roman"/>
                <w:color w:val="000000" w:themeColor="text1"/>
                <w:sz w:val="18"/>
                <w:szCs w:val="18"/>
              </w:rPr>
              <w:t xml:space="preserve">1,00 </w:t>
            </w:r>
          </w:p>
        </w:tc>
        <w:tc>
          <w:tcPr>
            <w:tcW w:w="1865" w:type="dxa"/>
            <w:tcBorders>
              <w:top w:val="nil"/>
              <w:left w:val="nil"/>
              <w:bottom w:val="single" w:sz="12" w:space="0" w:color="FFFFFF"/>
              <w:right w:val="single" w:sz="12" w:space="0" w:color="FFFFFF"/>
            </w:tcBorders>
            <w:shd w:val="clear" w:color="B8CCE4" w:fill="B8CCE4"/>
            <w:noWrap/>
            <w:vAlign w:val="center"/>
            <w:hideMark/>
          </w:tcPr>
          <w:p w14:paraId="765A6CFB" w14:textId="4F0861B7" w:rsidR="00CE51B4" w:rsidRPr="00F87B7F" w:rsidRDefault="005B3797" w:rsidP="00811F1F">
            <w:pPr>
              <w:jc w:val="right"/>
              <w:rPr>
                <w:rFonts w:ascii="Times New Roman" w:hAnsi="Times New Roman" w:cs="Times New Roman"/>
                <w:color w:val="000000" w:themeColor="text1"/>
                <w:sz w:val="18"/>
                <w:szCs w:val="18"/>
              </w:rPr>
            </w:pPr>
            <w:r w:rsidRPr="00F87B7F">
              <w:rPr>
                <w:rFonts w:ascii="Times New Roman" w:hAnsi="Times New Roman" w:cs="Times New Roman"/>
                <w:color w:val="000000" w:themeColor="text1"/>
                <w:sz w:val="18"/>
                <w:szCs w:val="18"/>
              </w:rPr>
              <w:t>1,12</w:t>
            </w:r>
          </w:p>
        </w:tc>
      </w:tr>
    </w:tbl>
    <w:p w14:paraId="3F06A510" w14:textId="170442F3" w:rsidR="00F1098D" w:rsidRPr="005578F9" w:rsidRDefault="00F1098D" w:rsidP="00660775">
      <w:pPr>
        <w:spacing w:after="0" w:line="276" w:lineRule="auto"/>
        <w:ind w:left="11" w:hanging="11"/>
        <w:rPr>
          <w:rFonts w:ascii="Times New Roman" w:hAnsi="Times New Roman" w:cs="Times New Roman"/>
          <w:color w:val="auto"/>
          <w:szCs w:val="24"/>
        </w:rPr>
      </w:pPr>
      <w:r w:rsidRPr="00F87B7F">
        <w:rPr>
          <w:rFonts w:ascii="Times New Roman" w:hAnsi="Times New Roman" w:cs="Times New Roman"/>
          <w:color w:val="000000" w:themeColor="text1"/>
          <w:szCs w:val="24"/>
        </w:rPr>
        <w:lastRenderedPageBreak/>
        <w:t>Na przestrzeni całego 20</w:t>
      </w:r>
      <w:r w:rsidR="005578F9" w:rsidRPr="00F87B7F">
        <w:rPr>
          <w:rFonts w:ascii="Times New Roman" w:hAnsi="Times New Roman" w:cs="Times New Roman"/>
          <w:color w:val="000000" w:themeColor="text1"/>
          <w:szCs w:val="24"/>
        </w:rPr>
        <w:t>20</w:t>
      </w:r>
      <w:r w:rsidRPr="00F87B7F">
        <w:rPr>
          <w:rFonts w:ascii="Times New Roman" w:hAnsi="Times New Roman" w:cs="Times New Roman"/>
          <w:color w:val="000000" w:themeColor="text1"/>
          <w:szCs w:val="24"/>
        </w:rPr>
        <w:t xml:space="preserve"> r. nadzorcze miary płynności kształtowały się na bezpiecznym  </w:t>
      </w:r>
      <w:r w:rsidRPr="005578F9">
        <w:rPr>
          <w:rFonts w:ascii="Times New Roman" w:hAnsi="Times New Roman" w:cs="Times New Roman"/>
          <w:color w:val="auto"/>
          <w:szCs w:val="24"/>
        </w:rPr>
        <w:t xml:space="preserve">poziomie, znacznie wyższym </w:t>
      </w:r>
      <w:r w:rsidR="0090220D" w:rsidRPr="005578F9">
        <w:rPr>
          <w:rFonts w:ascii="Times New Roman" w:hAnsi="Times New Roman" w:cs="Times New Roman"/>
          <w:color w:val="auto"/>
          <w:szCs w:val="24"/>
        </w:rPr>
        <w:t xml:space="preserve">niż </w:t>
      </w:r>
      <w:r w:rsidRPr="005578F9">
        <w:rPr>
          <w:rFonts w:ascii="Times New Roman" w:hAnsi="Times New Roman" w:cs="Times New Roman"/>
          <w:color w:val="auto"/>
          <w:szCs w:val="24"/>
        </w:rPr>
        <w:t xml:space="preserve">zalecane minimum. </w:t>
      </w:r>
    </w:p>
    <w:p w14:paraId="7CF72496" w14:textId="066C511A" w:rsidR="00F1098D" w:rsidRPr="005578F9" w:rsidRDefault="00F1098D" w:rsidP="00C17F7C">
      <w:pPr>
        <w:spacing w:after="0" w:line="276" w:lineRule="auto"/>
        <w:ind w:left="11" w:right="0" w:hanging="11"/>
        <w:rPr>
          <w:rFonts w:ascii="Times New Roman" w:hAnsi="Times New Roman" w:cs="Times New Roman"/>
          <w:color w:val="auto"/>
          <w:szCs w:val="24"/>
        </w:rPr>
      </w:pPr>
      <w:r w:rsidRPr="005578F9">
        <w:rPr>
          <w:rFonts w:ascii="Times New Roman" w:eastAsia="Meiryo UI" w:hAnsi="Times New Roman" w:cs="Times New Roman"/>
          <w:color w:val="auto"/>
          <w:szCs w:val="24"/>
        </w:rPr>
        <w:t>Zgodnie z zapisami Rozporządzenia Delegowanego Komisji (UE) 2015/61 z dnia 10 października 2014 r. uzupełniającego Rozporządzenie Parlamentu Europejs</w:t>
      </w:r>
      <w:r w:rsidR="005A7EF0" w:rsidRPr="005578F9">
        <w:rPr>
          <w:rFonts w:ascii="Times New Roman" w:eastAsia="Meiryo UI" w:hAnsi="Times New Roman" w:cs="Times New Roman"/>
          <w:color w:val="auto"/>
          <w:szCs w:val="24"/>
        </w:rPr>
        <w:t>kiego i Rady (UE) nr 575/2013 w </w:t>
      </w:r>
      <w:r w:rsidRPr="005578F9">
        <w:rPr>
          <w:rFonts w:ascii="Times New Roman" w:eastAsia="Meiryo UI" w:hAnsi="Times New Roman" w:cs="Times New Roman"/>
          <w:color w:val="auto"/>
          <w:szCs w:val="24"/>
        </w:rPr>
        <w:t>odniesieniu do wymogu pokrycia wypływów netto dla instytucji kredytowych (akt delegowany), Bank miał obowiązek sprawozda</w:t>
      </w:r>
      <w:r w:rsidR="005E1553" w:rsidRPr="005578F9">
        <w:rPr>
          <w:rFonts w:ascii="Times New Roman" w:eastAsia="Meiryo UI" w:hAnsi="Times New Roman" w:cs="Times New Roman"/>
          <w:color w:val="auto"/>
          <w:szCs w:val="24"/>
        </w:rPr>
        <w:t>wa</w:t>
      </w:r>
      <w:r w:rsidRPr="005578F9">
        <w:rPr>
          <w:rFonts w:ascii="Times New Roman" w:eastAsia="Meiryo UI" w:hAnsi="Times New Roman" w:cs="Times New Roman"/>
          <w:color w:val="auto"/>
          <w:szCs w:val="24"/>
        </w:rPr>
        <w:t xml:space="preserve">nia i dziennego monitorowania w zakresie: aktywów płynnych, wypływów i wpływów płynności (wskaźnik LCR). Na koniec roku ukształtował się on na poziomie </w:t>
      </w:r>
      <w:r w:rsidR="005578F9" w:rsidRPr="005578F9">
        <w:rPr>
          <w:rFonts w:ascii="Times New Roman" w:eastAsia="Meiryo UI" w:hAnsi="Times New Roman" w:cs="Times New Roman"/>
          <w:color w:val="auto"/>
          <w:szCs w:val="24"/>
        </w:rPr>
        <w:t>508,66</w:t>
      </w:r>
      <w:r w:rsidR="000F5FE9" w:rsidRPr="005578F9">
        <w:rPr>
          <w:rFonts w:ascii="Times New Roman" w:eastAsia="Meiryo UI" w:hAnsi="Times New Roman" w:cs="Times New Roman"/>
          <w:color w:val="auto"/>
          <w:szCs w:val="24"/>
        </w:rPr>
        <w:t>%</w:t>
      </w:r>
      <w:r w:rsidR="00811F1F" w:rsidRPr="005578F9">
        <w:rPr>
          <w:rFonts w:ascii="Times New Roman" w:eastAsia="Meiryo UI" w:hAnsi="Times New Roman" w:cs="Times New Roman"/>
          <w:color w:val="auto"/>
          <w:szCs w:val="24"/>
        </w:rPr>
        <w:t xml:space="preserve">, </w:t>
      </w:r>
      <w:r w:rsidR="000F5FE9" w:rsidRPr="005578F9">
        <w:rPr>
          <w:rFonts w:ascii="Times New Roman" w:eastAsia="Meiryo UI" w:hAnsi="Times New Roman" w:cs="Times New Roman"/>
          <w:color w:val="auto"/>
          <w:szCs w:val="24"/>
        </w:rPr>
        <w:t>przy wymaganych 10</w:t>
      </w:r>
      <w:r w:rsidRPr="005578F9">
        <w:rPr>
          <w:rFonts w:ascii="Times New Roman" w:eastAsia="Meiryo UI" w:hAnsi="Times New Roman" w:cs="Times New Roman"/>
          <w:color w:val="auto"/>
          <w:szCs w:val="24"/>
        </w:rPr>
        <w:t xml:space="preserve">0%. </w:t>
      </w:r>
    </w:p>
    <w:p w14:paraId="30437D2A" w14:textId="77777777" w:rsidR="00F1098D" w:rsidRPr="0066102E" w:rsidRDefault="00F1098D" w:rsidP="00660775">
      <w:pPr>
        <w:spacing w:after="0" w:line="276" w:lineRule="auto"/>
        <w:ind w:left="11" w:right="0" w:hanging="11"/>
        <w:jc w:val="left"/>
        <w:rPr>
          <w:rFonts w:ascii="Times New Roman" w:hAnsi="Times New Roman" w:cs="Times New Roman"/>
          <w:color w:val="000000" w:themeColor="text1"/>
          <w:szCs w:val="24"/>
          <w:lang w:eastAsia="en-US"/>
        </w:rPr>
      </w:pPr>
      <w:r w:rsidRPr="0066102E">
        <w:rPr>
          <w:rFonts w:ascii="Times New Roman" w:hAnsi="Times New Roman" w:cs="Times New Roman"/>
          <w:color w:val="000000" w:themeColor="text1"/>
          <w:szCs w:val="24"/>
          <w:lang w:eastAsia="en-US"/>
        </w:rPr>
        <w:t>W procesie zarządzania ryzykiem płynności w Banku uczestniczą:</w:t>
      </w:r>
    </w:p>
    <w:tbl>
      <w:tblPr>
        <w:tblW w:w="9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7086"/>
      </w:tblGrid>
      <w:tr w:rsidR="0066102E" w:rsidRPr="0066102E" w14:paraId="6E352F84" w14:textId="77777777" w:rsidTr="00660775">
        <w:trPr>
          <w:trHeight w:hRule="exact" w:val="1190"/>
        </w:trPr>
        <w:tc>
          <w:tcPr>
            <w:tcW w:w="2581" w:type="dxa"/>
            <w:vAlign w:val="center"/>
          </w:tcPr>
          <w:p w14:paraId="282572AD" w14:textId="77777777" w:rsidR="003B48C6" w:rsidRPr="0066102E" w:rsidRDefault="003B48C6" w:rsidP="006B4951">
            <w:pPr>
              <w:jc w:val="center"/>
              <w:rPr>
                <w:rFonts w:ascii="Times New Roman" w:hAnsi="Times New Roman" w:cs="Times New Roman"/>
                <w:b/>
                <w:color w:val="000000" w:themeColor="text1"/>
                <w:sz w:val="20"/>
                <w:szCs w:val="20"/>
              </w:rPr>
            </w:pPr>
            <w:r w:rsidRPr="0066102E">
              <w:rPr>
                <w:rFonts w:ascii="Times New Roman" w:hAnsi="Times New Roman" w:cs="Times New Roman"/>
                <w:color w:val="000000" w:themeColor="text1"/>
                <w:sz w:val="20"/>
                <w:szCs w:val="20"/>
              </w:rPr>
              <w:br w:type="page"/>
            </w:r>
            <w:r w:rsidRPr="0066102E">
              <w:rPr>
                <w:rFonts w:ascii="Times New Roman" w:hAnsi="Times New Roman" w:cs="Times New Roman"/>
                <w:b/>
                <w:color w:val="000000" w:themeColor="text1"/>
                <w:sz w:val="20"/>
                <w:szCs w:val="20"/>
              </w:rPr>
              <w:t>Uczestnicy procesu zarządzania ryzykiem płynności</w:t>
            </w:r>
          </w:p>
        </w:tc>
        <w:tc>
          <w:tcPr>
            <w:tcW w:w="7086" w:type="dxa"/>
            <w:vAlign w:val="center"/>
          </w:tcPr>
          <w:p w14:paraId="3FAD1616" w14:textId="77777777" w:rsidR="003B48C6" w:rsidRPr="0066102E" w:rsidRDefault="003B48C6" w:rsidP="006B4951">
            <w:pPr>
              <w:jc w:val="center"/>
              <w:rPr>
                <w:rFonts w:ascii="Times New Roman" w:hAnsi="Times New Roman" w:cs="Times New Roman"/>
                <w:b/>
                <w:color w:val="000000" w:themeColor="text1"/>
                <w:sz w:val="20"/>
                <w:szCs w:val="20"/>
              </w:rPr>
            </w:pPr>
            <w:r w:rsidRPr="0066102E">
              <w:rPr>
                <w:rFonts w:ascii="Times New Roman" w:hAnsi="Times New Roman" w:cs="Times New Roman"/>
                <w:b/>
                <w:color w:val="000000" w:themeColor="text1"/>
                <w:sz w:val="20"/>
                <w:szCs w:val="20"/>
              </w:rPr>
              <w:t>Zakres odpowiedzialności</w:t>
            </w:r>
          </w:p>
        </w:tc>
      </w:tr>
      <w:tr w:rsidR="0066102E" w:rsidRPr="0066102E" w14:paraId="4094A995" w14:textId="77777777" w:rsidTr="006B4951">
        <w:tc>
          <w:tcPr>
            <w:tcW w:w="2581" w:type="dxa"/>
          </w:tcPr>
          <w:p w14:paraId="096CDFE1" w14:textId="77777777" w:rsidR="003B48C6" w:rsidRPr="0066102E" w:rsidRDefault="003B48C6" w:rsidP="006B4951">
            <w:pPr>
              <w:rPr>
                <w:rFonts w:ascii="Times New Roman" w:hAnsi="Times New Roman" w:cs="Times New Roman"/>
                <w:color w:val="000000" w:themeColor="text1"/>
                <w:sz w:val="20"/>
                <w:szCs w:val="20"/>
                <w:u w:val="single"/>
              </w:rPr>
            </w:pPr>
            <w:r w:rsidRPr="0066102E">
              <w:rPr>
                <w:rFonts w:ascii="Times New Roman" w:hAnsi="Times New Roman" w:cs="Times New Roman"/>
                <w:color w:val="000000" w:themeColor="text1"/>
                <w:sz w:val="20"/>
                <w:szCs w:val="20"/>
                <w:u w:val="single"/>
              </w:rPr>
              <w:t>Rada Nadzorcza</w:t>
            </w:r>
          </w:p>
        </w:tc>
        <w:tc>
          <w:tcPr>
            <w:tcW w:w="7086" w:type="dxa"/>
          </w:tcPr>
          <w:p w14:paraId="6EE43FB8" w14:textId="77777777" w:rsidR="00BE6B81" w:rsidRPr="0066102E" w:rsidRDefault="00BE6B81" w:rsidP="00BE6B81">
            <w:pPr>
              <w:pStyle w:val="Akapitzlist"/>
              <w:numPr>
                <w:ilvl w:val="0"/>
                <w:numId w:val="55"/>
              </w:numPr>
              <w:ind w:left="346" w:hanging="313"/>
              <w:contextualSpacing/>
              <w:rPr>
                <w:color w:val="000000" w:themeColor="text1"/>
              </w:rPr>
            </w:pPr>
            <w:r w:rsidRPr="0066102E">
              <w:rPr>
                <w:color w:val="000000" w:themeColor="text1"/>
              </w:rPr>
              <w:t>Sprawuje nadzór nad ryzykiem płynności, jakie ponosi Bank;</w:t>
            </w:r>
          </w:p>
          <w:p w14:paraId="456D73A6" w14:textId="77777777" w:rsidR="00BE6B81" w:rsidRPr="0066102E" w:rsidRDefault="00BE6B81" w:rsidP="00BE6B81">
            <w:pPr>
              <w:pStyle w:val="Akapitzlist"/>
              <w:numPr>
                <w:ilvl w:val="0"/>
                <w:numId w:val="55"/>
              </w:numPr>
              <w:ind w:left="346" w:hanging="313"/>
              <w:contextualSpacing/>
              <w:rPr>
                <w:color w:val="000000" w:themeColor="text1"/>
              </w:rPr>
            </w:pPr>
            <w:r w:rsidRPr="0066102E">
              <w:rPr>
                <w:color w:val="000000" w:themeColor="text1"/>
              </w:rPr>
              <w:t>zatwierdza maksymalny poziom ryzyka płynności, jaki może obciążać działalność Banku (apetyt na ryzyko);</w:t>
            </w:r>
          </w:p>
          <w:p w14:paraId="12FA803F" w14:textId="77777777" w:rsidR="00BE6B81" w:rsidRPr="0066102E" w:rsidRDefault="00BE6B81" w:rsidP="00BE6B81">
            <w:pPr>
              <w:pStyle w:val="Akapitzlist"/>
              <w:numPr>
                <w:ilvl w:val="0"/>
                <w:numId w:val="55"/>
              </w:numPr>
              <w:ind w:left="346" w:hanging="313"/>
              <w:contextualSpacing/>
              <w:rPr>
                <w:color w:val="000000" w:themeColor="text1"/>
              </w:rPr>
            </w:pPr>
            <w:r w:rsidRPr="0066102E">
              <w:rPr>
                <w:color w:val="000000" w:themeColor="text1"/>
              </w:rPr>
              <w:t>zatwierdza  strukturę organizacyjną Banku w zakresie zarządzania ryzykiem płynności dostosowaną do wielkości i profilu ponoszonego ryzyka;</w:t>
            </w:r>
          </w:p>
          <w:p w14:paraId="2F16BBAB" w14:textId="77777777" w:rsidR="00BE6B81" w:rsidRPr="0066102E" w:rsidRDefault="00BE6B81" w:rsidP="00BE6B81">
            <w:pPr>
              <w:pStyle w:val="Akapitzlist"/>
              <w:numPr>
                <w:ilvl w:val="0"/>
                <w:numId w:val="55"/>
              </w:numPr>
              <w:ind w:left="346" w:hanging="313"/>
              <w:contextualSpacing/>
              <w:rPr>
                <w:color w:val="000000" w:themeColor="text1"/>
              </w:rPr>
            </w:pPr>
            <w:r w:rsidRPr="0066102E">
              <w:rPr>
                <w:color w:val="000000" w:themeColor="text1"/>
              </w:rPr>
              <w:t>powinna zapewnić, by członkowie Zarządu i odpowiedni pracownicy posiadali właściwe kompetencje;</w:t>
            </w:r>
          </w:p>
          <w:p w14:paraId="162A4D3D" w14:textId="77777777" w:rsidR="00BE6B81" w:rsidRPr="0066102E" w:rsidRDefault="00BE6B81" w:rsidP="00BE6B81">
            <w:pPr>
              <w:pStyle w:val="Akapitzlist"/>
              <w:numPr>
                <w:ilvl w:val="0"/>
                <w:numId w:val="55"/>
              </w:numPr>
              <w:ind w:left="346" w:hanging="313"/>
              <w:contextualSpacing/>
              <w:rPr>
                <w:color w:val="000000" w:themeColor="text1"/>
              </w:rPr>
            </w:pPr>
            <w:r w:rsidRPr="0066102E">
              <w:rPr>
                <w:color w:val="000000" w:themeColor="text1"/>
              </w:rPr>
              <w:t xml:space="preserve">nadzoruje realizację </w:t>
            </w:r>
            <w:r w:rsidRPr="0066102E">
              <w:rPr>
                <w:i/>
                <w:color w:val="000000" w:themeColor="text1"/>
              </w:rPr>
              <w:t>Polityki</w:t>
            </w:r>
            <w:r w:rsidRPr="0066102E">
              <w:rPr>
                <w:color w:val="000000" w:themeColor="text1"/>
              </w:rPr>
              <w:t xml:space="preserve"> zarządzania ryzykiem płynności;</w:t>
            </w:r>
          </w:p>
          <w:p w14:paraId="6FE1E6E3" w14:textId="77777777" w:rsidR="00BE6B81" w:rsidRPr="0066102E" w:rsidRDefault="00BE6B81" w:rsidP="00BE6B81">
            <w:pPr>
              <w:pStyle w:val="Akapitzlist"/>
              <w:numPr>
                <w:ilvl w:val="0"/>
                <w:numId w:val="55"/>
              </w:numPr>
              <w:ind w:left="346" w:hanging="313"/>
              <w:contextualSpacing/>
              <w:rPr>
                <w:color w:val="000000" w:themeColor="text1"/>
              </w:rPr>
            </w:pPr>
            <w:r w:rsidRPr="0066102E">
              <w:rPr>
                <w:color w:val="000000" w:themeColor="text1"/>
              </w:rPr>
              <w:t>zatwierdza zasady przeprowadzania testów warunków skrajnych;</w:t>
            </w:r>
          </w:p>
          <w:p w14:paraId="22876E06" w14:textId="4863887A" w:rsidR="003B48C6" w:rsidRPr="0066102E" w:rsidRDefault="00BE6B81" w:rsidP="00BE6B81">
            <w:pPr>
              <w:pStyle w:val="Akapitzlist"/>
              <w:numPr>
                <w:ilvl w:val="0"/>
                <w:numId w:val="55"/>
              </w:numPr>
              <w:ind w:left="317" w:hanging="313"/>
              <w:contextualSpacing/>
              <w:rPr>
                <w:color w:val="000000" w:themeColor="text1"/>
              </w:rPr>
            </w:pPr>
            <w:r w:rsidRPr="0066102E">
              <w:rPr>
                <w:color w:val="000000" w:themeColor="text1"/>
              </w:rPr>
              <w:t>analizuje raporty w zakresie poziomu płynności Banku oraz zapewnia, by Zarząd Banku podejmował odpowiednie działania naprawcze w sytuacji wystąpienia problemów.</w:t>
            </w:r>
          </w:p>
        </w:tc>
      </w:tr>
      <w:tr w:rsidR="0066102E" w:rsidRPr="0066102E" w14:paraId="57A1BCEA" w14:textId="77777777" w:rsidTr="006B4951">
        <w:tc>
          <w:tcPr>
            <w:tcW w:w="2581" w:type="dxa"/>
          </w:tcPr>
          <w:p w14:paraId="2CC79D68" w14:textId="623BD27B" w:rsidR="00BE6B81" w:rsidRPr="0066102E" w:rsidRDefault="00BE6B81" w:rsidP="00BE6B81">
            <w:pPr>
              <w:rPr>
                <w:rFonts w:ascii="Times New Roman" w:hAnsi="Times New Roman" w:cs="Times New Roman"/>
                <w:color w:val="000000" w:themeColor="text1"/>
                <w:sz w:val="20"/>
                <w:szCs w:val="20"/>
                <w:u w:val="single"/>
              </w:rPr>
            </w:pPr>
            <w:r w:rsidRPr="0066102E">
              <w:rPr>
                <w:rFonts w:ascii="Times New Roman" w:hAnsi="Times New Roman" w:cs="Times New Roman"/>
                <w:color w:val="000000" w:themeColor="text1"/>
                <w:sz w:val="20"/>
                <w:szCs w:val="20"/>
                <w:u w:val="single"/>
              </w:rPr>
              <w:t>Komitet Audytu</w:t>
            </w:r>
          </w:p>
        </w:tc>
        <w:tc>
          <w:tcPr>
            <w:tcW w:w="7086" w:type="dxa"/>
          </w:tcPr>
          <w:p w14:paraId="00EE78ED" w14:textId="2C069F56" w:rsidR="00BE6B81" w:rsidRPr="0066102E" w:rsidRDefault="00BE6B81" w:rsidP="00BE6B81">
            <w:pPr>
              <w:pStyle w:val="Akapit-ab"/>
              <w:numPr>
                <w:ilvl w:val="0"/>
                <w:numId w:val="0"/>
              </w:numPr>
              <w:rPr>
                <w:color w:val="000000" w:themeColor="text1"/>
                <w:sz w:val="20"/>
                <w:szCs w:val="20"/>
              </w:rPr>
            </w:pPr>
            <w:r w:rsidRPr="0066102E">
              <w:rPr>
                <w:color w:val="000000" w:themeColor="text1"/>
                <w:sz w:val="20"/>
                <w:szCs w:val="20"/>
              </w:rPr>
              <w:t>Monitoruje skuteczność systemu zarządzania ryzykiem płynności, w tym w zakresie sprawozdawczości finansowej.</w:t>
            </w:r>
          </w:p>
        </w:tc>
      </w:tr>
      <w:tr w:rsidR="0066102E" w:rsidRPr="0066102E" w14:paraId="3D2C0579" w14:textId="77777777" w:rsidTr="006B4951">
        <w:tc>
          <w:tcPr>
            <w:tcW w:w="2581" w:type="dxa"/>
          </w:tcPr>
          <w:p w14:paraId="223A84F5" w14:textId="77777777" w:rsidR="003B48C6" w:rsidRPr="0066102E" w:rsidRDefault="003B48C6" w:rsidP="006B4951">
            <w:pPr>
              <w:rPr>
                <w:rFonts w:ascii="Times New Roman" w:hAnsi="Times New Roman" w:cs="Times New Roman"/>
                <w:color w:val="000000" w:themeColor="text1"/>
                <w:sz w:val="20"/>
                <w:szCs w:val="20"/>
                <w:u w:val="single"/>
              </w:rPr>
            </w:pPr>
            <w:r w:rsidRPr="0066102E">
              <w:rPr>
                <w:rFonts w:ascii="Times New Roman" w:hAnsi="Times New Roman" w:cs="Times New Roman"/>
                <w:color w:val="000000" w:themeColor="text1"/>
                <w:sz w:val="20"/>
                <w:szCs w:val="20"/>
                <w:u w:val="single"/>
              </w:rPr>
              <w:t>Zarząd Banku</w:t>
            </w:r>
          </w:p>
        </w:tc>
        <w:tc>
          <w:tcPr>
            <w:tcW w:w="7086" w:type="dxa"/>
          </w:tcPr>
          <w:p w14:paraId="18F7A647" w14:textId="37CDCE4C" w:rsidR="00BE6B81" w:rsidRPr="0066102E" w:rsidRDefault="00F3352A" w:rsidP="003B3DA4">
            <w:pPr>
              <w:pStyle w:val="Akapit-ab"/>
              <w:numPr>
                <w:ilvl w:val="2"/>
                <w:numId w:val="61"/>
              </w:numPr>
              <w:tabs>
                <w:tab w:val="clear" w:pos="-24"/>
                <w:tab w:val="num" w:pos="488"/>
              </w:tabs>
              <w:ind w:left="346" w:hanging="142"/>
              <w:rPr>
                <w:color w:val="000000" w:themeColor="text1"/>
                <w:sz w:val="20"/>
                <w:szCs w:val="20"/>
              </w:rPr>
            </w:pPr>
            <w:r>
              <w:rPr>
                <w:color w:val="000000" w:themeColor="text1"/>
                <w:sz w:val="20"/>
                <w:szCs w:val="20"/>
              </w:rPr>
              <w:t>odpowiada</w:t>
            </w:r>
            <w:r w:rsidR="00BE6B81" w:rsidRPr="0066102E">
              <w:rPr>
                <w:color w:val="000000" w:themeColor="text1"/>
                <w:sz w:val="20"/>
                <w:szCs w:val="20"/>
              </w:rPr>
              <w:t xml:space="preserve"> za ryzyko płynności, jakie ponosi Bank oraz za efektywność metod zarządzania tym ryzykiem;</w:t>
            </w:r>
          </w:p>
          <w:p w14:paraId="6FB2B287" w14:textId="77777777" w:rsidR="00BE6B81" w:rsidRPr="0066102E" w:rsidRDefault="00BE6B81" w:rsidP="00BE6B81">
            <w:pPr>
              <w:pStyle w:val="Akapit-ab"/>
              <w:tabs>
                <w:tab w:val="clear" w:pos="-24"/>
                <w:tab w:val="num" w:pos="204"/>
              </w:tabs>
              <w:ind w:left="346" w:hanging="117"/>
              <w:rPr>
                <w:color w:val="000000" w:themeColor="text1"/>
                <w:sz w:val="20"/>
                <w:szCs w:val="20"/>
              </w:rPr>
            </w:pPr>
            <w:r w:rsidRPr="0066102E">
              <w:rPr>
                <w:color w:val="000000" w:themeColor="text1"/>
                <w:sz w:val="20"/>
                <w:szCs w:val="20"/>
              </w:rPr>
              <w:t xml:space="preserve"> określa tolerancję ryzyka płynności, zgodną z apetytem na ryzyko Banku, adekwatną do Strategii zarządzania ryzykiem oraz do roli, jaką Bank pełni w systemie finansowym i przedstawia do zatwierdzenia Radzie Nadzorczej;</w:t>
            </w:r>
          </w:p>
          <w:p w14:paraId="3577E2D9" w14:textId="77777777" w:rsidR="00BE6B81" w:rsidRPr="0066102E" w:rsidRDefault="00BE6B81" w:rsidP="00BE6B81">
            <w:pPr>
              <w:pStyle w:val="Akapit-ab"/>
              <w:tabs>
                <w:tab w:val="clear" w:pos="-24"/>
                <w:tab w:val="num" w:pos="204"/>
              </w:tabs>
              <w:ind w:left="346" w:hanging="117"/>
              <w:rPr>
                <w:color w:val="000000" w:themeColor="text1"/>
                <w:sz w:val="20"/>
                <w:szCs w:val="20"/>
              </w:rPr>
            </w:pPr>
            <w:r w:rsidRPr="0066102E">
              <w:rPr>
                <w:color w:val="000000" w:themeColor="text1"/>
                <w:sz w:val="20"/>
                <w:szCs w:val="20"/>
              </w:rPr>
              <w:t xml:space="preserve"> projektuje i wdraża system zarządzania ryzykiem płynności, obejmujący środowisko zarządzania ryzykiem i proces zarządzania ryzykiem płynności, zintegrowany z procesem zarządzania ryzykiem w Banku;</w:t>
            </w:r>
          </w:p>
          <w:p w14:paraId="534677C5" w14:textId="77777777" w:rsidR="00BE6B81" w:rsidRPr="0066102E" w:rsidRDefault="00BE6B81" w:rsidP="00BE6B81">
            <w:pPr>
              <w:pStyle w:val="Akapit-ab"/>
              <w:tabs>
                <w:tab w:val="clear" w:pos="-24"/>
                <w:tab w:val="num" w:pos="204"/>
              </w:tabs>
              <w:ind w:left="346" w:hanging="117"/>
              <w:rPr>
                <w:color w:val="000000" w:themeColor="text1"/>
                <w:sz w:val="20"/>
                <w:szCs w:val="20"/>
              </w:rPr>
            </w:pPr>
            <w:r w:rsidRPr="0066102E">
              <w:rPr>
                <w:color w:val="000000" w:themeColor="text1"/>
                <w:sz w:val="20"/>
                <w:szCs w:val="20"/>
              </w:rPr>
              <w:t xml:space="preserve"> wprowadza zatwierdzoną przez Radę Nadzorczą strukturę organizacyjną Banku w zakresie zarządzania ryzykiem płynności, dostosowaną do wielkości i profilu ponoszonego ryzyka;</w:t>
            </w:r>
          </w:p>
          <w:p w14:paraId="516DB1B5" w14:textId="77777777" w:rsidR="00BE6B81" w:rsidRPr="0066102E" w:rsidRDefault="00BE6B81" w:rsidP="00BE6B81">
            <w:pPr>
              <w:pStyle w:val="Akapit-ab"/>
              <w:tabs>
                <w:tab w:val="clear" w:pos="-24"/>
                <w:tab w:val="num" w:pos="204"/>
              </w:tabs>
              <w:ind w:left="346" w:hanging="117"/>
              <w:rPr>
                <w:color w:val="000000" w:themeColor="text1"/>
                <w:sz w:val="20"/>
                <w:szCs w:val="20"/>
              </w:rPr>
            </w:pPr>
            <w:r w:rsidRPr="0066102E">
              <w:rPr>
                <w:color w:val="000000" w:themeColor="text1"/>
                <w:sz w:val="20"/>
                <w:szCs w:val="20"/>
              </w:rPr>
              <w:t xml:space="preserve"> odpowiada za opracowanie, wprowadzenie oraz aktualizację pisemnych polityk oraz procedur w zakresie zarządzania ryzykiem płynności;</w:t>
            </w:r>
          </w:p>
          <w:p w14:paraId="7847513B" w14:textId="77777777" w:rsidR="00BE6B81" w:rsidRPr="0066102E" w:rsidRDefault="00BE6B81" w:rsidP="00BE6B81">
            <w:pPr>
              <w:pStyle w:val="Akapit-ab"/>
              <w:tabs>
                <w:tab w:val="clear" w:pos="-24"/>
                <w:tab w:val="num" w:pos="204"/>
              </w:tabs>
              <w:ind w:left="346" w:hanging="117"/>
              <w:rPr>
                <w:color w:val="000000" w:themeColor="text1"/>
                <w:sz w:val="20"/>
                <w:szCs w:val="20"/>
              </w:rPr>
            </w:pPr>
            <w:r w:rsidRPr="0066102E">
              <w:rPr>
                <w:color w:val="000000" w:themeColor="text1"/>
                <w:sz w:val="20"/>
                <w:szCs w:val="20"/>
              </w:rPr>
              <w:t xml:space="preserve"> pełni nadzór nad testami warunków skrajnych, w tym: </w:t>
            </w:r>
          </w:p>
          <w:p w14:paraId="63043486" w14:textId="77777777" w:rsidR="00BE6B81" w:rsidRPr="0066102E" w:rsidRDefault="00BE6B81" w:rsidP="00BE6B81">
            <w:pPr>
              <w:pStyle w:val="Akapit-ab"/>
              <w:numPr>
                <w:ilvl w:val="0"/>
                <w:numId w:val="54"/>
              </w:numPr>
              <w:ind w:left="600" w:hanging="254"/>
              <w:rPr>
                <w:color w:val="000000" w:themeColor="text1"/>
                <w:sz w:val="20"/>
                <w:szCs w:val="20"/>
              </w:rPr>
            </w:pPr>
            <w:r w:rsidRPr="0066102E">
              <w:rPr>
                <w:color w:val="000000" w:themeColor="text1"/>
                <w:sz w:val="20"/>
                <w:szCs w:val="20"/>
              </w:rPr>
              <w:t xml:space="preserve">zapewnia, aby testy warunków skrajnych były analizowane odpowiednio konserwatywnie, bez względu na bieżącą sytuację płynnościową Banku, a więc także wtedy, gdy dostępność płynności jest nieograniczona, </w:t>
            </w:r>
          </w:p>
          <w:p w14:paraId="335FEEB1" w14:textId="77777777" w:rsidR="00BE6B81" w:rsidRPr="0066102E" w:rsidRDefault="00BE6B81" w:rsidP="00BE6B81">
            <w:pPr>
              <w:pStyle w:val="Akapit-ab"/>
              <w:numPr>
                <w:ilvl w:val="0"/>
                <w:numId w:val="54"/>
              </w:numPr>
              <w:tabs>
                <w:tab w:val="num" w:pos="488"/>
              </w:tabs>
              <w:ind w:left="600" w:hanging="254"/>
              <w:rPr>
                <w:color w:val="000000" w:themeColor="text1"/>
                <w:sz w:val="20"/>
                <w:szCs w:val="20"/>
              </w:rPr>
            </w:pPr>
            <w:r w:rsidRPr="0066102E">
              <w:rPr>
                <w:color w:val="000000" w:themeColor="text1"/>
                <w:sz w:val="20"/>
                <w:szCs w:val="20"/>
              </w:rPr>
              <w:t xml:space="preserve">omawia rezultaty przeprowadzonych testów warunków skrajnych, </w:t>
            </w:r>
          </w:p>
          <w:p w14:paraId="0254D95E" w14:textId="77777777" w:rsidR="00BE6B81" w:rsidRPr="0066102E" w:rsidRDefault="00BE6B81" w:rsidP="00BE6B81">
            <w:pPr>
              <w:pStyle w:val="Akapit-ab"/>
              <w:numPr>
                <w:ilvl w:val="0"/>
                <w:numId w:val="54"/>
              </w:numPr>
              <w:tabs>
                <w:tab w:val="num" w:pos="488"/>
              </w:tabs>
              <w:ind w:left="600" w:hanging="254"/>
              <w:rPr>
                <w:color w:val="000000" w:themeColor="text1"/>
                <w:sz w:val="20"/>
                <w:szCs w:val="20"/>
              </w:rPr>
            </w:pPr>
            <w:r w:rsidRPr="0066102E">
              <w:rPr>
                <w:color w:val="000000" w:themeColor="text1"/>
                <w:sz w:val="20"/>
                <w:szCs w:val="20"/>
              </w:rPr>
              <w:t xml:space="preserve">zapewnia, by rezultaty przeprowadzonych testów warunków skrajnych były wykorzystywane w procesie zarządzania ryzykiem, a w szczególności w ramach awaryjnych planów płynności oraz w procesie planowania strategicznego Banku, </w:t>
            </w:r>
          </w:p>
          <w:p w14:paraId="0C238F31" w14:textId="77777777" w:rsidR="00BE6B81" w:rsidRPr="0066102E" w:rsidRDefault="00BE6B81" w:rsidP="00BE6B81">
            <w:pPr>
              <w:pStyle w:val="Akapit-ab"/>
              <w:numPr>
                <w:ilvl w:val="0"/>
                <w:numId w:val="54"/>
              </w:numPr>
              <w:tabs>
                <w:tab w:val="num" w:pos="488"/>
              </w:tabs>
              <w:ind w:left="600" w:hanging="254"/>
              <w:rPr>
                <w:color w:val="000000" w:themeColor="text1"/>
                <w:sz w:val="20"/>
                <w:szCs w:val="20"/>
              </w:rPr>
            </w:pPr>
            <w:r w:rsidRPr="0066102E">
              <w:rPr>
                <w:color w:val="000000" w:themeColor="text1"/>
                <w:sz w:val="20"/>
                <w:szCs w:val="20"/>
              </w:rPr>
              <w:lastRenderedPageBreak/>
              <w:t>dokonuje przeglądu założeń, scenariuszy oraz rezultatów testów warunków skrajnych,</w:t>
            </w:r>
          </w:p>
          <w:p w14:paraId="4B390C71" w14:textId="77777777" w:rsidR="00BE6B81" w:rsidRPr="0066102E" w:rsidRDefault="00BE6B81" w:rsidP="00BE6B81">
            <w:pPr>
              <w:pStyle w:val="Akapit-ab"/>
              <w:numPr>
                <w:ilvl w:val="0"/>
                <w:numId w:val="54"/>
              </w:numPr>
              <w:ind w:left="600" w:hanging="254"/>
              <w:rPr>
                <w:color w:val="000000" w:themeColor="text1"/>
                <w:sz w:val="20"/>
                <w:szCs w:val="20"/>
              </w:rPr>
            </w:pPr>
            <w:r w:rsidRPr="0066102E">
              <w:rPr>
                <w:color w:val="000000" w:themeColor="text1"/>
                <w:sz w:val="20"/>
                <w:szCs w:val="20"/>
              </w:rPr>
              <w:t>regularnie raportuje wyniki testów warunków skrajnych Radzie;</w:t>
            </w:r>
          </w:p>
          <w:p w14:paraId="669F1A04" w14:textId="77777777" w:rsidR="00BE6B81" w:rsidRPr="0066102E" w:rsidRDefault="00BE6B81" w:rsidP="00BE6B81">
            <w:pPr>
              <w:pStyle w:val="Akapit-ab"/>
              <w:tabs>
                <w:tab w:val="clear" w:pos="-24"/>
                <w:tab w:val="num" w:pos="180"/>
                <w:tab w:val="num" w:pos="1980"/>
              </w:tabs>
              <w:ind w:left="346" w:hanging="142"/>
              <w:rPr>
                <w:color w:val="000000" w:themeColor="text1"/>
                <w:sz w:val="20"/>
                <w:szCs w:val="20"/>
              </w:rPr>
            </w:pPr>
            <w:r w:rsidRPr="0066102E">
              <w:rPr>
                <w:color w:val="000000" w:themeColor="text1"/>
                <w:sz w:val="20"/>
                <w:szCs w:val="20"/>
              </w:rPr>
              <w:t xml:space="preserve"> odpowiada za to, aby wszystkie jednostki organizacyjne, których działanie wpływa na płynność Banku, znały zasady </w:t>
            </w:r>
            <w:r w:rsidRPr="0066102E">
              <w:rPr>
                <w:i/>
                <w:color w:val="000000" w:themeColor="text1"/>
                <w:sz w:val="20"/>
                <w:szCs w:val="20"/>
              </w:rPr>
              <w:t>Polityki</w:t>
            </w:r>
            <w:r w:rsidRPr="0066102E">
              <w:rPr>
                <w:color w:val="000000" w:themeColor="text1"/>
                <w:sz w:val="20"/>
                <w:szCs w:val="20"/>
              </w:rPr>
              <w:t xml:space="preserve"> i funkcjonowały zgodnie z zatwierdzonymi regulacjami;</w:t>
            </w:r>
          </w:p>
          <w:p w14:paraId="00B5E73F" w14:textId="77777777" w:rsidR="00BE6B81" w:rsidRPr="0066102E" w:rsidRDefault="00BE6B81" w:rsidP="00BE6B81">
            <w:pPr>
              <w:pStyle w:val="Akapit-ab"/>
              <w:tabs>
                <w:tab w:val="clear" w:pos="-24"/>
                <w:tab w:val="num" w:pos="180"/>
              </w:tabs>
              <w:ind w:left="346" w:hanging="171"/>
              <w:rPr>
                <w:color w:val="000000" w:themeColor="text1"/>
                <w:sz w:val="20"/>
                <w:szCs w:val="20"/>
              </w:rPr>
            </w:pPr>
            <w:r w:rsidRPr="0066102E">
              <w:rPr>
                <w:color w:val="000000" w:themeColor="text1"/>
                <w:sz w:val="20"/>
                <w:szCs w:val="20"/>
              </w:rPr>
              <w:t xml:space="preserve">  odpowiada za system informacji zarządczej i poprawność polityki informacyjnej (ujawnień) w zakresie zarządzania ryzykiem płynności;</w:t>
            </w:r>
          </w:p>
          <w:p w14:paraId="5D74FC8E" w14:textId="77777777" w:rsidR="00BE6B81" w:rsidRPr="0066102E" w:rsidRDefault="00BE6B81" w:rsidP="00BE6B81">
            <w:pPr>
              <w:pStyle w:val="Akapit-ab"/>
              <w:tabs>
                <w:tab w:val="clear" w:pos="-24"/>
                <w:tab w:val="num" w:pos="317"/>
              </w:tabs>
              <w:ind w:left="317" w:hanging="142"/>
              <w:rPr>
                <w:color w:val="000000" w:themeColor="text1"/>
                <w:sz w:val="20"/>
                <w:szCs w:val="20"/>
              </w:rPr>
            </w:pPr>
            <w:r w:rsidRPr="0066102E">
              <w:rPr>
                <w:color w:val="000000" w:themeColor="text1"/>
                <w:sz w:val="20"/>
                <w:szCs w:val="20"/>
              </w:rPr>
              <w:t xml:space="preserve"> przekazuje Radzie Nadzorczej okresową informację, przedstawiającą w sposób rzetelny, przejrzysty rodzaje i wielkość ryzyka płynności w działalności Banku;</w:t>
            </w:r>
          </w:p>
          <w:p w14:paraId="6C09B4EB" w14:textId="588497B6" w:rsidR="00BE6B81" w:rsidRPr="0066102E" w:rsidRDefault="00BE6B81" w:rsidP="00BE6B81">
            <w:pPr>
              <w:pStyle w:val="Akapit-ab"/>
              <w:tabs>
                <w:tab w:val="clear" w:pos="-24"/>
                <w:tab w:val="num" w:pos="317"/>
              </w:tabs>
              <w:ind w:left="317" w:hanging="142"/>
              <w:rPr>
                <w:color w:val="000000" w:themeColor="text1"/>
                <w:sz w:val="20"/>
                <w:szCs w:val="20"/>
              </w:rPr>
            </w:pPr>
            <w:r w:rsidRPr="0066102E">
              <w:rPr>
                <w:color w:val="000000" w:themeColor="text1"/>
                <w:sz w:val="20"/>
                <w:szCs w:val="20"/>
              </w:rPr>
              <w:t xml:space="preserve">co najmniej raz w roku dokonuje oceny przyjętej </w:t>
            </w:r>
            <w:r w:rsidRPr="0066102E">
              <w:rPr>
                <w:i/>
                <w:color w:val="000000" w:themeColor="text1"/>
                <w:sz w:val="20"/>
                <w:szCs w:val="20"/>
              </w:rPr>
              <w:t>Polityki</w:t>
            </w:r>
            <w:r w:rsidRPr="0066102E">
              <w:rPr>
                <w:color w:val="000000" w:themeColor="text1"/>
                <w:sz w:val="20"/>
                <w:szCs w:val="20"/>
              </w:rPr>
              <w:t xml:space="preserve"> w zakresie ryzyka płynności pod względem sposobu jej stosowania oraz ewentualnej konieczności wprowadzenia zmian. Zarząd informuje Radę Nadzorczą o wynikach dokonanej oceny;</w:t>
            </w:r>
          </w:p>
          <w:p w14:paraId="4B6E7ECD" w14:textId="71BCFD80" w:rsidR="00BE6B81" w:rsidRPr="0066102E" w:rsidRDefault="00BE6B81" w:rsidP="00BE6B81">
            <w:pPr>
              <w:pStyle w:val="Akapit-ab"/>
              <w:tabs>
                <w:tab w:val="clear" w:pos="-24"/>
                <w:tab w:val="num" w:pos="317"/>
              </w:tabs>
              <w:ind w:left="317" w:hanging="142"/>
              <w:jc w:val="left"/>
              <w:rPr>
                <w:color w:val="000000" w:themeColor="text1"/>
                <w:sz w:val="20"/>
                <w:szCs w:val="20"/>
              </w:rPr>
            </w:pPr>
            <w:r w:rsidRPr="0066102E">
              <w:rPr>
                <w:color w:val="000000" w:themeColor="text1"/>
                <w:sz w:val="20"/>
                <w:szCs w:val="20"/>
              </w:rPr>
              <w:t>przyjmuje procedury  zarządzania  pomiaru i monitorowania ryzyka   płynności oraz plany awaryjne utrzymania płynności finansowej w Banku;</w:t>
            </w:r>
          </w:p>
          <w:p w14:paraId="2125AB5E" w14:textId="7A561647" w:rsidR="003B48C6" w:rsidRPr="0066102E" w:rsidRDefault="00BE6B81" w:rsidP="00BE6B81">
            <w:pPr>
              <w:pStyle w:val="Akapit-ab"/>
              <w:tabs>
                <w:tab w:val="clear" w:pos="-24"/>
                <w:tab w:val="num" w:pos="317"/>
              </w:tabs>
              <w:ind w:left="317" w:hanging="142"/>
              <w:rPr>
                <w:color w:val="000000" w:themeColor="text1"/>
                <w:sz w:val="20"/>
                <w:szCs w:val="20"/>
              </w:rPr>
            </w:pPr>
            <w:r w:rsidRPr="0066102E">
              <w:rPr>
                <w:color w:val="000000" w:themeColor="text1"/>
                <w:sz w:val="20"/>
                <w:szCs w:val="20"/>
              </w:rPr>
              <w:t>podejmuje decyzje o zakupie papierów wartościowych.</w:t>
            </w:r>
          </w:p>
        </w:tc>
      </w:tr>
      <w:tr w:rsidR="0066102E" w:rsidRPr="0066102E" w14:paraId="5C62701C" w14:textId="77777777" w:rsidTr="006B4951">
        <w:tc>
          <w:tcPr>
            <w:tcW w:w="2581" w:type="dxa"/>
          </w:tcPr>
          <w:p w14:paraId="5CDAC201" w14:textId="77777777" w:rsidR="003B48C6" w:rsidRPr="0066102E" w:rsidRDefault="003B48C6" w:rsidP="006B4951">
            <w:pPr>
              <w:rPr>
                <w:rFonts w:ascii="Times New Roman" w:hAnsi="Times New Roman" w:cs="Times New Roman"/>
                <w:color w:val="000000" w:themeColor="text1"/>
                <w:sz w:val="20"/>
                <w:szCs w:val="20"/>
                <w:u w:val="single"/>
              </w:rPr>
            </w:pPr>
            <w:r w:rsidRPr="0066102E">
              <w:rPr>
                <w:rFonts w:ascii="Times New Roman" w:hAnsi="Times New Roman" w:cs="Times New Roman"/>
                <w:color w:val="000000" w:themeColor="text1"/>
                <w:sz w:val="20"/>
                <w:szCs w:val="20"/>
                <w:u w:val="single"/>
              </w:rPr>
              <w:lastRenderedPageBreak/>
              <w:t>Prezes Zarządu</w:t>
            </w:r>
          </w:p>
        </w:tc>
        <w:tc>
          <w:tcPr>
            <w:tcW w:w="7086" w:type="dxa"/>
          </w:tcPr>
          <w:p w14:paraId="1D4FC538" w14:textId="77777777" w:rsidR="00BE6B81" w:rsidRPr="0066102E" w:rsidRDefault="00BE6B81" w:rsidP="00BE6B81">
            <w:pPr>
              <w:pStyle w:val="Akapitzlist"/>
              <w:numPr>
                <w:ilvl w:val="1"/>
                <w:numId w:val="52"/>
              </w:numPr>
              <w:tabs>
                <w:tab w:val="left" w:pos="0"/>
              </w:tabs>
              <w:ind w:left="346" w:hanging="346"/>
              <w:contextualSpacing/>
              <w:jc w:val="both"/>
              <w:rPr>
                <w:color w:val="000000" w:themeColor="text1"/>
              </w:rPr>
            </w:pPr>
            <w:r w:rsidRPr="0066102E">
              <w:rPr>
                <w:color w:val="000000" w:themeColor="text1"/>
              </w:rPr>
              <w:t>zapewnia funkcjonowanie skutecznych systemów kontrolnych i audytu;</w:t>
            </w:r>
          </w:p>
          <w:p w14:paraId="17A97E64" w14:textId="61B50CD8" w:rsidR="003B48C6" w:rsidRPr="0066102E" w:rsidRDefault="00BE6B81" w:rsidP="002A4424">
            <w:pPr>
              <w:pStyle w:val="Akapitzlist"/>
              <w:numPr>
                <w:ilvl w:val="1"/>
                <w:numId w:val="52"/>
              </w:numPr>
              <w:tabs>
                <w:tab w:val="left" w:pos="0"/>
              </w:tabs>
              <w:ind w:left="346" w:hanging="346"/>
              <w:contextualSpacing/>
              <w:rPr>
                <w:color w:val="000000" w:themeColor="text1"/>
              </w:rPr>
            </w:pPr>
            <w:r w:rsidRPr="0066102E">
              <w:rPr>
                <w:color w:val="000000" w:themeColor="text1"/>
              </w:rPr>
              <w:t>nadzoruje ZZZ</w:t>
            </w:r>
            <w:r w:rsidR="002A4424" w:rsidRPr="0066102E">
              <w:rPr>
                <w:color w:val="000000" w:themeColor="text1"/>
              </w:rPr>
              <w:t xml:space="preserve"> (Zespół Zarządzania Zgodnością) </w:t>
            </w:r>
            <w:r w:rsidRPr="0066102E">
              <w:rPr>
                <w:color w:val="000000" w:themeColor="text1"/>
              </w:rPr>
              <w:t>, ZAW</w:t>
            </w:r>
            <w:r w:rsidR="002A4424" w:rsidRPr="0066102E">
              <w:rPr>
                <w:color w:val="000000" w:themeColor="text1"/>
              </w:rPr>
              <w:t xml:space="preserve"> (Zespół Audytu Wewnętrznego)</w:t>
            </w:r>
          </w:p>
        </w:tc>
      </w:tr>
      <w:tr w:rsidR="0066102E" w:rsidRPr="0066102E" w14:paraId="352FC121" w14:textId="77777777" w:rsidTr="006B4951">
        <w:tc>
          <w:tcPr>
            <w:tcW w:w="2581" w:type="dxa"/>
          </w:tcPr>
          <w:p w14:paraId="338BFBD5" w14:textId="40D29877" w:rsidR="002A4424" w:rsidRPr="0066102E" w:rsidRDefault="002A4424" w:rsidP="002A4424">
            <w:pPr>
              <w:jc w:val="left"/>
              <w:rPr>
                <w:rFonts w:ascii="Times New Roman" w:hAnsi="Times New Roman" w:cs="Times New Roman"/>
                <w:color w:val="000000" w:themeColor="text1"/>
                <w:sz w:val="20"/>
                <w:szCs w:val="20"/>
                <w:u w:val="single"/>
              </w:rPr>
            </w:pPr>
            <w:r w:rsidRPr="0066102E">
              <w:rPr>
                <w:rFonts w:ascii="Times New Roman" w:hAnsi="Times New Roman" w:cs="Times New Roman"/>
                <w:color w:val="000000" w:themeColor="text1"/>
                <w:sz w:val="20"/>
                <w:szCs w:val="20"/>
                <w:u w:val="single"/>
              </w:rPr>
              <w:t>Wiceprezes Zarządu ds. zarządzania ryzykiem istotnym</w:t>
            </w:r>
          </w:p>
        </w:tc>
        <w:tc>
          <w:tcPr>
            <w:tcW w:w="7086" w:type="dxa"/>
          </w:tcPr>
          <w:p w14:paraId="0110567C" w14:textId="77777777" w:rsidR="002A4424" w:rsidRPr="0066102E" w:rsidRDefault="002A4424" w:rsidP="002A4424">
            <w:pPr>
              <w:pStyle w:val="Akapitzlist"/>
              <w:numPr>
                <w:ilvl w:val="0"/>
                <w:numId w:val="89"/>
              </w:numPr>
              <w:tabs>
                <w:tab w:val="left" w:pos="0"/>
              </w:tabs>
              <w:ind w:left="317" w:hanging="317"/>
              <w:contextualSpacing/>
              <w:rPr>
                <w:color w:val="000000" w:themeColor="text1"/>
              </w:rPr>
            </w:pPr>
            <w:r w:rsidRPr="0066102E">
              <w:rPr>
                <w:color w:val="000000" w:themeColor="text1"/>
              </w:rPr>
              <w:t>Pełni nadzór nad zarządzaniem ryzykiem płynności;</w:t>
            </w:r>
          </w:p>
          <w:p w14:paraId="1C48F019" w14:textId="05BA5407" w:rsidR="002A4424" w:rsidRPr="0066102E" w:rsidRDefault="002A4424" w:rsidP="00961658">
            <w:pPr>
              <w:pStyle w:val="Akapitzlist"/>
              <w:numPr>
                <w:ilvl w:val="0"/>
                <w:numId w:val="89"/>
              </w:numPr>
              <w:tabs>
                <w:tab w:val="left" w:pos="0"/>
              </w:tabs>
              <w:ind w:left="317" w:hanging="317"/>
              <w:contextualSpacing/>
              <w:rPr>
                <w:color w:val="000000" w:themeColor="text1"/>
              </w:rPr>
            </w:pPr>
            <w:r w:rsidRPr="0066102E">
              <w:rPr>
                <w:color w:val="000000" w:themeColor="text1"/>
              </w:rPr>
              <w:t>nadzoruje ZZ</w:t>
            </w:r>
            <w:r w:rsidR="000A7A11">
              <w:rPr>
                <w:color w:val="000000" w:themeColor="text1"/>
              </w:rPr>
              <w:t xml:space="preserve">R (Zespół Zarządzania </w:t>
            </w:r>
            <w:proofErr w:type="spellStart"/>
            <w:r w:rsidR="000A7A11">
              <w:rPr>
                <w:color w:val="000000" w:themeColor="text1"/>
              </w:rPr>
              <w:t>Ryzykami</w:t>
            </w:r>
            <w:proofErr w:type="spellEnd"/>
            <w:r w:rsidR="000A7A11">
              <w:rPr>
                <w:color w:val="000000" w:themeColor="text1"/>
              </w:rPr>
              <w:t>) i</w:t>
            </w:r>
            <w:r w:rsidRPr="0066102E">
              <w:rPr>
                <w:color w:val="000000" w:themeColor="text1"/>
              </w:rPr>
              <w:t xml:space="preserve"> Z</w:t>
            </w:r>
            <w:r w:rsidR="00961658">
              <w:rPr>
                <w:color w:val="000000" w:themeColor="text1"/>
              </w:rPr>
              <w:t>WA</w:t>
            </w:r>
            <w:r w:rsidRPr="0066102E">
              <w:rPr>
                <w:color w:val="000000" w:themeColor="text1"/>
              </w:rPr>
              <w:t xml:space="preserve"> (Zespół </w:t>
            </w:r>
            <w:r w:rsidR="00961658">
              <w:rPr>
                <w:color w:val="000000" w:themeColor="text1"/>
              </w:rPr>
              <w:t>Weryfikacji i Analiz</w:t>
            </w:r>
            <w:r w:rsidRPr="0066102E">
              <w:rPr>
                <w:color w:val="000000" w:themeColor="text1"/>
              </w:rPr>
              <w:t>).</w:t>
            </w:r>
          </w:p>
        </w:tc>
      </w:tr>
      <w:tr w:rsidR="0066102E" w:rsidRPr="0066102E" w14:paraId="231C6DD6" w14:textId="77777777" w:rsidTr="006B4951">
        <w:tc>
          <w:tcPr>
            <w:tcW w:w="2581" w:type="dxa"/>
          </w:tcPr>
          <w:p w14:paraId="4773BB56" w14:textId="3102B908" w:rsidR="003B48C6" w:rsidRPr="0066102E" w:rsidRDefault="00ED1D61" w:rsidP="008F5F36">
            <w:pPr>
              <w:jc w:val="left"/>
              <w:rPr>
                <w:rFonts w:ascii="Times New Roman" w:hAnsi="Times New Roman" w:cs="Times New Roman"/>
                <w:color w:val="000000" w:themeColor="text1"/>
                <w:sz w:val="20"/>
                <w:szCs w:val="20"/>
                <w:u w:val="single"/>
              </w:rPr>
            </w:pPr>
            <w:r w:rsidRPr="0066102E">
              <w:rPr>
                <w:rFonts w:ascii="Times New Roman" w:hAnsi="Times New Roman" w:cs="Times New Roman"/>
                <w:color w:val="000000" w:themeColor="text1"/>
                <w:sz w:val="20"/>
                <w:szCs w:val="20"/>
                <w:u w:val="single"/>
              </w:rPr>
              <w:t>Członek Zarządu ds. finansowo-księgowych /G</w:t>
            </w:r>
            <w:r w:rsidR="008F5F36" w:rsidRPr="0066102E">
              <w:rPr>
                <w:rFonts w:ascii="Times New Roman" w:hAnsi="Times New Roman" w:cs="Times New Roman"/>
                <w:color w:val="000000" w:themeColor="text1"/>
                <w:sz w:val="20"/>
                <w:szCs w:val="20"/>
                <w:u w:val="single"/>
              </w:rPr>
              <w:t>łówny Księgowy</w:t>
            </w:r>
          </w:p>
        </w:tc>
        <w:tc>
          <w:tcPr>
            <w:tcW w:w="7086" w:type="dxa"/>
          </w:tcPr>
          <w:p w14:paraId="5964412A" w14:textId="77777777" w:rsidR="0066102E" w:rsidRPr="0066102E" w:rsidRDefault="00BE6B81" w:rsidP="0066102E">
            <w:pPr>
              <w:pStyle w:val="Akapitzlist"/>
              <w:numPr>
                <w:ilvl w:val="0"/>
                <w:numId w:val="81"/>
              </w:numPr>
              <w:ind w:left="317"/>
              <w:rPr>
                <w:color w:val="000000" w:themeColor="text1"/>
              </w:rPr>
            </w:pPr>
            <w:r w:rsidRPr="0066102E">
              <w:rPr>
                <w:color w:val="000000" w:themeColor="text1"/>
              </w:rPr>
              <w:t>Pełni nadzór nad ZRS</w:t>
            </w:r>
            <w:r w:rsidR="002A4424" w:rsidRPr="0066102E">
              <w:rPr>
                <w:color w:val="000000" w:themeColor="text1"/>
              </w:rPr>
              <w:t xml:space="preserve"> (Zespół Rachunkowości i Sprawozdawczości) i ZS (Zespół Skarbu)</w:t>
            </w:r>
            <w:r w:rsidRPr="0066102E">
              <w:rPr>
                <w:color w:val="000000" w:themeColor="text1"/>
              </w:rPr>
              <w:t>;</w:t>
            </w:r>
            <w:r w:rsidR="0066102E" w:rsidRPr="0066102E">
              <w:rPr>
                <w:color w:val="000000" w:themeColor="text1"/>
              </w:rPr>
              <w:t xml:space="preserve"> </w:t>
            </w:r>
          </w:p>
          <w:p w14:paraId="6FB962A9" w14:textId="7624C1CB" w:rsidR="0066102E" w:rsidRPr="0066102E" w:rsidRDefault="0066102E" w:rsidP="0066102E">
            <w:pPr>
              <w:pStyle w:val="Akapitzlist"/>
              <w:numPr>
                <w:ilvl w:val="0"/>
                <w:numId w:val="81"/>
              </w:numPr>
              <w:ind w:left="317"/>
              <w:rPr>
                <w:color w:val="000000" w:themeColor="text1"/>
              </w:rPr>
            </w:pPr>
            <w:r w:rsidRPr="0066102E">
              <w:rPr>
                <w:color w:val="000000" w:themeColor="text1"/>
              </w:rPr>
              <w:t>pełni nadzór nad bieżącym zarządzaniem nadwyżkami środków finansowych Banku;</w:t>
            </w:r>
          </w:p>
          <w:p w14:paraId="72CE0BD2" w14:textId="77777777" w:rsidR="00BE6B81" w:rsidRPr="0066102E" w:rsidRDefault="00BE6B81" w:rsidP="003B3DA4">
            <w:pPr>
              <w:pStyle w:val="Akapitzlist"/>
              <w:numPr>
                <w:ilvl w:val="0"/>
                <w:numId w:val="81"/>
              </w:numPr>
              <w:spacing w:before="20" w:after="20"/>
              <w:ind w:left="317"/>
              <w:contextualSpacing/>
              <w:rPr>
                <w:color w:val="000000" w:themeColor="text1"/>
              </w:rPr>
            </w:pPr>
            <w:r w:rsidRPr="0066102E">
              <w:rPr>
                <w:color w:val="000000" w:themeColor="text1"/>
              </w:rPr>
              <w:t>wycenia aktywa i pasywa, odpowiada za bieżące ustalanie cen na instrumenty finansowe;</w:t>
            </w:r>
          </w:p>
          <w:p w14:paraId="65A86A87" w14:textId="77777777" w:rsidR="00BE6B81" w:rsidRPr="0066102E" w:rsidRDefault="00BE6B81" w:rsidP="003B3DA4">
            <w:pPr>
              <w:pStyle w:val="Akapitzlist"/>
              <w:numPr>
                <w:ilvl w:val="0"/>
                <w:numId w:val="81"/>
              </w:numPr>
              <w:spacing w:before="20" w:after="20"/>
              <w:ind w:left="317"/>
              <w:contextualSpacing/>
              <w:rPr>
                <w:color w:val="000000" w:themeColor="text1"/>
              </w:rPr>
            </w:pPr>
            <w:r w:rsidRPr="0066102E">
              <w:rPr>
                <w:color w:val="000000" w:themeColor="text1"/>
              </w:rPr>
              <w:t>ustala wynik finansowy Banku;</w:t>
            </w:r>
          </w:p>
          <w:p w14:paraId="090BA4F9" w14:textId="77777777" w:rsidR="00BE6B81" w:rsidRPr="0066102E" w:rsidRDefault="00BE6B81" w:rsidP="003B3DA4">
            <w:pPr>
              <w:numPr>
                <w:ilvl w:val="0"/>
                <w:numId w:val="81"/>
              </w:numPr>
              <w:spacing w:after="0" w:line="240" w:lineRule="auto"/>
              <w:ind w:left="317" w:right="0"/>
              <w:rPr>
                <w:rFonts w:ascii="Times New Roman" w:hAnsi="Times New Roman" w:cs="Times New Roman"/>
                <w:color w:val="000000" w:themeColor="text1"/>
                <w:sz w:val="20"/>
                <w:szCs w:val="20"/>
              </w:rPr>
            </w:pPr>
            <w:r w:rsidRPr="0066102E">
              <w:rPr>
                <w:rFonts w:ascii="Times New Roman" w:hAnsi="Times New Roman" w:cs="Times New Roman"/>
                <w:color w:val="000000" w:themeColor="text1"/>
                <w:sz w:val="20"/>
                <w:szCs w:val="20"/>
              </w:rPr>
              <w:t xml:space="preserve">nadzoruje obsługę rachunków </w:t>
            </w:r>
            <w:proofErr w:type="spellStart"/>
            <w:r w:rsidRPr="0066102E">
              <w:rPr>
                <w:rFonts w:ascii="Times New Roman" w:hAnsi="Times New Roman" w:cs="Times New Roman"/>
                <w:color w:val="000000" w:themeColor="text1"/>
                <w:sz w:val="20"/>
                <w:szCs w:val="20"/>
              </w:rPr>
              <w:t>nostro</w:t>
            </w:r>
            <w:proofErr w:type="spellEnd"/>
            <w:r w:rsidRPr="0066102E">
              <w:rPr>
                <w:rFonts w:ascii="Times New Roman" w:hAnsi="Times New Roman" w:cs="Times New Roman"/>
                <w:color w:val="000000" w:themeColor="text1"/>
                <w:sz w:val="20"/>
                <w:szCs w:val="20"/>
              </w:rPr>
              <w:t xml:space="preserve"> i innych rachunków Banku;</w:t>
            </w:r>
          </w:p>
          <w:p w14:paraId="1EC49576" w14:textId="77777777" w:rsidR="00BE6B81" w:rsidRPr="0066102E" w:rsidRDefault="00BE6B81" w:rsidP="003B3DA4">
            <w:pPr>
              <w:numPr>
                <w:ilvl w:val="0"/>
                <w:numId w:val="81"/>
              </w:numPr>
              <w:spacing w:after="0" w:line="276" w:lineRule="auto"/>
              <w:ind w:left="317" w:right="0"/>
              <w:rPr>
                <w:rFonts w:ascii="Times New Roman" w:hAnsi="Times New Roman" w:cs="Times New Roman"/>
                <w:color w:val="000000" w:themeColor="text1"/>
                <w:sz w:val="20"/>
                <w:szCs w:val="20"/>
              </w:rPr>
            </w:pPr>
            <w:r w:rsidRPr="0066102E">
              <w:rPr>
                <w:rFonts w:ascii="Times New Roman" w:hAnsi="Times New Roman" w:cs="Times New Roman"/>
                <w:color w:val="000000" w:themeColor="text1"/>
                <w:sz w:val="20"/>
                <w:szCs w:val="20"/>
              </w:rPr>
              <w:t>pełni bezpośredni nadzór nad gospodarką finansową Banku oraz nad sprawnością i prawidłowością dokonywania rozliczeń międzybankowych,</w:t>
            </w:r>
          </w:p>
          <w:p w14:paraId="76A6A1C3" w14:textId="77777777" w:rsidR="00BE6B81" w:rsidRPr="0066102E" w:rsidRDefault="00BE6B81" w:rsidP="003B3DA4">
            <w:pPr>
              <w:numPr>
                <w:ilvl w:val="0"/>
                <w:numId w:val="81"/>
              </w:numPr>
              <w:spacing w:after="0" w:line="276" w:lineRule="auto"/>
              <w:ind w:left="317" w:right="0"/>
              <w:rPr>
                <w:rFonts w:ascii="Times New Roman" w:hAnsi="Times New Roman" w:cs="Times New Roman"/>
                <w:color w:val="000000" w:themeColor="text1"/>
                <w:sz w:val="20"/>
                <w:szCs w:val="20"/>
              </w:rPr>
            </w:pPr>
            <w:r w:rsidRPr="0066102E">
              <w:rPr>
                <w:rFonts w:ascii="Times New Roman" w:hAnsi="Times New Roman" w:cs="Times New Roman"/>
                <w:color w:val="000000" w:themeColor="text1"/>
                <w:sz w:val="20"/>
                <w:szCs w:val="20"/>
              </w:rPr>
              <w:t>opracowuje założenia do planów ekonomiczno-finansowych Banku,</w:t>
            </w:r>
          </w:p>
          <w:p w14:paraId="7198A422" w14:textId="77777777" w:rsidR="00BE6B81" w:rsidRPr="0066102E" w:rsidRDefault="00BE6B81" w:rsidP="003B3DA4">
            <w:pPr>
              <w:numPr>
                <w:ilvl w:val="0"/>
                <w:numId w:val="81"/>
              </w:numPr>
              <w:spacing w:after="0" w:line="276" w:lineRule="auto"/>
              <w:ind w:left="317" w:right="0"/>
              <w:rPr>
                <w:rFonts w:ascii="Times New Roman" w:hAnsi="Times New Roman" w:cs="Times New Roman"/>
                <w:color w:val="000000" w:themeColor="text1"/>
                <w:sz w:val="20"/>
                <w:szCs w:val="20"/>
              </w:rPr>
            </w:pPr>
            <w:r w:rsidRPr="0066102E">
              <w:rPr>
                <w:rFonts w:ascii="Times New Roman" w:hAnsi="Times New Roman" w:cs="Times New Roman"/>
                <w:color w:val="000000" w:themeColor="text1"/>
                <w:sz w:val="20"/>
                <w:szCs w:val="20"/>
              </w:rPr>
              <w:t>opracowuje plany ekonomiczno-finansowych Banku,</w:t>
            </w:r>
          </w:p>
          <w:p w14:paraId="07DD9495" w14:textId="77777777" w:rsidR="00BE6B81" w:rsidRPr="0066102E" w:rsidRDefault="00BE6B81" w:rsidP="003B3DA4">
            <w:pPr>
              <w:numPr>
                <w:ilvl w:val="0"/>
                <w:numId w:val="81"/>
              </w:numPr>
              <w:spacing w:after="0" w:line="276" w:lineRule="auto"/>
              <w:ind w:left="317" w:right="0"/>
              <w:rPr>
                <w:rFonts w:ascii="Times New Roman" w:hAnsi="Times New Roman" w:cs="Times New Roman"/>
                <w:color w:val="000000" w:themeColor="text1"/>
                <w:sz w:val="20"/>
                <w:szCs w:val="20"/>
              </w:rPr>
            </w:pPr>
            <w:r w:rsidRPr="0066102E">
              <w:rPr>
                <w:rFonts w:ascii="Times New Roman" w:hAnsi="Times New Roman" w:cs="Times New Roman"/>
                <w:color w:val="000000" w:themeColor="text1"/>
                <w:sz w:val="20"/>
                <w:szCs w:val="20"/>
              </w:rPr>
              <w:t>monitoruje i raportuje realizację planów ekonomiczno-finansowych Banku;</w:t>
            </w:r>
          </w:p>
          <w:p w14:paraId="5644A936" w14:textId="5A99BEB7" w:rsidR="003B48C6" w:rsidRPr="0066102E" w:rsidRDefault="00BE6B81" w:rsidP="003B3DA4">
            <w:pPr>
              <w:pStyle w:val="Akapitzlist"/>
              <w:numPr>
                <w:ilvl w:val="0"/>
                <w:numId w:val="81"/>
              </w:numPr>
              <w:ind w:left="317"/>
              <w:contextualSpacing/>
              <w:jc w:val="both"/>
              <w:rPr>
                <w:color w:val="000000" w:themeColor="text1"/>
              </w:rPr>
            </w:pPr>
            <w:r w:rsidRPr="0066102E">
              <w:rPr>
                <w:color w:val="000000" w:themeColor="text1"/>
              </w:rPr>
              <w:t>realizuje zadania wynikające z Ustawy z dnia 29 września 1994 r. o rachunkowości oraz odpowiada za obszar rachunkowości i sprawozdawczości finansowej, w tym kontroli finansowej.</w:t>
            </w:r>
          </w:p>
        </w:tc>
      </w:tr>
      <w:tr w:rsidR="0066102E" w:rsidRPr="0066102E" w14:paraId="6CB71325" w14:textId="77777777" w:rsidTr="006B4951">
        <w:tc>
          <w:tcPr>
            <w:tcW w:w="2581" w:type="dxa"/>
          </w:tcPr>
          <w:p w14:paraId="14AE6FD4" w14:textId="77777777" w:rsidR="003B48C6" w:rsidRPr="0066102E" w:rsidRDefault="003B48C6" w:rsidP="006E0285">
            <w:pPr>
              <w:jc w:val="left"/>
              <w:rPr>
                <w:rFonts w:ascii="Times New Roman" w:hAnsi="Times New Roman" w:cs="Times New Roman"/>
                <w:color w:val="000000" w:themeColor="text1"/>
                <w:sz w:val="20"/>
                <w:szCs w:val="20"/>
                <w:u w:val="single"/>
              </w:rPr>
            </w:pPr>
            <w:r w:rsidRPr="0066102E">
              <w:rPr>
                <w:rFonts w:ascii="Times New Roman" w:hAnsi="Times New Roman" w:cs="Times New Roman"/>
                <w:color w:val="000000" w:themeColor="text1"/>
                <w:sz w:val="20"/>
                <w:szCs w:val="20"/>
                <w:u w:val="single"/>
              </w:rPr>
              <w:t>Komitet ds. przeglądu procedur</w:t>
            </w:r>
          </w:p>
        </w:tc>
        <w:tc>
          <w:tcPr>
            <w:tcW w:w="7086" w:type="dxa"/>
          </w:tcPr>
          <w:p w14:paraId="0304DDA1" w14:textId="66231B04" w:rsidR="003B48C6" w:rsidRPr="0066102E" w:rsidRDefault="00BE6B81" w:rsidP="00DE2995">
            <w:pPr>
              <w:pStyle w:val="Akapitzlist"/>
              <w:ind w:left="33"/>
              <w:contextualSpacing/>
              <w:jc w:val="both"/>
              <w:rPr>
                <w:color w:val="000000" w:themeColor="text1"/>
              </w:rPr>
            </w:pPr>
            <w:r w:rsidRPr="0066102E">
              <w:rPr>
                <w:color w:val="000000" w:themeColor="text1"/>
              </w:rPr>
              <w:t>Dokonuje przeglądów procedur dotyczących zarządzania ryzykiem płynności, w tym:</w:t>
            </w:r>
            <w:r w:rsidRPr="0066102E">
              <w:rPr>
                <w:rFonts w:cs="Arial"/>
                <w:color w:val="000000" w:themeColor="text1"/>
                <w:sz w:val="22"/>
                <w:szCs w:val="22"/>
              </w:rPr>
              <w:t xml:space="preserve"> </w:t>
            </w:r>
            <w:r w:rsidRPr="0066102E">
              <w:rPr>
                <w:rFonts w:cs="Arial"/>
                <w:color w:val="000000" w:themeColor="text1"/>
              </w:rPr>
              <w:t xml:space="preserve">strategii zarządzania </w:t>
            </w:r>
            <w:proofErr w:type="spellStart"/>
            <w:r w:rsidRPr="0066102E">
              <w:rPr>
                <w:rFonts w:cs="Arial"/>
                <w:color w:val="000000" w:themeColor="text1"/>
              </w:rPr>
              <w:t>ryzykami</w:t>
            </w:r>
            <w:proofErr w:type="spellEnd"/>
            <w:r w:rsidRPr="0066102E">
              <w:rPr>
                <w:rFonts w:cs="Arial"/>
                <w:color w:val="000000" w:themeColor="text1"/>
              </w:rPr>
              <w:t xml:space="preserve">, </w:t>
            </w:r>
            <w:r w:rsidRPr="0066102E">
              <w:rPr>
                <w:rFonts w:cs="Arial"/>
                <w:i/>
                <w:color w:val="000000" w:themeColor="text1"/>
              </w:rPr>
              <w:t>Polityki zarządzania ryzykiem płynności</w:t>
            </w:r>
            <w:r w:rsidRPr="0066102E">
              <w:rPr>
                <w:rFonts w:cs="Arial"/>
                <w:color w:val="000000" w:themeColor="text1"/>
              </w:rPr>
              <w:t>, procedur pomiaru, raportowania, limitowania i kontroli ryzyka płynności</w:t>
            </w:r>
            <w:r w:rsidRPr="0066102E">
              <w:rPr>
                <w:rFonts w:cs="Arial"/>
                <w:color w:val="000000" w:themeColor="text1"/>
                <w:sz w:val="22"/>
                <w:szCs w:val="22"/>
              </w:rPr>
              <w:t>.</w:t>
            </w:r>
          </w:p>
        </w:tc>
      </w:tr>
      <w:tr w:rsidR="0066102E" w:rsidRPr="0066102E" w14:paraId="0D309F91" w14:textId="77777777" w:rsidTr="006B4951">
        <w:tc>
          <w:tcPr>
            <w:tcW w:w="2581" w:type="dxa"/>
          </w:tcPr>
          <w:p w14:paraId="46667259" w14:textId="77777777" w:rsidR="003B48C6" w:rsidRPr="0066102E" w:rsidRDefault="003B48C6" w:rsidP="006E0285">
            <w:pPr>
              <w:jc w:val="left"/>
              <w:rPr>
                <w:rFonts w:ascii="Times New Roman" w:hAnsi="Times New Roman" w:cs="Times New Roman"/>
                <w:color w:val="000000" w:themeColor="text1"/>
                <w:sz w:val="20"/>
                <w:szCs w:val="20"/>
                <w:u w:val="single"/>
              </w:rPr>
            </w:pPr>
            <w:r w:rsidRPr="0066102E">
              <w:rPr>
                <w:rFonts w:ascii="Times New Roman" w:hAnsi="Times New Roman" w:cs="Times New Roman"/>
                <w:color w:val="000000" w:themeColor="text1"/>
                <w:sz w:val="20"/>
                <w:szCs w:val="20"/>
                <w:u w:val="single"/>
              </w:rPr>
              <w:t xml:space="preserve">Zespół Zarządzania </w:t>
            </w:r>
            <w:proofErr w:type="spellStart"/>
            <w:r w:rsidRPr="0066102E">
              <w:rPr>
                <w:rFonts w:ascii="Times New Roman" w:hAnsi="Times New Roman" w:cs="Times New Roman"/>
                <w:color w:val="000000" w:themeColor="text1"/>
                <w:sz w:val="20"/>
                <w:szCs w:val="20"/>
                <w:u w:val="single"/>
              </w:rPr>
              <w:t>Ryzykami</w:t>
            </w:r>
            <w:proofErr w:type="spellEnd"/>
          </w:p>
        </w:tc>
        <w:tc>
          <w:tcPr>
            <w:tcW w:w="7086" w:type="dxa"/>
          </w:tcPr>
          <w:p w14:paraId="0F660B83" w14:textId="77777777" w:rsidR="00BE6B81" w:rsidRPr="0066102E" w:rsidRDefault="00ED1D61" w:rsidP="00BE6B81">
            <w:pPr>
              <w:pStyle w:val="Akapitpodstawowy"/>
              <w:numPr>
                <w:ilvl w:val="0"/>
                <w:numId w:val="0"/>
              </w:numPr>
              <w:spacing w:after="0"/>
              <w:ind w:left="346" w:hanging="283"/>
              <w:rPr>
                <w:color w:val="000000" w:themeColor="text1"/>
                <w:sz w:val="20"/>
                <w:szCs w:val="20"/>
              </w:rPr>
            </w:pPr>
            <w:r w:rsidRPr="0066102E">
              <w:rPr>
                <w:color w:val="000000" w:themeColor="text1"/>
                <w:sz w:val="20"/>
                <w:szCs w:val="20"/>
              </w:rPr>
              <w:t xml:space="preserve">1)  </w:t>
            </w:r>
            <w:r w:rsidR="00BE6B81" w:rsidRPr="0066102E">
              <w:rPr>
                <w:color w:val="000000" w:themeColor="text1"/>
                <w:sz w:val="20"/>
                <w:szCs w:val="20"/>
              </w:rPr>
              <w:t>Projektuje założenia do określania spójnej z apetytem na ryzyko Banku tolerancji ryzyka płynności oraz przedstawia propozycje norm ostrożnościowych ograniczających ekspozycję Banku na  ryzyko płynności;</w:t>
            </w:r>
          </w:p>
          <w:p w14:paraId="58D454AA" w14:textId="77777777" w:rsidR="00BE6B81" w:rsidRPr="0066102E" w:rsidRDefault="00BE6B81" w:rsidP="00BE6B81">
            <w:pPr>
              <w:pStyle w:val="Akapit-ab"/>
              <w:numPr>
                <w:ilvl w:val="0"/>
                <w:numId w:val="0"/>
              </w:numPr>
              <w:ind w:left="346" w:hanging="283"/>
              <w:rPr>
                <w:color w:val="000000" w:themeColor="text1"/>
                <w:sz w:val="20"/>
                <w:szCs w:val="20"/>
              </w:rPr>
            </w:pPr>
            <w:r w:rsidRPr="0066102E">
              <w:rPr>
                <w:color w:val="000000" w:themeColor="text1"/>
                <w:sz w:val="20"/>
                <w:szCs w:val="20"/>
              </w:rPr>
              <w:t>2) dokonuje pomiaru ryzyka płynności wraz z określeniem narzędzi pomiaru ryzyka płynności;</w:t>
            </w:r>
          </w:p>
          <w:p w14:paraId="64C0E0D0" w14:textId="77777777" w:rsidR="00BE6B81" w:rsidRPr="0066102E" w:rsidRDefault="00BE6B81" w:rsidP="003B3DA4">
            <w:pPr>
              <w:pStyle w:val="Akapit-ab"/>
              <w:numPr>
                <w:ilvl w:val="0"/>
                <w:numId w:val="60"/>
              </w:numPr>
              <w:ind w:left="346" w:hanging="283"/>
              <w:rPr>
                <w:color w:val="000000" w:themeColor="text1"/>
                <w:sz w:val="20"/>
                <w:szCs w:val="20"/>
              </w:rPr>
            </w:pPr>
            <w:r w:rsidRPr="0066102E">
              <w:rPr>
                <w:color w:val="000000" w:themeColor="text1"/>
                <w:sz w:val="20"/>
                <w:szCs w:val="20"/>
              </w:rPr>
              <w:t xml:space="preserve"> określa pozycję w zakresie ryzyka płynności dla:</w:t>
            </w:r>
          </w:p>
          <w:p w14:paraId="567D6A59" w14:textId="77777777" w:rsidR="00BE6B81" w:rsidRPr="0066102E" w:rsidRDefault="00BE6B81" w:rsidP="003B3DA4">
            <w:pPr>
              <w:pStyle w:val="Akapit-ab"/>
              <w:numPr>
                <w:ilvl w:val="0"/>
                <w:numId w:val="87"/>
              </w:numPr>
              <w:rPr>
                <w:color w:val="000000" w:themeColor="text1"/>
                <w:sz w:val="20"/>
                <w:szCs w:val="20"/>
              </w:rPr>
            </w:pPr>
            <w:r w:rsidRPr="0066102E">
              <w:rPr>
                <w:color w:val="000000" w:themeColor="text1"/>
                <w:sz w:val="20"/>
                <w:szCs w:val="20"/>
              </w:rPr>
              <w:t>przyszłych przepływów pieniężnych z tytułu aktywów i pasywów,</w:t>
            </w:r>
          </w:p>
          <w:p w14:paraId="2465A98E" w14:textId="77777777" w:rsidR="00BE6B81" w:rsidRPr="0066102E" w:rsidRDefault="00BE6B81" w:rsidP="003B3DA4">
            <w:pPr>
              <w:pStyle w:val="Akapit-ab"/>
              <w:numPr>
                <w:ilvl w:val="0"/>
                <w:numId w:val="87"/>
              </w:numPr>
              <w:rPr>
                <w:color w:val="000000" w:themeColor="text1"/>
                <w:sz w:val="20"/>
                <w:szCs w:val="20"/>
              </w:rPr>
            </w:pPr>
            <w:r w:rsidRPr="0066102E">
              <w:rPr>
                <w:color w:val="000000" w:themeColor="text1"/>
                <w:sz w:val="20"/>
                <w:szCs w:val="20"/>
              </w:rPr>
              <w:lastRenderedPageBreak/>
              <w:t>źródeł ryzyka nieoczekiwanego zapotrzebowania na płynność  i wartości progowych związanych z pozycjami pozabilansowymi,</w:t>
            </w:r>
          </w:p>
          <w:p w14:paraId="6B268287" w14:textId="77777777" w:rsidR="00BE6B81" w:rsidRPr="0066102E" w:rsidRDefault="00BE6B81" w:rsidP="003B3DA4">
            <w:pPr>
              <w:pStyle w:val="Akapit-ab"/>
              <w:numPr>
                <w:ilvl w:val="0"/>
                <w:numId w:val="87"/>
              </w:numPr>
              <w:rPr>
                <w:color w:val="000000" w:themeColor="text1"/>
                <w:sz w:val="20"/>
                <w:szCs w:val="20"/>
              </w:rPr>
            </w:pPr>
            <w:r w:rsidRPr="0066102E">
              <w:rPr>
                <w:color w:val="000000" w:themeColor="text1"/>
                <w:sz w:val="20"/>
                <w:szCs w:val="20"/>
              </w:rPr>
              <w:t>walut, w których Bank prowadzi działalność;</w:t>
            </w:r>
          </w:p>
          <w:p w14:paraId="3F6A5BFF" w14:textId="77777777" w:rsidR="00BE6B81" w:rsidRPr="0066102E" w:rsidRDefault="00BE6B81" w:rsidP="003B3DA4">
            <w:pPr>
              <w:pStyle w:val="Akapit-ab"/>
              <w:numPr>
                <w:ilvl w:val="0"/>
                <w:numId w:val="60"/>
              </w:numPr>
              <w:ind w:left="346" w:hanging="283"/>
              <w:rPr>
                <w:color w:val="000000" w:themeColor="text1"/>
                <w:sz w:val="20"/>
                <w:szCs w:val="20"/>
              </w:rPr>
            </w:pPr>
            <w:r w:rsidRPr="0066102E">
              <w:rPr>
                <w:color w:val="000000" w:themeColor="text1"/>
                <w:sz w:val="20"/>
                <w:szCs w:val="20"/>
              </w:rPr>
              <w:t>monitoruje i kontroluje ekspozycję na ryzyko płynności i zapotrzebowanie na finansowanie oraz kontroluje przestrzeganie obowiązujących limitów;</w:t>
            </w:r>
          </w:p>
          <w:p w14:paraId="6E580F4A" w14:textId="77777777" w:rsidR="00BE6B81" w:rsidRPr="0066102E" w:rsidRDefault="00BE6B81" w:rsidP="003B3DA4">
            <w:pPr>
              <w:pStyle w:val="Akapit-ab"/>
              <w:numPr>
                <w:ilvl w:val="0"/>
                <w:numId w:val="60"/>
              </w:numPr>
              <w:ind w:left="346" w:hanging="283"/>
              <w:rPr>
                <w:color w:val="000000" w:themeColor="text1"/>
                <w:sz w:val="20"/>
                <w:szCs w:val="20"/>
              </w:rPr>
            </w:pPr>
            <w:r w:rsidRPr="0066102E">
              <w:rPr>
                <w:color w:val="000000" w:themeColor="text1"/>
                <w:sz w:val="20"/>
                <w:szCs w:val="20"/>
              </w:rPr>
              <w:t>sporządza sprawozdawczość o poziomie ryzyka płynności Banku, w tym raporty dla Zarządu, Komitetu Audytu i Rady Nadzorczej;</w:t>
            </w:r>
          </w:p>
          <w:p w14:paraId="434F78ED" w14:textId="77777777" w:rsidR="00BE6B81" w:rsidRPr="0066102E" w:rsidRDefault="00BE6B81" w:rsidP="003B3DA4">
            <w:pPr>
              <w:pStyle w:val="Akapit-ab"/>
              <w:numPr>
                <w:ilvl w:val="0"/>
                <w:numId w:val="60"/>
              </w:numPr>
              <w:ind w:left="346" w:hanging="283"/>
              <w:rPr>
                <w:color w:val="000000" w:themeColor="text1"/>
                <w:sz w:val="20"/>
                <w:szCs w:val="20"/>
              </w:rPr>
            </w:pPr>
            <w:r w:rsidRPr="0066102E">
              <w:rPr>
                <w:color w:val="000000" w:themeColor="text1"/>
                <w:sz w:val="20"/>
                <w:szCs w:val="20"/>
              </w:rPr>
              <w:t>projektuje założenia do testów warunków skrajnych;</w:t>
            </w:r>
          </w:p>
          <w:p w14:paraId="5ADEFD6E" w14:textId="77777777" w:rsidR="00BE6B81" w:rsidRPr="0066102E" w:rsidRDefault="00BE6B81" w:rsidP="003B3DA4">
            <w:pPr>
              <w:pStyle w:val="Akapit-ab"/>
              <w:numPr>
                <w:ilvl w:val="0"/>
                <w:numId w:val="60"/>
              </w:numPr>
              <w:ind w:left="346" w:hanging="283"/>
              <w:rPr>
                <w:color w:val="000000" w:themeColor="text1"/>
                <w:sz w:val="20"/>
                <w:szCs w:val="20"/>
              </w:rPr>
            </w:pPr>
            <w:r w:rsidRPr="0066102E">
              <w:rPr>
                <w:color w:val="000000" w:themeColor="text1"/>
                <w:sz w:val="20"/>
                <w:szCs w:val="20"/>
              </w:rPr>
              <w:t>przeprowadza i sprawozdaje testy warunków skrajnych w zakresie ryzyka płynności;</w:t>
            </w:r>
          </w:p>
          <w:p w14:paraId="37AD3CED" w14:textId="77777777" w:rsidR="00BE6B81" w:rsidRPr="0066102E" w:rsidRDefault="00BE6B81" w:rsidP="003B3DA4">
            <w:pPr>
              <w:pStyle w:val="Akapit-ab"/>
              <w:numPr>
                <w:ilvl w:val="0"/>
                <w:numId w:val="60"/>
              </w:numPr>
              <w:ind w:left="346" w:hanging="283"/>
              <w:rPr>
                <w:color w:val="000000" w:themeColor="text1"/>
                <w:sz w:val="20"/>
                <w:szCs w:val="20"/>
              </w:rPr>
            </w:pPr>
            <w:r w:rsidRPr="0066102E">
              <w:rPr>
                <w:color w:val="000000" w:themeColor="text1"/>
                <w:sz w:val="20"/>
                <w:szCs w:val="20"/>
              </w:rPr>
              <w:t>dokonuje przeglądów testów warunków skrajnych;</w:t>
            </w:r>
          </w:p>
          <w:p w14:paraId="0C073362" w14:textId="77777777" w:rsidR="00BE6B81" w:rsidRPr="0066102E" w:rsidRDefault="00BE6B81" w:rsidP="003B3DA4">
            <w:pPr>
              <w:pStyle w:val="Akapitpodstawowy"/>
              <w:numPr>
                <w:ilvl w:val="0"/>
                <w:numId w:val="60"/>
              </w:numPr>
              <w:tabs>
                <w:tab w:val="clear" w:pos="3842"/>
              </w:tabs>
              <w:spacing w:after="0"/>
              <w:ind w:left="346" w:hanging="283"/>
              <w:rPr>
                <w:color w:val="000000" w:themeColor="text1"/>
                <w:sz w:val="20"/>
                <w:szCs w:val="20"/>
              </w:rPr>
            </w:pPr>
            <w:r w:rsidRPr="0066102E">
              <w:rPr>
                <w:color w:val="000000" w:themeColor="text1"/>
                <w:sz w:val="20"/>
                <w:szCs w:val="20"/>
              </w:rPr>
              <w:t>przygotowuje procedury zarządzania ryzykiem płynności, w tym zasady jego pomiaru, raportowania, limitowania i kontroli oraz zasady przeprowadzania testów warunków skrajnych;</w:t>
            </w:r>
          </w:p>
          <w:p w14:paraId="0B4ADD91" w14:textId="77777777" w:rsidR="00BE6B81" w:rsidRPr="0066102E" w:rsidRDefault="00BE6B81" w:rsidP="003B3DA4">
            <w:pPr>
              <w:pStyle w:val="Akapitpodstawowy"/>
              <w:numPr>
                <w:ilvl w:val="0"/>
                <w:numId w:val="60"/>
              </w:numPr>
              <w:tabs>
                <w:tab w:val="clear" w:pos="3842"/>
              </w:tabs>
              <w:spacing w:after="0"/>
              <w:ind w:left="317" w:hanging="283"/>
              <w:rPr>
                <w:color w:val="000000" w:themeColor="text1"/>
                <w:sz w:val="20"/>
                <w:szCs w:val="20"/>
              </w:rPr>
            </w:pPr>
            <w:r w:rsidRPr="0066102E">
              <w:rPr>
                <w:color w:val="000000" w:themeColor="text1"/>
                <w:sz w:val="20"/>
                <w:szCs w:val="20"/>
              </w:rPr>
              <w:t>opracowuje / aktualizuje plan awaryjny utrzymania płynności finansowej Banku;</w:t>
            </w:r>
          </w:p>
          <w:p w14:paraId="662ECA67" w14:textId="77777777" w:rsidR="00BE6B81" w:rsidRPr="0066102E" w:rsidRDefault="00BE6B81" w:rsidP="003B3DA4">
            <w:pPr>
              <w:pStyle w:val="Akapitpodstawowy"/>
              <w:numPr>
                <w:ilvl w:val="0"/>
                <w:numId w:val="60"/>
              </w:numPr>
              <w:tabs>
                <w:tab w:val="clear" w:pos="3842"/>
                <w:tab w:val="left" w:pos="317"/>
              </w:tabs>
              <w:spacing w:after="0"/>
              <w:ind w:left="317" w:hanging="283"/>
              <w:rPr>
                <w:color w:val="000000" w:themeColor="text1"/>
                <w:sz w:val="20"/>
                <w:szCs w:val="20"/>
              </w:rPr>
            </w:pPr>
            <w:r w:rsidRPr="0066102E">
              <w:rPr>
                <w:color w:val="000000" w:themeColor="text1"/>
                <w:sz w:val="20"/>
                <w:szCs w:val="20"/>
              </w:rPr>
              <w:t>dokonuje codziennego (w każdym dniu sprawozdawczym określonym przepisami) wyznaczania nadzorczych miar płynności (wymogów płynności) zgodnie z Rozporządzeniem Parlamentu i Komisji (UE) nr 575/2013, Rozporządzeniem Komisji (UE), a także innymi przepisami prawa w zakresie płynności i ich udokumentowania;</w:t>
            </w:r>
          </w:p>
          <w:p w14:paraId="7C8B75BC" w14:textId="2C17BEE4" w:rsidR="003B48C6" w:rsidRPr="0066102E" w:rsidRDefault="00BE6B81" w:rsidP="003B3DA4">
            <w:pPr>
              <w:pStyle w:val="Akapitpodstawowy"/>
              <w:numPr>
                <w:ilvl w:val="0"/>
                <w:numId w:val="60"/>
              </w:numPr>
              <w:tabs>
                <w:tab w:val="clear" w:pos="3842"/>
                <w:tab w:val="left" w:pos="317"/>
              </w:tabs>
              <w:spacing w:after="0"/>
              <w:ind w:left="600" w:hanging="567"/>
              <w:rPr>
                <w:color w:val="000000" w:themeColor="text1"/>
                <w:sz w:val="20"/>
                <w:szCs w:val="20"/>
              </w:rPr>
            </w:pPr>
            <w:r w:rsidRPr="0066102E">
              <w:rPr>
                <w:color w:val="000000" w:themeColor="text1"/>
                <w:sz w:val="20"/>
                <w:szCs w:val="20"/>
              </w:rPr>
              <w:t>opracowuje projekt polityki bazy depozytowej.</w:t>
            </w:r>
          </w:p>
        </w:tc>
      </w:tr>
      <w:tr w:rsidR="0066102E" w:rsidRPr="0066102E" w14:paraId="21ECD5D4" w14:textId="77777777" w:rsidTr="003B48C6">
        <w:tc>
          <w:tcPr>
            <w:tcW w:w="2581" w:type="dxa"/>
            <w:tcBorders>
              <w:top w:val="single" w:sz="4" w:space="0" w:color="auto"/>
              <w:left w:val="single" w:sz="4" w:space="0" w:color="auto"/>
              <w:bottom w:val="single" w:sz="4" w:space="0" w:color="auto"/>
              <w:right w:val="single" w:sz="4" w:space="0" w:color="auto"/>
            </w:tcBorders>
          </w:tcPr>
          <w:p w14:paraId="1D66314E" w14:textId="71170EA7" w:rsidR="002D7509" w:rsidRPr="0066102E" w:rsidRDefault="002D7509" w:rsidP="002D7509">
            <w:pPr>
              <w:rPr>
                <w:rFonts w:ascii="Times New Roman" w:hAnsi="Times New Roman" w:cs="Times New Roman"/>
                <w:color w:val="000000" w:themeColor="text1"/>
                <w:sz w:val="20"/>
                <w:szCs w:val="20"/>
                <w:u w:val="single"/>
              </w:rPr>
            </w:pPr>
            <w:r w:rsidRPr="0066102E">
              <w:rPr>
                <w:rFonts w:ascii="Times New Roman" w:hAnsi="Times New Roman" w:cs="Times New Roman"/>
                <w:color w:val="000000" w:themeColor="text1"/>
                <w:sz w:val="20"/>
                <w:szCs w:val="20"/>
              </w:rPr>
              <w:lastRenderedPageBreak/>
              <w:t xml:space="preserve">Dyrektor Zespołu Skarbu </w:t>
            </w:r>
          </w:p>
        </w:tc>
        <w:tc>
          <w:tcPr>
            <w:tcW w:w="7086" w:type="dxa"/>
            <w:tcBorders>
              <w:top w:val="single" w:sz="4" w:space="0" w:color="auto"/>
              <w:left w:val="single" w:sz="4" w:space="0" w:color="auto"/>
              <w:bottom w:val="single" w:sz="4" w:space="0" w:color="auto"/>
              <w:right w:val="single" w:sz="4" w:space="0" w:color="auto"/>
            </w:tcBorders>
          </w:tcPr>
          <w:p w14:paraId="6D77A474" w14:textId="7E0A874D" w:rsidR="002D7509" w:rsidRPr="0066102E" w:rsidRDefault="008F5F36" w:rsidP="008F5F36">
            <w:pPr>
              <w:spacing w:after="0" w:line="240" w:lineRule="auto"/>
              <w:ind w:right="0"/>
              <w:jc w:val="left"/>
              <w:rPr>
                <w:rFonts w:ascii="Times New Roman" w:eastAsia="Times New Roman" w:hAnsi="Times New Roman" w:cs="Times New Roman"/>
                <w:color w:val="000000" w:themeColor="text1"/>
                <w:sz w:val="20"/>
                <w:szCs w:val="20"/>
              </w:rPr>
            </w:pPr>
            <w:r w:rsidRPr="0066102E">
              <w:rPr>
                <w:rFonts w:ascii="Times New Roman" w:hAnsi="Times New Roman" w:cs="Times New Roman"/>
                <w:color w:val="000000" w:themeColor="text1"/>
                <w:sz w:val="20"/>
                <w:szCs w:val="20"/>
              </w:rPr>
              <w:t>W ramach posiadanych kompetencji  podejmuje decyzje dotyczące transakcji depozytowych, lokacyjnych na zasadach międzybankowego rynku pieniężnego w złotych i walutach.</w:t>
            </w:r>
          </w:p>
        </w:tc>
      </w:tr>
      <w:tr w:rsidR="0066102E" w:rsidRPr="0066102E" w14:paraId="68F7879F" w14:textId="77777777" w:rsidTr="003B48C6">
        <w:tc>
          <w:tcPr>
            <w:tcW w:w="2581" w:type="dxa"/>
            <w:tcBorders>
              <w:top w:val="single" w:sz="4" w:space="0" w:color="auto"/>
              <w:left w:val="single" w:sz="4" w:space="0" w:color="auto"/>
              <w:bottom w:val="single" w:sz="4" w:space="0" w:color="auto"/>
              <w:right w:val="single" w:sz="4" w:space="0" w:color="auto"/>
            </w:tcBorders>
          </w:tcPr>
          <w:p w14:paraId="7C4DE2C1" w14:textId="60C578E4" w:rsidR="002D7509" w:rsidRPr="0066102E" w:rsidRDefault="002D7509" w:rsidP="002D7509">
            <w:pPr>
              <w:rPr>
                <w:rFonts w:ascii="Times New Roman" w:hAnsi="Times New Roman" w:cs="Times New Roman"/>
                <w:color w:val="000000" w:themeColor="text1"/>
                <w:sz w:val="20"/>
                <w:szCs w:val="20"/>
              </w:rPr>
            </w:pPr>
            <w:r w:rsidRPr="0066102E">
              <w:rPr>
                <w:rFonts w:ascii="Times New Roman" w:hAnsi="Times New Roman" w:cs="Times New Roman"/>
                <w:color w:val="000000" w:themeColor="text1"/>
                <w:sz w:val="20"/>
                <w:szCs w:val="20"/>
              </w:rPr>
              <w:t>Zespół Skarbu</w:t>
            </w:r>
          </w:p>
        </w:tc>
        <w:tc>
          <w:tcPr>
            <w:tcW w:w="7086" w:type="dxa"/>
            <w:tcBorders>
              <w:top w:val="single" w:sz="4" w:space="0" w:color="auto"/>
              <w:left w:val="single" w:sz="4" w:space="0" w:color="auto"/>
              <w:bottom w:val="single" w:sz="4" w:space="0" w:color="auto"/>
              <w:right w:val="single" w:sz="4" w:space="0" w:color="auto"/>
            </w:tcBorders>
          </w:tcPr>
          <w:p w14:paraId="0F5A987C" w14:textId="46A25C59" w:rsidR="008F5F36" w:rsidRPr="0066102E" w:rsidRDefault="008F5F36" w:rsidP="003B3DA4">
            <w:pPr>
              <w:pStyle w:val="Akapitzlist"/>
              <w:numPr>
                <w:ilvl w:val="3"/>
                <w:numId w:val="88"/>
              </w:numPr>
              <w:tabs>
                <w:tab w:val="clear" w:pos="2880"/>
              </w:tabs>
              <w:spacing w:line="276" w:lineRule="auto"/>
              <w:ind w:left="317" w:hanging="284"/>
              <w:rPr>
                <w:rFonts w:eastAsia="Calibri"/>
                <w:color w:val="000000" w:themeColor="text1"/>
                <w:lang w:eastAsia="en-US"/>
              </w:rPr>
            </w:pPr>
            <w:r w:rsidRPr="0066102E">
              <w:rPr>
                <w:color w:val="000000" w:themeColor="text1"/>
              </w:rPr>
              <w:t xml:space="preserve">Opracowuje, we współpracy z innymi komórkami organizacyjnymi Banku, regulacje wewnętrzne dotyczące inwestycji finansowych w tym : obrotu papierami wartościowymi, lokatami terminowymi, operacjami walutowymi oraz kasowością i zarzadzania gotówką w Banku; </w:t>
            </w:r>
          </w:p>
          <w:p w14:paraId="21988638" w14:textId="77777777" w:rsidR="008F5F36" w:rsidRPr="0066102E" w:rsidRDefault="008F5F36" w:rsidP="003B3DA4">
            <w:pPr>
              <w:numPr>
                <w:ilvl w:val="3"/>
                <w:numId w:val="88"/>
              </w:numPr>
              <w:tabs>
                <w:tab w:val="clear" w:pos="2880"/>
                <w:tab w:val="num" w:pos="742"/>
              </w:tabs>
              <w:spacing w:after="0" w:line="276" w:lineRule="auto"/>
              <w:ind w:left="317" w:right="0" w:hanging="284"/>
              <w:jc w:val="left"/>
              <w:rPr>
                <w:rFonts w:ascii="Times New Roman" w:hAnsi="Times New Roman" w:cs="Times New Roman"/>
                <w:color w:val="000000" w:themeColor="text1"/>
                <w:sz w:val="20"/>
                <w:szCs w:val="20"/>
                <w:lang w:eastAsia="en-US"/>
              </w:rPr>
            </w:pPr>
            <w:r w:rsidRPr="0066102E">
              <w:rPr>
                <w:rFonts w:ascii="Times New Roman" w:hAnsi="Times New Roman" w:cs="Times New Roman"/>
                <w:color w:val="000000" w:themeColor="text1"/>
                <w:sz w:val="20"/>
                <w:szCs w:val="20"/>
              </w:rPr>
              <w:t>zarządza poziomem rezerwy obowiązkowej, w tym nalicza i reguluje rezerwę obowiązkową;</w:t>
            </w:r>
          </w:p>
          <w:p w14:paraId="7361DC85" w14:textId="77777777" w:rsidR="008F5F36" w:rsidRPr="0066102E" w:rsidRDefault="008F5F36" w:rsidP="003B3DA4">
            <w:pPr>
              <w:numPr>
                <w:ilvl w:val="3"/>
                <w:numId w:val="88"/>
              </w:numPr>
              <w:tabs>
                <w:tab w:val="clear" w:pos="2880"/>
                <w:tab w:val="num" w:pos="742"/>
              </w:tabs>
              <w:spacing w:after="0" w:line="276" w:lineRule="auto"/>
              <w:ind w:left="317" w:right="0" w:hanging="284"/>
              <w:jc w:val="left"/>
              <w:rPr>
                <w:rFonts w:ascii="Times New Roman" w:hAnsi="Times New Roman" w:cs="Times New Roman"/>
                <w:color w:val="000000" w:themeColor="text1"/>
                <w:sz w:val="20"/>
                <w:szCs w:val="20"/>
                <w:lang w:eastAsia="en-US"/>
              </w:rPr>
            </w:pPr>
            <w:r w:rsidRPr="0066102E">
              <w:rPr>
                <w:rFonts w:ascii="Times New Roman" w:hAnsi="Times New Roman" w:cs="Times New Roman"/>
                <w:color w:val="000000" w:themeColor="text1"/>
                <w:sz w:val="20"/>
                <w:szCs w:val="20"/>
              </w:rPr>
              <w:t>bieżąco zarządza ryzykiem płynności, zgodnie z obowiązującymi przepisami i limitami, poprzez operacje rynku pieniężnego, walutowego oraz kapitałowego;</w:t>
            </w:r>
          </w:p>
          <w:p w14:paraId="0C55D3C7" w14:textId="77777777" w:rsidR="008F5F36" w:rsidRPr="0066102E" w:rsidRDefault="008F5F36" w:rsidP="003B3DA4">
            <w:pPr>
              <w:numPr>
                <w:ilvl w:val="3"/>
                <w:numId w:val="88"/>
              </w:numPr>
              <w:tabs>
                <w:tab w:val="clear" w:pos="2880"/>
                <w:tab w:val="num" w:pos="742"/>
              </w:tabs>
              <w:spacing w:after="0" w:line="276" w:lineRule="auto"/>
              <w:ind w:left="317" w:right="0" w:hanging="284"/>
              <w:jc w:val="left"/>
              <w:rPr>
                <w:rFonts w:ascii="Times New Roman" w:hAnsi="Times New Roman" w:cs="Times New Roman"/>
                <w:color w:val="000000" w:themeColor="text1"/>
                <w:sz w:val="20"/>
                <w:szCs w:val="20"/>
                <w:lang w:eastAsia="en-US"/>
              </w:rPr>
            </w:pPr>
            <w:r w:rsidRPr="0066102E">
              <w:rPr>
                <w:rFonts w:ascii="Times New Roman" w:hAnsi="Times New Roman" w:cs="Times New Roman"/>
                <w:color w:val="000000" w:themeColor="text1"/>
                <w:sz w:val="20"/>
                <w:szCs w:val="20"/>
                <w:lang w:eastAsia="en-US"/>
              </w:rPr>
              <w:t xml:space="preserve">monitoruje rachunki </w:t>
            </w:r>
            <w:proofErr w:type="spellStart"/>
            <w:r w:rsidRPr="0066102E">
              <w:rPr>
                <w:rFonts w:ascii="Times New Roman" w:hAnsi="Times New Roman" w:cs="Times New Roman"/>
                <w:color w:val="000000" w:themeColor="text1"/>
                <w:sz w:val="20"/>
                <w:szCs w:val="20"/>
                <w:lang w:eastAsia="en-US"/>
              </w:rPr>
              <w:t>nostro</w:t>
            </w:r>
            <w:proofErr w:type="spellEnd"/>
            <w:r w:rsidRPr="0066102E">
              <w:rPr>
                <w:rFonts w:ascii="Times New Roman" w:hAnsi="Times New Roman" w:cs="Times New Roman"/>
                <w:color w:val="000000" w:themeColor="text1"/>
                <w:sz w:val="20"/>
                <w:szCs w:val="20"/>
                <w:lang w:eastAsia="en-US"/>
              </w:rPr>
              <w:t>;</w:t>
            </w:r>
          </w:p>
          <w:p w14:paraId="53AA3DB4" w14:textId="77777777" w:rsidR="008F5F36" w:rsidRPr="0066102E" w:rsidRDefault="008F5F36" w:rsidP="003B3DA4">
            <w:pPr>
              <w:numPr>
                <w:ilvl w:val="3"/>
                <w:numId w:val="88"/>
              </w:numPr>
              <w:tabs>
                <w:tab w:val="clear" w:pos="2880"/>
                <w:tab w:val="num" w:pos="742"/>
              </w:tabs>
              <w:spacing w:after="0" w:line="276" w:lineRule="auto"/>
              <w:ind w:left="317" w:right="0" w:hanging="284"/>
              <w:jc w:val="left"/>
              <w:rPr>
                <w:rFonts w:ascii="Times New Roman" w:hAnsi="Times New Roman" w:cs="Times New Roman"/>
                <w:color w:val="000000" w:themeColor="text1"/>
                <w:sz w:val="20"/>
                <w:szCs w:val="20"/>
                <w:lang w:eastAsia="en-US"/>
              </w:rPr>
            </w:pPr>
            <w:r w:rsidRPr="0066102E">
              <w:rPr>
                <w:rFonts w:ascii="Times New Roman" w:hAnsi="Times New Roman" w:cs="Times New Roman"/>
                <w:color w:val="000000" w:themeColor="text1"/>
                <w:sz w:val="20"/>
                <w:szCs w:val="20"/>
              </w:rPr>
              <w:t xml:space="preserve">efektywnie gospodaruje bezgotówkowymi nadwyżkami i niedoborami płynności, zawiera transakcje na międzybankowym rynku pieniężnym i papierów wartościowych w ramach zawartych umów oraz poszukuje i analizuje alternatywne źródła finansowania niedoborów i inwestuje nadwyżki środków oraz podejmuje decyzje w tym zakresie w ramach posiadanych pełnomocnictw; </w:t>
            </w:r>
          </w:p>
          <w:p w14:paraId="450DF603" w14:textId="77777777" w:rsidR="008F5F36" w:rsidRPr="0066102E" w:rsidRDefault="008F5F36" w:rsidP="003B3DA4">
            <w:pPr>
              <w:numPr>
                <w:ilvl w:val="3"/>
                <w:numId w:val="88"/>
              </w:numPr>
              <w:tabs>
                <w:tab w:val="clear" w:pos="2880"/>
                <w:tab w:val="num" w:pos="742"/>
              </w:tabs>
              <w:spacing w:after="0" w:line="276" w:lineRule="auto"/>
              <w:ind w:left="317" w:right="0" w:hanging="284"/>
              <w:jc w:val="left"/>
              <w:rPr>
                <w:rFonts w:ascii="Times New Roman" w:hAnsi="Times New Roman" w:cs="Times New Roman"/>
                <w:color w:val="000000" w:themeColor="text1"/>
                <w:sz w:val="20"/>
                <w:szCs w:val="20"/>
                <w:lang w:eastAsia="en-US"/>
              </w:rPr>
            </w:pPr>
            <w:r w:rsidRPr="0066102E">
              <w:rPr>
                <w:rFonts w:ascii="Times New Roman" w:hAnsi="Times New Roman" w:cs="Times New Roman"/>
                <w:color w:val="000000" w:themeColor="text1"/>
                <w:sz w:val="20"/>
                <w:szCs w:val="20"/>
              </w:rPr>
              <w:t>ustala indywidualne warunki przyjmowania lokat walutowych;</w:t>
            </w:r>
          </w:p>
          <w:p w14:paraId="43A39FD7" w14:textId="77777777" w:rsidR="008F5F36" w:rsidRPr="0066102E" w:rsidRDefault="008F5F36" w:rsidP="003B3DA4">
            <w:pPr>
              <w:numPr>
                <w:ilvl w:val="3"/>
                <w:numId w:val="88"/>
              </w:numPr>
              <w:tabs>
                <w:tab w:val="clear" w:pos="2880"/>
                <w:tab w:val="num" w:pos="742"/>
              </w:tabs>
              <w:spacing w:after="0" w:line="276" w:lineRule="auto"/>
              <w:ind w:left="317" w:right="0" w:hanging="284"/>
              <w:jc w:val="left"/>
              <w:rPr>
                <w:rFonts w:ascii="Times New Roman" w:hAnsi="Times New Roman" w:cs="Times New Roman"/>
                <w:color w:val="000000" w:themeColor="text1"/>
                <w:sz w:val="20"/>
                <w:szCs w:val="20"/>
                <w:lang w:eastAsia="en-US"/>
              </w:rPr>
            </w:pPr>
            <w:r w:rsidRPr="0066102E">
              <w:rPr>
                <w:rFonts w:ascii="Times New Roman" w:hAnsi="Times New Roman" w:cs="Times New Roman"/>
                <w:color w:val="000000" w:themeColor="text1"/>
                <w:sz w:val="20"/>
                <w:szCs w:val="20"/>
              </w:rPr>
              <w:t>prowadzi rejestry transakcji instrumentami rynku pieniężnego, kapitałowego oraz transakcji walutowych;</w:t>
            </w:r>
          </w:p>
          <w:p w14:paraId="7737D145" w14:textId="77777777" w:rsidR="008F5F36" w:rsidRPr="0066102E" w:rsidRDefault="008F5F36" w:rsidP="003B3DA4">
            <w:pPr>
              <w:numPr>
                <w:ilvl w:val="3"/>
                <w:numId w:val="88"/>
              </w:numPr>
              <w:tabs>
                <w:tab w:val="clear" w:pos="2880"/>
                <w:tab w:val="num" w:pos="742"/>
              </w:tabs>
              <w:spacing w:after="0" w:line="276" w:lineRule="auto"/>
              <w:ind w:left="317" w:right="0" w:hanging="284"/>
              <w:jc w:val="left"/>
              <w:rPr>
                <w:rFonts w:ascii="Times New Roman" w:hAnsi="Times New Roman" w:cs="Times New Roman"/>
                <w:color w:val="000000" w:themeColor="text1"/>
                <w:sz w:val="20"/>
                <w:szCs w:val="20"/>
                <w:lang w:eastAsia="en-US"/>
              </w:rPr>
            </w:pPr>
            <w:r w:rsidRPr="0066102E">
              <w:rPr>
                <w:rFonts w:ascii="Times New Roman" w:hAnsi="Times New Roman" w:cs="Times New Roman"/>
                <w:color w:val="000000" w:themeColor="text1"/>
                <w:sz w:val="20"/>
                <w:szCs w:val="20"/>
              </w:rPr>
              <w:t>prowadzi rejestry lokat i depozytów;</w:t>
            </w:r>
          </w:p>
          <w:p w14:paraId="33643FED" w14:textId="77777777" w:rsidR="008F5F36" w:rsidRPr="0066102E" w:rsidRDefault="008F5F36" w:rsidP="003B3DA4">
            <w:pPr>
              <w:numPr>
                <w:ilvl w:val="3"/>
                <w:numId w:val="88"/>
              </w:numPr>
              <w:tabs>
                <w:tab w:val="clear" w:pos="2880"/>
                <w:tab w:val="num" w:pos="742"/>
              </w:tabs>
              <w:spacing w:after="0" w:line="276" w:lineRule="auto"/>
              <w:ind w:left="317" w:right="0" w:hanging="284"/>
              <w:jc w:val="left"/>
              <w:rPr>
                <w:rFonts w:ascii="Times New Roman" w:hAnsi="Times New Roman" w:cs="Times New Roman"/>
                <w:color w:val="000000" w:themeColor="text1"/>
                <w:sz w:val="20"/>
                <w:szCs w:val="20"/>
                <w:lang w:eastAsia="en-US"/>
              </w:rPr>
            </w:pPr>
            <w:r w:rsidRPr="0066102E">
              <w:rPr>
                <w:rFonts w:ascii="Times New Roman" w:hAnsi="Times New Roman" w:cs="Times New Roman"/>
                <w:color w:val="000000" w:themeColor="text1"/>
                <w:sz w:val="20"/>
                <w:szCs w:val="20"/>
                <w:lang w:eastAsia="en-US"/>
              </w:rPr>
              <w:t>wykonuje czynności związane z emisją i obsługą obligacji emitowanych przez Bank;</w:t>
            </w:r>
          </w:p>
          <w:p w14:paraId="27F52451" w14:textId="77777777" w:rsidR="008F5F36" w:rsidRPr="0066102E" w:rsidRDefault="008F5F36" w:rsidP="003B3DA4">
            <w:pPr>
              <w:numPr>
                <w:ilvl w:val="3"/>
                <w:numId w:val="88"/>
              </w:numPr>
              <w:tabs>
                <w:tab w:val="clear" w:pos="2880"/>
                <w:tab w:val="num" w:pos="742"/>
              </w:tabs>
              <w:spacing w:after="0" w:line="276" w:lineRule="auto"/>
              <w:ind w:left="317" w:right="0" w:hanging="284"/>
              <w:jc w:val="left"/>
              <w:rPr>
                <w:rFonts w:ascii="Times New Roman" w:hAnsi="Times New Roman" w:cs="Times New Roman"/>
                <w:color w:val="000000" w:themeColor="text1"/>
                <w:sz w:val="20"/>
                <w:szCs w:val="20"/>
                <w:lang w:eastAsia="en-US"/>
              </w:rPr>
            </w:pPr>
            <w:r w:rsidRPr="0066102E">
              <w:rPr>
                <w:rFonts w:ascii="Times New Roman" w:hAnsi="Times New Roman" w:cs="Times New Roman"/>
                <w:color w:val="000000" w:themeColor="text1"/>
                <w:sz w:val="20"/>
                <w:szCs w:val="20"/>
              </w:rPr>
              <w:t>zarządza gotówką w Banku;</w:t>
            </w:r>
          </w:p>
          <w:p w14:paraId="027EFA44" w14:textId="77777777" w:rsidR="008F5F36" w:rsidRPr="0066102E" w:rsidRDefault="008F5F36" w:rsidP="003B3DA4">
            <w:pPr>
              <w:numPr>
                <w:ilvl w:val="3"/>
                <w:numId w:val="88"/>
              </w:numPr>
              <w:tabs>
                <w:tab w:val="clear" w:pos="2880"/>
                <w:tab w:val="num" w:pos="742"/>
              </w:tabs>
              <w:spacing w:after="0" w:line="276" w:lineRule="auto"/>
              <w:ind w:left="317" w:right="0" w:hanging="284"/>
              <w:jc w:val="left"/>
              <w:rPr>
                <w:rFonts w:ascii="Times New Roman" w:hAnsi="Times New Roman" w:cs="Times New Roman"/>
                <w:color w:val="000000" w:themeColor="text1"/>
                <w:sz w:val="20"/>
                <w:szCs w:val="20"/>
                <w:lang w:eastAsia="en-US"/>
              </w:rPr>
            </w:pPr>
            <w:r w:rsidRPr="0066102E">
              <w:rPr>
                <w:rFonts w:ascii="Times New Roman" w:hAnsi="Times New Roman" w:cs="Times New Roman"/>
                <w:color w:val="000000" w:themeColor="text1"/>
                <w:sz w:val="20"/>
                <w:szCs w:val="20"/>
                <w:lang w:eastAsia="en-US"/>
              </w:rPr>
              <w:t>współpracuje z ZZR w zakresie tworzenia planów awaryjnych utrzymania płynności i planu naprawy;</w:t>
            </w:r>
          </w:p>
          <w:p w14:paraId="530103B1" w14:textId="630C7E89" w:rsidR="002D7509" w:rsidRPr="0066102E" w:rsidRDefault="008F5F36" w:rsidP="003B3DA4">
            <w:pPr>
              <w:pStyle w:val="Akapitzlist"/>
              <w:numPr>
                <w:ilvl w:val="3"/>
                <w:numId w:val="88"/>
              </w:numPr>
              <w:tabs>
                <w:tab w:val="clear" w:pos="2880"/>
                <w:tab w:val="num" w:pos="2520"/>
              </w:tabs>
              <w:ind w:left="317" w:hanging="284"/>
              <w:rPr>
                <w:color w:val="000000" w:themeColor="text1"/>
              </w:rPr>
            </w:pPr>
            <w:r w:rsidRPr="0066102E">
              <w:rPr>
                <w:color w:val="000000" w:themeColor="text1"/>
              </w:rPr>
              <w:t>współpracuje ze wszystkimi jednostkami organizacyjnymi Banku w celu zapewnienia prawidłowej gospodarki gotówką w Banku.</w:t>
            </w:r>
          </w:p>
        </w:tc>
      </w:tr>
      <w:tr w:rsidR="0066102E" w:rsidRPr="0066102E" w14:paraId="04B6E1CE" w14:textId="77777777" w:rsidTr="003B48C6">
        <w:tc>
          <w:tcPr>
            <w:tcW w:w="2581" w:type="dxa"/>
            <w:tcBorders>
              <w:top w:val="single" w:sz="4" w:space="0" w:color="auto"/>
              <w:left w:val="single" w:sz="4" w:space="0" w:color="auto"/>
              <w:bottom w:val="single" w:sz="4" w:space="0" w:color="auto"/>
              <w:right w:val="single" w:sz="4" w:space="0" w:color="auto"/>
            </w:tcBorders>
          </w:tcPr>
          <w:p w14:paraId="15D3D7D9" w14:textId="77777777" w:rsidR="003B48C6" w:rsidRPr="0066102E" w:rsidRDefault="003B48C6" w:rsidP="006E0285">
            <w:pPr>
              <w:jc w:val="left"/>
              <w:rPr>
                <w:rFonts w:ascii="Times New Roman" w:hAnsi="Times New Roman" w:cs="Times New Roman"/>
                <w:color w:val="000000" w:themeColor="text1"/>
                <w:sz w:val="20"/>
                <w:szCs w:val="20"/>
                <w:u w:val="single"/>
              </w:rPr>
            </w:pPr>
            <w:r w:rsidRPr="0066102E">
              <w:rPr>
                <w:rFonts w:ascii="Times New Roman" w:hAnsi="Times New Roman" w:cs="Times New Roman"/>
                <w:color w:val="000000" w:themeColor="text1"/>
                <w:sz w:val="20"/>
                <w:szCs w:val="20"/>
                <w:u w:val="single"/>
              </w:rPr>
              <w:lastRenderedPageBreak/>
              <w:t>Zespół Rachunkowości i Sprawozdawczości</w:t>
            </w:r>
          </w:p>
        </w:tc>
        <w:tc>
          <w:tcPr>
            <w:tcW w:w="7086" w:type="dxa"/>
            <w:tcBorders>
              <w:top w:val="single" w:sz="4" w:space="0" w:color="auto"/>
              <w:left w:val="single" w:sz="4" w:space="0" w:color="auto"/>
              <w:bottom w:val="single" w:sz="4" w:space="0" w:color="auto"/>
              <w:right w:val="single" w:sz="4" w:space="0" w:color="auto"/>
            </w:tcBorders>
          </w:tcPr>
          <w:p w14:paraId="2CA52CC2" w14:textId="77777777" w:rsidR="008F5F36" w:rsidRPr="0066102E" w:rsidRDefault="008F5F36" w:rsidP="003B3DA4">
            <w:pPr>
              <w:pStyle w:val="Akapitzlist"/>
              <w:numPr>
                <w:ilvl w:val="0"/>
                <w:numId w:val="56"/>
              </w:numPr>
              <w:tabs>
                <w:tab w:val="clear" w:pos="540"/>
                <w:tab w:val="num" w:pos="360"/>
              </w:tabs>
              <w:spacing w:line="276" w:lineRule="auto"/>
              <w:ind w:left="360"/>
              <w:contextualSpacing/>
              <w:jc w:val="both"/>
              <w:rPr>
                <w:color w:val="000000" w:themeColor="text1"/>
              </w:rPr>
            </w:pPr>
            <w:r w:rsidRPr="0066102E">
              <w:rPr>
                <w:color w:val="000000" w:themeColor="text1"/>
              </w:rPr>
              <w:t>Sporządza sprawozdawczość obligatoryjną dla NBP, BFG, KNF i innych instytucji;</w:t>
            </w:r>
          </w:p>
          <w:p w14:paraId="57B2E2D8" w14:textId="77777777" w:rsidR="008F5F36" w:rsidRPr="0066102E" w:rsidRDefault="008F5F36" w:rsidP="003B3DA4">
            <w:pPr>
              <w:pStyle w:val="Akapitzlist"/>
              <w:numPr>
                <w:ilvl w:val="0"/>
                <w:numId w:val="56"/>
              </w:numPr>
              <w:tabs>
                <w:tab w:val="clear" w:pos="540"/>
                <w:tab w:val="num" w:pos="360"/>
              </w:tabs>
              <w:spacing w:line="276" w:lineRule="auto"/>
              <w:ind w:left="360"/>
              <w:contextualSpacing/>
              <w:jc w:val="both"/>
              <w:rPr>
                <w:color w:val="000000" w:themeColor="text1"/>
              </w:rPr>
            </w:pPr>
            <w:r w:rsidRPr="0066102E">
              <w:rPr>
                <w:color w:val="000000" w:themeColor="text1"/>
              </w:rPr>
              <w:t>współpracuje z instytucjami zewnętrznymi w zakresie sporządzania sprawozdawczości obligatoryjnej;</w:t>
            </w:r>
          </w:p>
          <w:p w14:paraId="04B5668B" w14:textId="77777777" w:rsidR="008F5F36" w:rsidRPr="0066102E" w:rsidRDefault="008F5F36" w:rsidP="003B3DA4">
            <w:pPr>
              <w:numPr>
                <w:ilvl w:val="0"/>
                <w:numId w:val="56"/>
              </w:numPr>
              <w:tabs>
                <w:tab w:val="clear" w:pos="540"/>
                <w:tab w:val="num" w:pos="360"/>
              </w:tabs>
              <w:spacing w:after="0" w:line="276" w:lineRule="auto"/>
              <w:ind w:left="360" w:right="0"/>
              <w:rPr>
                <w:rFonts w:ascii="Times New Roman" w:hAnsi="Times New Roman" w:cs="Times New Roman"/>
                <w:color w:val="000000" w:themeColor="text1"/>
                <w:sz w:val="20"/>
                <w:szCs w:val="20"/>
              </w:rPr>
            </w:pPr>
            <w:r w:rsidRPr="0066102E">
              <w:rPr>
                <w:rFonts w:ascii="Times New Roman" w:hAnsi="Times New Roman" w:cs="Times New Roman"/>
                <w:color w:val="000000" w:themeColor="text1"/>
                <w:sz w:val="20"/>
                <w:szCs w:val="20"/>
              </w:rPr>
              <w:t>przeprowadza transakcje w obrocie dewizowym;</w:t>
            </w:r>
          </w:p>
          <w:p w14:paraId="3E2B8F74" w14:textId="77777777" w:rsidR="008F5F36" w:rsidRPr="0066102E" w:rsidRDefault="008F5F36" w:rsidP="003B3DA4">
            <w:pPr>
              <w:pStyle w:val="Akapitzlist"/>
              <w:numPr>
                <w:ilvl w:val="0"/>
                <w:numId w:val="56"/>
              </w:numPr>
              <w:tabs>
                <w:tab w:val="clear" w:pos="540"/>
                <w:tab w:val="num" w:pos="360"/>
              </w:tabs>
              <w:spacing w:line="276" w:lineRule="auto"/>
              <w:ind w:left="360"/>
              <w:contextualSpacing/>
              <w:jc w:val="both"/>
              <w:rPr>
                <w:color w:val="000000" w:themeColor="text1"/>
              </w:rPr>
            </w:pPr>
            <w:r w:rsidRPr="0066102E">
              <w:rPr>
                <w:color w:val="000000" w:themeColor="text1"/>
              </w:rPr>
              <w:t xml:space="preserve">prowadzi obsługę rachunków loro, </w:t>
            </w:r>
            <w:proofErr w:type="spellStart"/>
            <w:r w:rsidRPr="0066102E">
              <w:rPr>
                <w:color w:val="000000" w:themeColor="text1"/>
              </w:rPr>
              <w:t>nostro</w:t>
            </w:r>
            <w:proofErr w:type="spellEnd"/>
            <w:r w:rsidRPr="0066102E">
              <w:rPr>
                <w:color w:val="000000" w:themeColor="text1"/>
              </w:rPr>
              <w:t>,  rachunków lokacyjnych i depozytowych, papierów wartościowych, rachunku maklerskiego;</w:t>
            </w:r>
          </w:p>
          <w:p w14:paraId="282B2E62" w14:textId="77777777" w:rsidR="008F5F36" w:rsidRPr="0066102E" w:rsidRDefault="008F5F36" w:rsidP="003B3DA4">
            <w:pPr>
              <w:pStyle w:val="Akapitzlist"/>
              <w:numPr>
                <w:ilvl w:val="0"/>
                <w:numId w:val="56"/>
              </w:numPr>
              <w:tabs>
                <w:tab w:val="clear" w:pos="540"/>
                <w:tab w:val="num" w:pos="360"/>
              </w:tabs>
              <w:spacing w:line="276" w:lineRule="auto"/>
              <w:ind w:left="360"/>
              <w:contextualSpacing/>
              <w:jc w:val="both"/>
              <w:rPr>
                <w:color w:val="000000" w:themeColor="text1"/>
              </w:rPr>
            </w:pPr>
            <w:r w:rsidRPr="0066102E">
              <w:rPr>
                <w:color w:val="000000" w:themeColor="text1"/>
              </w:rPr>
              <w:t>rozlicza i księguje transakcje przychodzące i wychodzące;</w:t>
            </w:r>
          </w:p>
          <w:p w14:paraId="1B9F25E5" w14:textId="77777777" w:rsidR="008F5F36" w:rsidRPr="0066102E" w:rsidRDefault="008F5F36" w:rsidP="003B3DA4">
            <w:pPr>
              <w:numPr>
                <w:ilvl w:val="0"/>
                <w:numId w:val="56"/>
              </w:numPr>
              <w:tabs>
                <w:tab w:val="clear" w:pos="540"/>
                <w:tab w:val="num" w:pos="360"/>
              </w:tabs>
              <w:spacing w:after="0" w:line="240" w:lineRule="auto"/>
              <w:ind w:left="360" w:right="0"/>
              <w:rPr>
                <w:rFonts w:ascii="Times New Roman" w:hAnsi="Times New Roman" w:cs="Times New Roman"/>
                <w:color w:val="000000" w:themeColor="text1"/>
                <w:sz w:val="20"/>
                <w:szCs w:val="20"/>
              </w:rPr>
            </w:pPr>
            <w:r w:rsidRPr="0066102E">
              <w:rPr>
                <w:rFonts w:ascii="Times New Roman" w:hAnsi="Times New Roman" w:cs="Times New Roman"/>
                <w:color w:val="000000" w:themeColor="text1"/>
                <w:sz w:val="20"/>
                <w:szCs w:val="20"/>
              </w:rPr>
              <w:t>rozlicza i księguje transakcje zawierane przez ZS;</w:t>
            </w:r>
          </w:p>
          <w:p w14:paraId="437D6FD3" w14:textId="77777777" w:rsidR="008F5F36" w:rsidRPr="0066102E" w:rsidRDefault="008F5F36" w:rsidP="003B3DA4">
            <w:pPr>
              <w:numPr>
                <w:ilvl w:val="0"/>
                <w:numId w:val="56"/>
              </w:numPr>
              <w:tabs>
                <w:tab w:val="clear" w:pos="540"/>
                <w:tab w:val="num" w:pos="360"/>
              </w:tabs>
              <w:spacing w:after="0" w:line="240" w:lineRule="auto"/>
              <w:ind w:left="360" w:right="0"/>
              <w:rPr>
                <w:rFonts w:ascii="Times New Roman" w:hAnsi="Times New Roman" w:cs="Times New Roman"/>
                <w:color w:val="000000" w:themeColor="text1"/>
                <w:sz w:val="20"/>
                <w:szCs w:val="20"/>
              </w:rPr>
            </w:pPr>
            <w:r w:rsidRPr="0066102E">
              <w:rPr>
                <w:rFonts w:ascii="Times New Roman" w:hAnsi="Times New Roman" w:cs="Times New Roman"/>
                <w:color w:val="000000" w:themeColor="text1"/>
                <w:sz w:val="20"/>
                <w:szCs w:val="20"/>
              </w:rPr>
              <w:t>wykonuje obsługę elektroniczną krajowych rozliczeń bankowych w systemie ELIXIR, SORBNET;</w:t>
            </w:r>
          </w:p>
          <w:p w14:paraId="3E37BCE1" w14:textId="77777777" w:rsidR="008F5F36" w:rsidRPr="0066102E" w:rsidRDefault="008F5F36" w:rsidP="003B3DA4">
            <w:pPr>
              <w:numPr>
                <w:ilvl w:val="0"/>
                <w:numId w:val="56"/>
              </w:numPr>
              <w:tabs>
                <w:tab w:val="clear" w:pos="540"/>
                <w:tab w:val="num" w:pos="360"/>
              </w:tabs>
              <w:spacing w:after="0" w:line="240" w:lineRule="auto"/>
              <w:ind w:left="360" w:right="0"/>
              <w:rPr>
                <w:rFonts w:ascii="Times New Roman" w:hAnsi="Times New Roman" w:cs="Times New Roman"/>
                <w:color w:val="000000" w:themeColor="text1"/>
                <w:sz w:val="20"/>
                <w:szCs w:val="20"/>
              </w:rPr>
            </w:pPr>
            <w:r w:rsidRPr="0066102E">
              <w:rPr>
                <w:rFonts w:ascii="Times New Roman" w:hAnsi="Times New Roman" w:cs="Times New Roman"/>
                <w:color w:val="000000" w:themeColor="text1"/>
                <w:sz w:val="20"/>
                <w:szCs w:val="20"/>
              </w:rPr>
              <w:t>realizuje obowiązki wynikające z uczestnictwa Banku w obowiązkowym systemie gwarantowania depozytów.</w:t>
            </w:r>
          </w:p>
          <w:p w14:paraId="4433725B" w14:textId="27A9E808" w:rsidR="003B48C6" w:rsidRPr="0066102E" w:rsidRDefault="003B48C6" w:rsidP="00ED1D61">
            <w:pPr>
              <w:spacing w:after="0" w:line="240" w:lineRule="auto"/>
              <w:ind w:left="397" w:right="0" w:firstLine="0"/>
              <w:jc w:val="left"/>
              <w:rPr>
                <w:rFonts w:ascii="Times New Roman" w:eastAsia="Times New Roman" w:hAnsi="Times New Roman" w:cs="Times New Roman"/>
                <w:color w:val="000000" w:themeColor="text1"/>
                <w:sz w:val="20"/>
                <w:szCs w:val="20"/>
              </w:rPr>
            </w:pPr>
          </w:p>
        </w:tc>
      </w:tr>
      <w:tr w:rsidR="0066102E" w:rsidRPr="0066102E" w14:paraId="579A12CE" w14:textId="77777777" w:rsidTr="003B48C6">
        <w:tc>
          <w:tcPr>
            <w:tcW w:w="2581" w:type="dxa"/>
            <w:tcBorders>
              <w:top w:val="single" w:sz="4" w:space="0" w:color="auto"/>
              <w:left w:val="single" w:sz="4" w:space="0" w:color="auto"/>
              <w:bottom w:val="single" w:sz="4" w:space="0" w:color="auto"/>
              <w:right w:val="single" w:sz="4" w:space="0" w:color="auto"/>
            </w:tcBorders>
          </w:tcPr>
          <w:p w14:paraId="4C91BA68" w14:textId="77777777" w:rsidR="003B48C6" w:rsidRPr="0066102E" w:rsidRDefault="003B48C6" w:rsidP="006E0285">
            <w:pPr>
              <w:jc w:val="left"/>
              <w:rPr>
                <w:rFonts w:ascii="Times New Roman" w:hAnsi="Times New Roman" w:cs="Times New Roman"/>
                <w:color w:val="000000" w:themeColor="text1"/>
                <w:sz w:val="20"/>
                <w:szCs w:val="20"/>
                <w:u w:val="single"/>
              </w:rPr>
            </w:pPr>
            <w:r w:rsidRPr="0066102E">
              <w:rPr>
                <w:rFonts w:ascii="Times New Roman" w:hAnsi="Times New Roman" w:cs="Times New Roman"/>
                <w:color w:val="000000" w:themeColor="text1"/>
                <w:sz w:val="20"/>
                <w:szCs w:val="20"/>
                <w:u w:val="single"/>
              </w:rPr>
              <w:t>Zespół Zarządzania Informatyką i Bezpieczeństwem</w:t>
            </w:r>
          </w:p>
        </w:tc>
        <w:tc>
          <w:tcPr>
            <w:tcW w:w="7086" w:type="dxa"/>
            <w:tcBorders>
              <w:top w:val="single" w:sz="4" w:space="0" w:color="auto"/>
              <w:left w:val="single" w:sz="4" w:space="0" w:color="auto"/>
              <w:bottom w:val="single" w:sz="4" w:space="0" w:color="auto"/>
              <w:right w:val="single" w:sz="4" w:space="0" w:color="auto"/>
            </w:tcBorders>
          </w:tcPr>
          <w:p w14:paraId="79A0B779" w14:textId="77777777" w:rsidR="008F5F36" w:rsidRPr="0066102E" w:rsidRDefault="008F5F36" w:rsidP="003B3DA4">
            <w:pPr>
              <w:pStyle w:val="Akapitzlist"/>
              <w:numPr>
                <w:ilvl w:val="1"/>
                <w:numId w:val="57"/>
              </w:numPr>
              <w:ind w:left="346" w:hanging="283"/>
              <w:contextualSpacing/>
              <w:jc w:val="both"/>
              <w:rPr>
                <w:color w:val="000000" w:themeColor="text1"/>
              </w:rPr>
            </w:pPr>
            <w:r w:rsidRPr="0066102E">
              <w:rPr>
                <w:color w:val="000000" w:themeColor="text1"/>
              </w:rPr>
              <w:t>Opiniuje projekty nowych produktów w zakresie wymogów i możliwości systemu finansowo-księgowego;</w:t>
            </w:r>
          </w:p>
          <w:p w14:paraId="279343BB" w14:textId="25AB89FB" w:rsidR="003B48C6" w:rsidRPr="0066102E" w:rsidRDefault="008F5F36" w:rsidP="003B3DA4">
            <w:pPr>
              <w:pStyle w:val="Akapitzlist"/>
              <w:numPr>
                <w:ilvl w:val="1"/>
                <w:numId w:val="57"/>
              </w:numPr>
              <w:ind w:left="346" w:hanging="283"/>
              <w:contextualSpacing/>
              <w:rPr>
                <w:color w:val="000000" w:themeColor="text1"/>
              </w:rPr>
            </w:pPr>
            <w:r w:rsidRPr="0066102E">
              <w:rPr>
                <w:color w:val="000000" w:themeColor="text1"/>
              </w:rPr>
              <w:t>zapewnia wsparcie informatyczne dla nowych produktów.</w:t>
            </w:r>
          </w:p>
        </w:tc>
      </w:tr>
      <w:tr w:rsidR="0066102E" w:rsidRPr="0066102E" w14:paraId="45169C24" w14:textId="77777777" w:rsidTr="003B48C6">
        <w:tc>
          <w:tcPr>
            <w:tcW w:w="2581" w:type="dxa"/>
            <w:tcBorders>
              <w:top w:val="single" w:sz="4" w:space="0" w:color="auto"/>
              <w:left w:val="single" w:sz="4" w:space="0" w:color="auto"/>
              <w:bottom w:val="single" w:sz="4" w:space="0" w:color="auto"/>
              <w:right w:val="single" w:sz="4" w:space="0" w:color="auto"/>
            </w:tcBorders>
          </w:tcPr>
          <w:p w14:paraId="4CD059AD" w14:textId="77777777" w:rsidR="003B48C6" w:rsidRPr="0066102E" w:rsidRDefault="003B48C6" w:rsidP="006E0285">
            <w:pPr>
              <w:jc w:val="left"/>
              <w:rPr>
                <w:rFonts w:ascii="Times New Roman" w:hAnsi="Times New Roman" w:cs="Times New Roman"/>
                <w:color w:val="000000" w:themeColor="text1"/>
                <w:sz w:val="20"/>
                <w:szCs w:val="20"/>
                <w:u w:val="single"/>
              </w:rPr>
            </w:pPr>
            <w:r w:rsidRPr="0066102E">
              <w:rPr>
                <w:rFonts w:ascii="Times New Roman" w:hAnsi="Times New Roman" w:cs="Times New Roman"/>
                <w:color w:val="000000" w:themeColor="text1"/>
                <w:sz w:val="20"/>
                <w:szCs w:val="20"/>
                <w:u w:val="single"/>
              </w:rPr>
              <w:t>Zespół Produktów Bankowych</w:t>
            </w:r>
          </w:p>
        </w:tc>
        <w:tc>
          <w:tcPr>
            <w:tcW w:w="7086" w:type="dxa"/>
            <w:tcBorders>
              <w:top w:val="single" w:sz="4" w:space="0" w:color="auto"/>
              <w:left w:val="single" w:sz="4" w:space="0" w:color="auto"/>
              <w:bottom w:val="single" w:sz="4" w:space="0" w:color="auto"/>
              <w:right w:val="single" w:sz="4" w:space="0" w:color="auto"/>
            </w:tcBorders>
          </w:tcPr>
          <w:p w14:paraId="700D30D0" w14:textId="64CA32ED" w:rsidR="003B48C6" w:rsidRPr="0066102E" w:rsidRDefault="008F5F36" w:rsidP="00176023">
            <w:pPr>
              <w:spacing w:after="0" w:line="240" w:lineRule="auto"/>
              <w:ind w:right="0"/>
              <w:jc w:val="left"/>
              <w:rPr>
                <w:rFonts w:ascii="Times New Roman" w:eastAsia="Times New Roman" w:hAnsi="Times New Roman" w:cs="Times New Roman"/>
                <w:color w:val="000000" w:themeColor="text1"/>
                <w:sz w:val="20"/>
                <w:szCs w:val="20"/>
              </w:rPr>
            </w:pPr>
            <w:r w:rsidRPr="0066102E">
              <w:rPr>
                <w:rFonts w:ascii="Times New Roman" w:eastAsia="Times New Roman" w:hAnsi="Times New Roman" w:cs="Times New Roman"/>
                <w:color w:val="000000" w:themeColor="text1"/>
                <w:sz w:val="20"/>
                <w:szCs w:val="20"/>
              </w:rPr>
              <w:t>O</w:t>
            </w:r>
            <w:r w:rsidR="003B48C6" w:rsidRPr="0066102E">
              <w:rPr>
                <w:rFonts w:ascii="Times New Roman" w:eastAsia="Times New Roman" w:hAnsi="Times New Roman" w:cs="Times New Roman"/>
                <w:color w:val="000000" w:themeColor="text1"/>
                <w:sz w:val="20"/>
                <w:szCs w:val="20"/>
              </w:rPr>
              <w:t>pracowuje i modyfikuje regulacje produktowe.</w:t>
            </w:r>
          </w:p>
        </w:tc>
      </w:tr>
      <w:tr w:rsidR="0066102E" w:rsidRPr="0066102E" w14:paraId="7C198AA1" w14:textId="77777777" w:rsidTr="003B48C6">
        <w:tc>
          <w:tcPr>
            <w:tcW w:w="2581" w:type="dxa"/>
            <w:tcBorders>
              <w:top w:val="single" w:sz="4" w:space="0" w:color="auto"/>
              <w:left w:val="single" w:sz="4" w:space="0" w:color="auto"/>
              <w:bottom w:val="single" w:sz="4" w:space="0" w:color="auto"/>
              <w:right w:val="single" w:sz="4" w:space="0" w:color="auto"/>
            </w:tcBorders>
          </w:tcPr>
          <w:p w14:paraId="0F70DF3B" w14:textId="77777777" w:rsidR="00E062B9" w:rsidRPr="0066102E" w:rsidRDefault="00E062B9" w:rsidP="006E0285">
            <w:pPr>
              <w:jc w:val="left"/>
              <w:rPr>
                <w:rFonts w:ascii="Times New Roman" w:hAnsi="Times New Roman" w:cs="Times New Roman"/>
                <w:color w:val="000000" w:themeColor="text1"/>
                <w:sz w:val="20"/>
                <w:szCs w:val="20"/>
                <w:u w:val="single"/>
              </w:rPr>
            </w:pPr>
            <w:r w:rsidRPr="0066102E">
              <w:rPr>
                <w:rFonts w:ascii="Times New Roman" w:hAnsi="Times New Roman" w:cs="Times New Roman"/>
                <w:color w:val="000000" w:themeColor="text1"/>
                <w:sz w:val="20"/>
                <w:szCs w:val="20"/>
                <w:u w:val="single"/>
              </w:rPr>
              <w:t>Dyrektor Zespołu Zarządzania Sprzedażą</w:t>
            </w:r>
          </w:p>
        </w:tc>
        <w:tc>
          <w:tcPr>
            <w:tcW w:w="7086" w:type="dxa"/>
            <w:tcBorders>
              <w:top w:val="single" w:sz="4" w:space="0" w:color="auto"/>
              <w:left w:val="single" w:sz="4" w:space="0" w:color="auto"/>
              <w:bottom w:val="single" w:sz="4" w:space="0" w:color="auto"/>
              <w:right w:val="single" w:sz="4" w:space="0" w:color="auto"/>
            </w:tcBorders>
          </w:tcPr>
          <w:p w14:paraId="7C58F770" w14:textId="135D706D" w:rsidR="00E062B9" w:rsidRPr="0066102E" w:rsidRDefault="00ED1D61" w:rsidP="00ED1D61">
            <w:pPr>
              <w:spacing w:after="0" w:line="240" w:lineRule="auto"/>
              <w:ind w:right="0"/>
              <w:jc w:val="left"/>
              <w:rPr>
                <w:rFonts w:ascii="Times New Roman" w:eastAsia="Times New Roman" w:hAnsi="Times New Roman" w:cs="Times New Roman"/>
                <w:color w:val="000000" w:themeColor="text1"/>
                <w:sz w:val="20"/>
                <w:szCs w:val="20"/>
              </w:rPr>
            </w:pPr>
            <w:r w:rsidRPr="0066102E">
              <w:rPr>
                <w:rFonts w:ascii="Times New Roman" w:eastAsia="Times New Roman" w:hAnsi="Times New Roman" w:cs="Times New Roman"/>
                <w:color w:val="000000" w:themeColor="text1"/>
                <w:sz w:val="20"/>
                <w:szCs w:val="20"/>
              </w:rPr>
              <w:t>Podejmuje w zastępstwie Dyrektora ZS decyzje dotyczące transakcji depozytowych, lokacyjnych na zasadach międzybankowego rynku pieniężnego w złotych i walutach.</w:t>
            </w:r>
          </w:p>
        </w:tc>
      </w:tr>
      <w:tr w:rsidR="0066102E" w:rsidRPr="0066102E" w14:paraId="528D21E4" w14:textId="77777777" w:rsidTr="003B48C6">
        <w:tc>
          <w:tcPr>
            <w:tcW w:w="2581" w:type="dxa"/>
            <w:tcBorders>
              <w:top w:val="single" w:sz="4" w:space="0" w:color="auto"/>
              <w:left w:val="single" w:sz="4" w:space="0" w:color="auto"/>
              <w:bottom w:val="single" w:sz="4" w:space="0" w:color="auto"/>
              <w:right w:val="single" w:sz="4" w:space="0" w:color="auto"/>
            </w:tcBorders>
          </w:tcPr>
          <w:p w14:paraId="7AE847EF" w14:textId="77777777" w:rsidR="003B48C6" w:rsidRPr="0066102E" w:rsidRDefault="003B48C6" w:rsidP="006E0285">
            <w:pPr>
              <w:jc w:val="left"/>
              <w:rPr>
                <w:rFonts w:ascii="Times New Roman" w:hAnsi="Times New Roman" w:cs="Times New Roman"/>
                <w:color w:val="000000" w:themeColor="text1"/>
                <w:sz w:val="20"/>
                <w:szCs w:val="20"/>
                <w:u w:val="single"/>
              </w:rPr>
            </w:pPr>
            <w:r w:rsidRPr="0066102E">
              <w:rPr>
                <w:rFonts w:ascii="Times New Roman" w:hAnsi="Times New Roman" w:cs="Times New Roman"/>
                <w:color w:val="000000" w:themeColor="text1"/>
                <w:sz w:val="20"/>
                <w:szCs w:val="20"/>
                <w:u w:val="single"/>
              </w:rPr>
              <w:t>Zespół Zarządzania Sprzedażą</w:t>
            </w:r>
          </w:p>
        </w:tc>
        <w:tc>
          <w:tcPr>
            <w:tcW w:w="7086" w:type="dxa"/>
            <w:tcBorders>
              <w:top w:val="single" w:sz="4" w:space="0" w:color="auto"/>
              <w:left w:val="single" w:sz="4" w:space="0" w:color="auto"/>
              <w:bottom w:val="single" w:sz="4" w:space="0" w:color="auto"/>
              <w:right w:val="single" w:sz="4" w:space="0" w:color="auto"/>
            </w:tcBorders>
          </w:tcPr>
          <w:p w14:paraId="5A46ED02" w14:textId="77777777" w:rsidR="008F5F36" w:rsidRPr="0066102E" w:rsidRDefault="008F5F36" w:rsidP="003B3DA4">
            <w:pPr>
              <w:numPr>
                <w:ilvl w:val="0"/>
                <w:numId w:val="69"/>
              </w:numPr>
              <w:tabs>
                <w:tab w:val="clear" w:pos="540"/>
                <w:tab w:val="num" w:pos="317"/>
              </w:tabs>
              <w:spacing w:after="0" w:line="240" w:lineRule="auto"/>
              <w:ind w:left="317" w:right="0" w:hanging="284"/>
              <w:rPr>
                <w:rFonts w:ascii="Times New Roman" w:hAnsi="Times New Roman" w:cs="Times New Roman"/>
                <w:color w:val="000000" w:themeColor="text1"/>
                <w:sz w:val="20"/>
                <w:szCs w:val="20"/>
              </w:rPr>
            </w:pPr>
            <w:r w:rsidRPr="0066102E">
              <w:rPr>
                <w:rFonts w:ascii="Times New Roman" w:hAnsi="Times New Roman" w:cs="Times New Roman"/>
                <w:color w:val="000000" w:themeColor="text1"/>
                <w:sz w:val="20"/>
                <w:szCs w:val="20"/>
              </w:rPr>
              <w:t>Przygotowuje założenia do planu działania, w tym planu finansowego  Banku, dotyczące m.in. stanu depozytów i kredytów;</w:t>
            </w:r>
          </w:p>
          <w:p w14:paraId="6DFF3C7E" w14:textId="77777777" w:rsidR="008F5F36" w:rsidRPr="0066102E" w:rsidRDefault="008F5F36" w:rsidP="003B3DA4">
            <w:pPr>
              <w:numPr>
                <w:ilvl w:val="0"/>
                <w:numId w:val="69"/>
              </w:numPr>
              <w:tabs>
                <w:tab w:val="clear" w:pos="540"/>
                <w:tab w:val="num" w:pos="317"/>
              </w:tabs>
              <w:spacing w:after="0" w:line="240" w:lineRule="auto"/>
              <w:ind w:left="317" w:right="0" w:hanging="284"/>
              <w:rPr>
                <w:rFonts w:ascii="Times New Roman" w:hAnsi="Times New Roman" w:cs="Times New Roman"/>
                <w:color w:val="000000" w:themeColor="text1"/>
                <w:sz w:val="20"/>
                <w:szCs w:val="20"/>
              </w:rPr>
            </w:pPr>
            <w:r w:rsidRPr="0066102E">
              <w:rPr>
                <w:rFonts w:ascii="Times New Roman" w:hAnsi="Times New Roman" w:cs="Times New Roman"/>
                <w:color w:val="000000" w:themeColor="text1"/>
                <w:sz w:val="20"/>
                <w:szCs w:val="20"/>
              </w:rPr>
              <w:t>opracowuje i monitoruje wykonanie planów sprzedażowych w oddziałach;</w:t>
            </w:r>
          </w:p>
          <w:p w14:paraId="73C094A6" w14:textId="77777777" w:rsidR="008F5F36" w:rsidRPr="0066102E" w:rsidRDefault="008F5F36" w:rsidP="003B3DA4">
            <w:pPr>
              <w:numPr>
                <w:ilvl w:val="0"/>
                <w:numId w:val="69"/>
              </w:numPr>
              <w:tabs>
                <w:tab w:val="clear" w:pos="540"/>
                <w:tab w:val="num" w:pos="317"/>
              </w:tabs>
              <w:spacing w:after="0" w:line="240" w:lineRule="auto"/>
              <w:ind w:left="317" w:right="0" w:hanging="284"/>
              <w:rPr>
                <w:rFonts w:ascii="Times New Roman" w:hAnsi="Times New Roman" w:cs="Times New Roman"/>
                <w:color w:val="000000" w:themeColor="text1"/>
                <w:sz w:val="20"/>
                <w:szCs w:val="20"/>
              </w:rPr>
            </w:pPr>
            <w:r w:rsidRPr="0066102E">
              <w:rPr>
                <w:rFonts w:ascii="Times New Roman" w:hAnsi="Times New Roman" w:cs="Times New Roman"/>
                <w:color w:val="000000" w:themeColor="text1"/>
                <w:sz w:val="20"/>
                <w:szCs w:val="20"/>
              </w:rPr>
              <w:t>kompleksowo zarządza ofertą produktową, odpowiadając za: opracowanie i wprowadzenie produktu do oferty, a także modyfikacje produktu i monitoring sprzedaży;</w:t>
            </w:r>
          </w:p>
          <w:p w14:paraId="72F5961F" w14:textId="3E138D48" w:rsidR="00774977" w:rsidRPr="0066102E" w:rsidRDefault="008F5F36" w:rsidP="003B3DA4">
            <w:pPr>
              <w:numPr>
                <w:ilvl w:val="0"/>
                <w:numId w:val="69"/>
              </w:numPr>
              <w:tabs>
                <w:tab w:val="clear" w:pos="540"/>
                <w:tab w:val="num" w:pos="317"/>
              </w:tabs>
              <w:spacing w:after="0" w:line="240" w:lineRule="auto"/>
              <w:ind w:left="317" w:right="0" w:hanging="284"/>
              <w:jc w:val="left"/>
              <w:rPr>
                <w:rFonts w:ascii="Times New Roman" w:eastAsia="Times New Roman" w:hAnsi="Times New Roman" w:cs="Times New Roman"/>
                <w:color w:val="000000" w:themeColor="text1"/>
                <w:sz w:val="20"/>
                <w:szCs w:val="20"/>
              </w:rPr>
            </w:pPr>
            <w:r w:rsidRPr="0066102E">
              <w:rPr>
                <w:rFonts w:ascii="Times New Roman" w:hAnsi="Times New Roman" w:cs="Times New Roman"/>
                <w:color w:val="000000" w:themeColor="text1"/>
                <w:sz w:val="20"/>
                <w:szCs w:val="20"/>
              </w:rPr>
              <w:t>dokonuje analizy płynności i opłacalności inwestycji w instrumenty finansowe.</w:t>
            </w:r>
          </w:p>
        </w:tc>
      </w:tr>
      <w:tr w:rsidR="0066102E" w:rsidRPr="0066102E" w14:paraId="1C9A1982" w14:textId="77777777" w:rsidTr="003B48C6">
        <w:tc>
          <w:tcPr>
            <w:tcW w:w="2581" w:type="dxa"/>
            <w:tcBorders>
              <w:top w:val="single" w:sz="4" w:space="0" w:color="auto"/>
              <w:left w:val="single" w:sz="4" w:space="0" w:color="auto"/>
              <w:bottom w:val="single" w:sz="4" w:space="0" w:color="auto"/>
              <w:right w:val="single" w:sz="4" w:space="0" w:color="auto"/>
            </w:tcBorders>
          </w:tcPr>
          <w:p w14:paraId="0B5A00C6" w14:textId="77777777" w:rsidR="003B48C6" w:rsidRPr="0066102E" w:rsidRDefault="006E0285" w:rsidP="006E0285">
            <w:pPr>
              <w:jc w:val="left"/>
              <w:rPr>
                <w:rFonts w:ascii="Times New Roman" w:hAnsi="Times New Roman" w:cs="Times New Roman"/>
                <w:color w:val="000000" w:themeColor="text1"/>
                <w:sz w:val="20"/>
                <w:szCs w:val="20"/>
                <w:u w:val="single"/>
              </w:rPr>
            </w:pPr>
            <w:r w:rsidRPr="0066102E">
              <w:rPr>
                <w:rFonts w:ascii="Times New Roman" w:hAnsi="Times New Roman" w:cs="Times New Roman"/>
                <w:color w:val="000000" w:themeColor="text1"/>
                <w:sz w:val="20"/>
                <w:szCs w:val="20"/>
                <w:u w:val="single"/>
              </w:rPr>
              <w:t xml:space="preserve">Zespół </w:t>
            </w:r>
            <w:r w:rsidR="003B48C6" w:rsidRPr="0066102E">
              <w:rPr>
                <w:rFonts w:ascii="Times New Roman" w:hAnsi="Times New Roman" w:cs="Times New Roman"/>
                <w:color w:val="000000" w:themeColor="text1"/>
                <w:sz w:val="20"/>
                <w:szCs w:val="20"/>
                <w:u w:val="single"/>
              </w:rPr>
              <w:t>Zarządzania Ryzykiem Kredytowym</w:t>
            </w:r>
          </w:p>
        </w:tc>
        <w:tc>
          <w:tcPr>
            <w:tcW w:w="7086" w:type="dxa"/>
            <w:tcBorders>
              <w:top w:val="single" w:sz="4" w:space="0" w:color="auto"/>
              <w:left w:val="single" w:sz="4" w:space="0" w:color="auto"/>
              <w:bottom w:val="single" w:sz="4" w:space="0" w:color="auto"/>
              <w:right w:val="single" w:sz="4" w:space="0" w:color="auto"/>
            </w:tcBorders>
          </w:tcPr>
          <w:p w14:paraId="16DC5059" w14:textId="4A8ACFF3" w:rsidR="003B48C6" w:rsidRPr="0066102E" w:rsidRDefault="008F5F36" w:rsidP="003B3DA4">
            <w:pPr>
              <w:numPr>
                <w:ilvl w:val="0"/>
                <w:numId w:val="58"/>
              </w:numPr>
              <w:tabs>
                <w:tab w:val="num" w:pos="397"/>
              </w:tabs>
              <w:spacing w:after="0" w:line="240" w:lineRule="auto"/>
              <w:ind w:left="397" w:right="0" w:hanging="397"/>
              <w:jc w:val="left"/>
              <w:rPr>
                <w:rFonts w:ascii="Times New Roman" w:eastAsia="Times New Roman" w:hAnsi="Times New Roman" w:cs="Times New Roman"/>
                <w:color w:val="000000" w:themeColor="text1"/>
                <w:sz w:val="20"/>
                <w:szCs w:val="20"/>
              </w:rPr>
            </w:pPr>
            <w:r w:rsidRPr="0066102E">
              <w:rPr>
                <w:rFonts w:ascii="Times New Roman" w:eastAsia="Times New Roman" w:hAnsi="Times New Roman" w:cs="Times New Roman"/>
                <w:color w:val="000000" w:themeColor="text1"/>
                <w:sz w:val="20"/>
                <w:szCs w:val="20"/>
              </w:rPr>
              <w:t>D</w:t>
            </w:r>
            <w:r w:rsidR="003B48C6" w:rsidRPr="0066102E">
              <w:rPr>
                <w:rFonts w:ascii="Times New Roman" w:eastAsia="Times New Roman" w:hAnsi="Times New Roman" w:cs="Times New Roman"/>
                <w:color w:val="000000" w:themeColor="text1"/>
                <w:sz w:val="20"/>
                <w:szCs w:val="20"/>
              </w:rPr>
              <w:t>okonuje pomiaru i monitorowania ryzyka kredytowego</w:t>
            </w:r>
            <w:r w:rsidRPr="0066102E">
              <w:rPr>
                <w:rFonts w:ascii="Times New Roman" w:eastAsia="Times New Roman" w:hAnsi="Times New Roman" w:cs="Times New Roman"/>
                <w:color w:val="000000" w:themeColor="text1"/>
                <w:sz w:val="20"/>
                <w:szCs w:val="20"/>
              </w:rPr>
              <w:t>,</w:t>
            </w:r>
            <w:r w:rsidR="003B48C6" w:rsidRPr="0066102E">
              <w:rPr>
                <w:rFonts w:ascii="Times New Roman" w:eastAsia="Times New Roman" w:hAnsi="Times New Roman" w:cs="Times New Roman"/>
                <w:color w:val="000000" w:themeColor="text1"/>
                <w:sz w:val="20"/>
                <w:szCs w:val="20"/>
              </w:rPr>
              <w:t xml:space="preserve"> w  tym monitoruje wykorzystanie limitu i zaangażowania Banku w kredyty i </w:t>
            </w:r>
            <w:r w:rsidR="005A7EF0" w:rsidRPr="0066102E">
              <w:rPr>
                <w:rFonts w:ascii="Times New Roman" w:eastAsia="Times New Roman" w:hAnsi="Times New Roman" w:cs="Times New Roman"/>
                <w:color w:val="000000" w:themeColor="text1"/>
                <w:sz w:val="20"/>
                <w:szCs w:val="20"/>
              </w:rPr>
              <w:t>pożyczki brutto o </w:t>
            </w:r>
            <w:r w:rsidR="003B48C6" w:rsidRPr="0066102E">
              <w:rPr>
                <w:rFonts w:ascii="Times New Roman" w:eastAsia="Times New Roman" w:hAnsi="Times New Roman" w:cs="Times New Roman"/>
                <w:color w:val="000000" w:themeColor="text1"/>
                <w:sz w:val="20"/>
                <w:szCs w:val="20"/>
              </w:rPr>
              <w:t>terminie zapadalności powyżej 10 lat;</w:t>
            </w:r>
          </w:p>
          <w:p w14:paraId="1D032473" w14:textId="77777777" w:rsidR="003B48C6" w:rsidRPr="0066102E" w:rsidRDefault="003B48C6" w:rsidP="003B3DA4">
            <w:pPr>
              <w:numPr>
                <w:ilvl w:val="0"/>
                <w:numId w:val="58"/>
              </w:numPr>
              <w:tabs>
                <w:tab w:val="num" w:pos="397"/>
              </w:tabs>
              <w:spacing w:after="0" w:line="240" w:lineRule="auto"/>
              <w:ind w:left="397" w:right="0" w:hanging="397"/>
              <w:jc w:val="left"/>
              <w:rPr>
                <w:rFonts w:ascii="Times New Roman" w:eastAsia="Times New Roman" w:hAnsi="Times New Roman" w:cs="Times New Roman"/>
                <w:color w:val="000000" w:themeColor="text1"/>
                <w:sz w:val="20"/>
                <w:szCs w:val="20"/>
              </w:rPr>
            </w:pPr>
            <w:r w:rsidRPr="0066102E">
              <w:rPr>
                <w:rFonts w:ascii="Times New Roman" w:eastAsia="Times New Roman" w:hAnsi="Times New Roman" w:cs="Times New Roman"/>
                <w:color w:val="000000" w:themeColor="text1"/>
                <w:sz w:val="20"/>
                <w:szCs w:val="20"/>
              </w:rPr>
              <w:t>przygotowuje politykę zarządzania ryzykiem kredytowym Banku.</w:t>
            </w:r>
          </w:p>
        </w:tc>
      </w:tr>
      <w:tr w:rsidR="0066102E" w:rsidRPr="0066102E" w14:paraId="45D62017" w14:textId="77777777" w:rsidTr="003B48C6">
        <w:tc>
          <w:tcPr>
            <w:tcW w:w="2581" w:type="dxa"/>
            <w:tcBorders>
              <w:top w:val="single" w:sz="4" w:space="0" w:color="auto"/>
              <w:left w:val="single" w:sz="4" w:space="0" w:color="auto"/>
              <w:bottom w:val="single" w:sz="4" w:space="0" w:color="auto"/>
              <w:right w:val="single" w:sz="4" w:space="0" w:color="auto"/>
            </w:tcBorders>
          </w:tcPr>
          <w:p w14:paraId="5ED15FE0" w14:textId="77777777" w:rsidR="003B48C6" w:rsidRPr="0066102E" w:rsidRDefault="003B48C6" w:rsidP="003B48C6">
            <w:pPr>
              <w:rPr>
                <w:rFonts w:ascii="Times New Roman" w:hAnsi="Times New Roman" w:cs="Times New Roman"/>
                <w:color w:val="000000" w:themeColor="text1"/>
                <w:sz w:val="20"/>
                <w:szCs w:val="20"/>
                <w:u w:val="single"/>
              </w:rPr>
            </w:pPr>
            <w:r w:rsidRPr="0066102E">
              <w:rPr>
                <w:rFonts w:ascii="Times New Roman" w:hAnsi="Times New Roman" w:cs="Times New Roman"/>
                <w:color w:val="000000" w:themeColor="text1"/>
                <w:sz w:val="20"/>
                <w:szCs w:val="20"/>
                <w:u w:val="single"/>
              </w:rPr>
              <w:t>Komitet Kredytowy</w:t>
            </w:r>
          </w:p>
        </w:tc>
        <w:tc>
          <w:tcPr>
            <w:tcW w:w="7086" w:type="dxa"/>
            <w:tcBorders>
              <w:top w:val="single" w:sz="4" w:space="0" w:color="auto"/>
              <w:left w:val="single" w:sz="4" w:space="0" w:color="auto"/>
              <w:bottom w:val="single" w:sz="4" w:space="0" w:color="auto"/>
              <w:right w:val="single" w:sz="4" w:space="0" w:color="auto"/>
            </w:tcBorders>
          </w:tcPr>
          <w:p w14:paraId="2157F170" w14:textId="3CF301AF" w:rsidR="003B48C6" w:rsidRPr="0066102E" w:rsidRDefault="008F5F36" w:rsidP="00176023">
            <w:pPr>
              <w:spacing w:after="0" w:line="240" w:lineRule="auto"/>
              <w:ind w:right="0"/>
              <w:jc w:val="left"/>
              <w:rPr>
                <w:rFonts w:ascii="Times New Roman" w:eastAsia="Times New Roman" w:hAnsi="Times New Roman" w:cs="Times New Roman"/>
                <w:color w:val="000000" w:themeColor="text1"/>
                <w:sz w:val="20"/>
                <w:szCs w:val="20"/>
              </w:rPr>
            </w:pPr>
            <w:r w:rsidRPr="0066102E">
              <w:rPr>
                <w:rFonts w:ascii="Times New Roman" w:eastAsia="Times New Roman" w:hAnsi="Times New Roman" w:cs="Times New Roman"/>
                <w:color w:val="000000" w:themeColor="text1"/>
                <w:sz w:val="20"/>
                <w:szCs w:val="20"/>
              </w:rPr>
              <w:t>O</w:t>
            </w:r>
            <w:r w:rsidR="003B48C6" w:rsidRPr="0066102E">
              <w:rPr>
                <w:rFonts w:ascii="Times New Roman" w:eastAsia="Times New Roman" w:hAnsi="Times New Roman" w:cs="Times New Roman"/>
                <w:color w:val="000000" w:themeColor="text1"/>
                <w:sz w:val="20"/>
                <w:szCs w:val="20"/>
              </w:rPr>
              <w:t>piniuje ocenę  sytuacji finansowej  oraz wiarygodności emitentów instrumentów finansowych.</w:t>
            </w:r>
          </w:p>
        </w:tc>
      </w:tr>
      <w:tr w:rsidR="0066102E" w:rsidRPr="0066102E" w14:paraId="5F1BB2FD" w14:textId="77777777" w:rsidTr="003B48C6">
        <w:tc>
          <w:tcPr>
            <w:tcW w:w="2581" w:type="dxa"/>
            <w:tcBorders>
              <w:top w:val="single" w:sz="4" w:space="0" w:color="auto"/>
              <w:left w:val="single" w:sz="4" w:space="0" w:color="auto"/>
              <w:bottom w:val="single" w:sz="4" w:space="0" w:color="auto"/>
              <w:right w:val="single" w:sz="4" w:space="0" w:color="auto"/>
            </w:tcBorders>
          </w:tcPr>
          <w:p w14:paraId="43DEA470" w14:textId="168E1875" w:rsidR="008F5F36" w:rsidRPr="0066102E" w:rsidRDefault="008F5F36" w:rsidP="006E0285">
            <w:pPr>
              <w:jc w:val="left"/>
              <w:rPr>
                <w:rFonts w:ascii="Times New Roman" w:hAnsi="Times New Roman" w:cs="Times New Roman"/>
                <w:color w:val="000000" w:themeColor="text1"/>
                <w:sz w:val="20"/>
                <w:szCs w:val="20"/>
                <w:u w:val="single"/>
              </w:rPr>
            </w:pPr>
            <w:r w:rsidRPr="0066102E">
              <w:rPr>
                <w:rFonts w:ascii="Times New Roman" w:hAnsi="Times New Roman" w:cs="Times New Roman"/>
                <w:color w:val="000000" w:themeColor="text1"/>
                <w:sz w:val="20"/>
                <w:szCs w:val="20"/>
                <w:u w:val="single"/>
              </w:rPr>
              <w:t>Zespół Zarządzania Zgodnością</w:t>
            </w:r>
          </w:p>
        </w:tc>
        <w:tc>
          <w:tcPr>
            <w:tcW w:w="7086" w:type="dxa"/>
            <w:tcBorders>
              <w:top w:val="single" w:sz="4" w:space="0" w:color="auto"/>
              <w:left w:val="single" w:sz="4" w:space="0" w:color="auto"/>
              <w:bottom w:val="single" w:sz="4" w:space="0" w:color="auto"/>
              <w:right w:val="single" w:sz="4" w:space="0" w:color="auto"/>
            </w:tcBorders>
          </w:tcPr>
          <w:p w14:paraId="4F5731BB" w14:textId="1190E7ED" w:rsidR="008F5F36" w:rsidRPr="0066102E" w:rsidRDefault="008F5F36" w:rsidP="008F5F36">
            <w:pPr>
              <w:spacing w:after="0" w:line="240" w:lineRule="auto"/>
              <w:ind w:right="0"/>
              <w:jc w:val="left"/>
              <w:rPr>
                <w:rFonts w:ascii="Times New Roman" w:eastAsia="Times New Roman" w:hAnsi="Times New Roman" w:cs="Times New Roman"/>
                <w:color w:val="000000" w:themeColor="text1"/>
                <w:sz w:val="20"/>
                <w:szCs w:val="20"/>
              </w:rPr>
            </w:pPr>
            <w:r w:rsidRPr="0066102E">
              <w:rPr>
                <w:rFonts w:ascii="Times New Roman" w:eastAsia="Times New Roman" w:hAnsi="Times New Roman" w:cs="Times New Roman"/>
                <w:color w:val="000000" w:themeColor="text1"/>
                <w:sz w:val="20"/>
                <w:szCs w:val="20"/>
              </w:rPr>
              <w:t>Zespół Zarządzania Zgodnością opiniuje projekty strategii i polityk dotyczących zarządzania ryzykiem płynności, procedury pomiaru, raportowania i limitowania ryzyka płynności; kontroluje proces zarządzania ryzykiem płynności poprzez testowanie, zgodnie z odrębnymi przepisami</w:t>
            </w:r>
            <w:r w:rsidR="005E1553" w:rsidRPr="0066102E">
              <w:rPr>
                <w:rFonts w:ascii="Times New Roman" w:eastAsia="Times New Roman" w:hAnsi="Times New Roman" w:cs="Times New Roman"/>
                <w:color w:val="000000" w:themeColor="text1"/>
                <w:sz w:val="20"/>
                <w:szCs w:val="20"/>
              </w:rPr>
              <w:t xml:space="preserve"> obowiązującymi w Banku, w tym Matrycą Funkcji K</w:t>
            </w:r>
            <w:r w:rsidRPr="0066102E">
              <w:rPr>
                <w:rFonts w:ascii="Times New Roman" w:eastAsia="Times New Roman" w:hAnsi="Times New Roman" w:cs="Times New Roman"/>
                <w:color w:val="000000" w:themeColor="text1"/>
                <w:sz w:val="20"/>
                <w:szCs w:val="20"/>
              </w:rPr>
              <w:t>ontroli.</w:t>
            </w:r>
          </w:p>
        </w:tc>
      </w:tr>
      <w:tr w:rsidR="0066102E" w:rsidRPr="0066102E" w14:paraId="58431EE6" w14:textId="77777777" w:rsidTr="003B48C6">
        <w:tc>
          <w:tcPr>
            <w:tcW w:w="2581" w:type="dxa"/>
            <w:tcBorders>
              <w:top w:val="single" w:sz="4" w:space="0" w:color="auto"/>
              <w:left w:val="single" w:sz="4" w:space="0" w:color="auto"/>
              <w:bottom w:val="single" w:sz="4" w:space="0" w:color="auto"/>
              <w:right w:val="single" w:sz="4" w:space="0" w:color="auto"/>
            </w:tcBorders>
          </w:tcPr>
          <w:p w14:paraId="4299FA5B" w14:textId="04DFE036" w:rsidR="003B48C6" w:rsidRPr="0066102E" w:rsidRDefault="008F5F36" w:rsidP="006E0285">
            <w:pPr>
              <w:jc w:val="left"/>
              <w:rPr>
                <w:rFonts w:ascii="Times New Roman" w:hAnsi="Times New Roman" w:cs="Times New Roman"/>
                <w:color w:val="000000" w:themeColor="text1"/>
                <w:sz w:val="20"/>
                <w:szCs w:val="20"/>
                <w:u w:val="single"/>
              </w:rPr>
            </w:pPr>
            <w:r w:rsidRPr="0066102E">
              <w:rPr>
                <w:rFonts w:ascii="Times New Roman" w:hAnsi="Times New Roman" w:cs="Times New Roman"/>
                <w:color w:val="000000" w:themeColor="text1"/>
                <w:sz w:val="20"/>
                <w:szCs w:val="20"/>
                <w:u w:val="single"/>
              </w:rPr>
              <w:t>Zespół</w:t>
            </w:r>
            <w:r w:rsidR="005E1553" w:rsidRPr="0066102E">
              <w:rPr>
                <w:rFonts w:ascii="Times New Roman" w:hAnsi="Times New Roman" w:cs="Times New Roman"/>
                <w:color w:val="000000" w:themeColor="text1"/>
                <w:sz w:val="20"/>
                <w:szCs w:val="20"/>
                <w:u w:val="single"/>
              </w:rPr>
              <w:t xml:space="preserve"> Audytu W</w:t>
            </w:r>
            <w:r w:rsidR="003B48C6" w:rsidRPr="0066102E">
              <w:rPr>
                <w:rFonts w:ascii="Times New Roman" w:hAnsi="Times New Roman" w:cs="Times New Roman"/>
                <w:color w:val="000000" w:themeColor="text1"/>
                <w:sz w:val="20"/>
                <w:szCs w:val="20"/>
                <w:u w:val="single"/>
              </w:rPr>
              <w:t>ewnętrznego</w:t>
            </w:r>
          </w:p>
        </w:tc>
        <w:tc>
          <w:tcPr>
            <w:tcW w:w="7086" w:type="dxa"/>
            <w:tcBorders>
              <w:top w:val="single" w:sz="4" w:space="0" w:color="auto"/>
              <w:left w:val="single" w:sz="4" w:space="0" w:color="auto"/>
              <w:bottom w:val="single" w:sz="4" w:space="0" w:color="auto"/>
              <w:right w:val="single" w:sz="4" w:space="0" w:color="auto"/>
            </w:tcBorders>
          </w:tcPr>
          <w:p w14:paraId="615A1777" w14:textId="3DD70954" w:rsidR="003B48C6" w:rsidRPr="0066102E" w:rsidRDefault="008F5F36" w:rsidP="008F5F36">
            <w:pPr>
              <w:spacing w:after="0" w:line="240" w:lineRule="auto"/>
              <w:ind w:right="0"/>
              <w:jc w:val="left"/>
              <w:rPr>
                <w:rFonts w:ascii="Times New Roman" w:eastAsia="Times New Roman" w:hAnsi="Times New Roman" w:cs="Times New Roman"/>
                <w:color w:val="000000" w:themeColor="text1"/>
                <w:sz w:val="20"/>
                <w:szCs w:val="20"/>
              </w:rPr>
            </w:pPr>
            <w:r w:rsidRPr="0066102E">
              <w:rPr>
                <w:rFonts w:ascii="Times New Roman" w:eastAsia="Times New Roman" w:hAnsi="Times New Roman" w:cs="Times New Roman"/>
                <w:color w:val="000000" w:themeColor="text1"/>
                <w:sz w:val="20"/>
                <w:szCs w:val="20"/>
              </w:rPr>
              <w:t>Kontroluje i ocenia sprawność działania systemu zarządzania ryzykiem płynności, dokonuje regularnych przeglądów prawidłowości przestrzegania zasad zarządzania ryzykiem płynności obowiązujących w Banku.</w:t>
            </w:r>
          </w:p>
        </w:tc>
      </w:tr>
      <w:tr w:rsidR="0066102E" w:rsidRPr="0066102E" w14:paraId="7E704EF0" w14:textId="77777777" w:rsidTr="006E0285">
        <w:trPr>
          <w:trHeight w:val="445"/>
        </w:trPr>
        <w:tc>
          <w:tcPr>
            <w:tcW w:w="2581" w:type="dxa"/>
            <w:tcBorders>
              <w:top w:val="single" w:sz="4" w:space="0" w:color="auto"/>
              <w:left w:val="single" w:sz="4" w:space="0" w:color="auto"/>
              <w:bottom w:val="single" w:sz="4" w:space="0" w:color="auto"/>
              <w:right w:val="single" w:sz="4" w:space="0" w:color="auto"/>
            </w:tcBorders>
          </w:tcPr>
          <w:p w14:paraId="5606A5F9" w14:textId="77777777" w:rsidR="003B48C6" w:rsidRPr="0066102E" w:rsidRDefault="003B48C6" w:rsidP="006B4951">
            <w:pPr>
              <w:rPr>
                <w:rFonts w:ascii="Times New Roman" w:hAnsi="Times New Roman" w:cs="Times New Roman"/>
                <w:color w:val="000000" w:themeColor="text1"/>
                <w:sz w:val="20"/>
                <w:szCs w:val="20"/>
                <w:u w:val="single"/>
              </w:rPr>
            </w:pPr>
            <w:r w:rsidRPr="0066102E">
              <w:rPr>
                <w:rFonts w:ascii="Times New Roman" w:hAnsi="Times New Roman" w:cs="Times New Roman"/>
                <w:color w:val="000000" w:themeColor="text1"/>
                <w:sz w:val="20"/>
                <w:szCs w:val="20"/>
                <w:u w:val="single"/>
              </w:rPr>
              <w:lastRenderedPageBreak/>
              <w:t>Pozostali pracownicy banku</w:t>
            </w:r>
          </w:p>
        </w:tc>
        <w:tc>
          <w:tcPr>
            <w:tcW w:w="7086" w:type="dxa"/>
            <w:tcBorders>
              <w:top w:val="single" w:sz="4" w:space="0" w:color="auto"/>
              <w:left w:val="single" w:sz="4" w:space="0" w:color="auto"/>
              <w:bottom w:val="single" w:sz="4" w:space="0" w:color="auto"/>
              <w:right w:val="single" w:sz="4" w:space="0" w:color="auto"/>
            </w:tcBorders>
          </w:tcPr>
          <w:p w14:paraId="581A27A8" w14:textId="4408FE40" w:rsidR="003B48C6" w:rsidRPr="0066102E" w:rsidRDefault="008F5F36" w:rsidP="00176023">
            <w:pPr>
              <w:pStyle w:val="Akapitpodstawowy"/>
              <w:numPr>
                <w:ilvl w:val="0"/>
                <w:numId w:val="0"/>
              </w:numPr>
              <w:spacing w:after="0"/>
              <w:rPr>
                <w:color w:val="000000" w:themeColor="text1"/>
                <w:sz w:val="20"/>
                <w:szCs w:val="20"/>
              </w:rPr>
            </w:pPr>
            <w:r w:rsidRPr="0066102E">
              <w:rPr>
                <w:color w:val="000000" w:themeColor="text1"/>
                <w:sz w:val="20"/>
                <w:szCs w:val="20"/>
              </w:rPr>
              <w:t>M</w:t>
            </w:r>
            <w:r w:rsidR="003B48C6" w:rsidRPr="0066102E">
              <w:rPr>
                <w:color w:val="000000" w:themeColor="text1"/>
                <w:sz w:val="20"/>
                <w:szCs w:val="20"/>
              </w:rPr>
              <w:t>ają obowiązek przestrzegania regulacji obowiązujących w Banku  oraz realizacji powierzonych działań.</w:t>
            </w:r>
          </w:p>
        </w:tc>
      </w:tr>
    </w:tbl>
    <w:p w14:paraId="35915782" w14:textId="77777777" w:rsidR="003B48C6" w:rsidRPr="0066102E" w:rsidRDefault="003B48C6" w:rsidP="00942B14">
      <w:pPr>
        <w:spacing w:after="0" w:line="276" w:lineRule="auto"/>
        <w:rPr>
          <w:rFonts w:ascii="Times New Roman" w:hAnsi="Times New Roman" w:cs="Times New Roman"/>
          <w:color w:val="000000" w:themeColor="text1"/>
          <w:sz w:val="20"/>
          <w:szCs w:val="20"/>
        </w:rPr>
      </w:pPr>
    </w:p>
    <w:p w14:paraId="23D6D5B1" w14:textId="084699A9" w:rsidR="002C50F6" w:rsidRPr="0066102E" w:rsidRDefault="00E81BF6" w:rsidP="00942B14">
      <w:pPr>
        <w:spacing w:after="0" w:line="276" w:lineRule="auto"/>
        <w:ind w:left="-5" w:right="8"/>
        <w:rPr>
          <w:rFonts w:ascii="Times New Roman" w:hAnsi="Times New Roman" w:cs="Times New Roman"/>
          <w:color w:val="000000" w:themeColor="text1"/>
        </w:rPr>
      </w:pPr>
      <w:r w:rsidRPr="0066102E">
        <w:rPr>
          <w:rFonts w:ascii="Times New Roman" w:hAnsi="Times New Roman" w:cs="Times New Roman"/>
          <w:color w:val="000000" w:themeColor="text1"/>
        </w:rPr>
        <w:t>Bank zarządza płynnością krótko-, średnio</w:t>
      </w:r>
      <w:r w:rsidR="005A7EF0" w:rsidRPr="0066102E">
        <w:rPr>
          <w:rFonts w:ascii="Times New Roman" w:hAnsi="Times New Roman" w:cs="Times New Roman"/>
          <w:color w:val="000000" w:themeColor="text1"/>
        </w:rPr>
        <w:t>-</w:t>
      </w:r>
      <w:r w:rsidRPr="0066102E">
        <w:rPr>
          <w:rFonts w:ascii="Times New Roman" w:hAnsi="Times New Roman" w:cs="Times New Roman"/>
          <w:color w:val="000000" w:themeColor="text1"/>
        </w:rPr>
        <w:t xml:space="preserve"> i długoterminową. Kluczowe znaczenie dla Banku ma kształtowanie się płynności w okresie do jednego miesiąca, która wymaga stałej, bieżącej oceny i analizy, tak aby zapewnić odpowiedni poziom rezerwy płynności</w:t>
      </w:r>
      <w:r w:rsidRPr="005107DB">
        <w:rPr>
          <w:rFonts w:ascii="Times New Roman" w:hAnsi="Times New Roman" w:cs="Times New Roman"/>
          <w:color w:val="000000" w:themeColor="text1"/>
        </w:rPr>
        <w:t xml:space="preserve">. </w:t>
      </w:r>
      <w:r w:rsidR="000A7A11" w:rsidRPr="005107DB">
        <w:rPr>
          <w:rFonts w:ascii="Times New Roman" w:hAnsi="Times New Roman" w:cs="Times New Roman"/>
          <w:color w:val="000000" w:themeColor="text1"/>
        </w:rPr>
        <w:t xml:space="preserve">Bank zarządza płynnością </w:t>
      </w:r>
      <w:proofErr w:type="spellStart"/>
      <w:r w:rsidR="000A7A11" w:rsidRPr="005107DB">
        <w:rPr>
          <w:rFonts w:ascii="Times New Roman" w:hAnsi="Times New Roman" w:cs="Times New Roman"/>
          <w:color w:val="000000" w:themeColor="text1"/>
        </w:rPr>
        <w:t>śróddzienną</w:t>
      </w:r>
      <w:proofErr w:type="spellEnd"/>
      <w:r w:rsidR="000A7A11" w:rsidRPr="005107DB">
        <w:rPr>
          <w:rFonts w:ascii="Times New Roman" w:hAnsi="Times New Roman" w:cs="Times New Roman"/>
          <w:color w:val="000000" w:themeColor="text1"/>
        </w:rPr>
        <w:t>, a w razie niedoboru środków w ciągu dnia operacyjnego może skorzystać z</w:t>
      </w:r>
      <w:r w:rsidR="00834EEE" w:rsidRPr="005107DB">
        <w:rPr>
          <w:rFonts w:ascii="Times New Roman" w:hAnsi="Times New Roman" w:cs="Times New Roman"/>
          <w:color w:val="000000" w:themeColor="text1"/>
        </w:rPr>
        <w:t xml:space="preserve"> kredytu w rachunku bieżącym</w:t>
      </w:r>
      <w:r w:rsidRPr="005107DB">
        <w:rPr>
          <w:rFonts w:ascii="Times New Roman" w:hAnsi="Times New Roman" w:cs="Times New Roman"/>
          <w:color w:val="000000" w:themeColor="text1"/>
        </w:rPr>
        <w:t>.</w:t>
      </w:r>
    </w:p>
    <w:p w14:paraId="03D0BB60" w14:textId="77777777" w:rsidR="002C50F6" w:rsidRPr="0066102E" w:rsidRDefault="00E81BF6" w:rsidP="00942B14">
      <w:pPr>
        <w:spacing w:after="0" w:line="276" w:lineRule="auto"/>
        <w:ind w:left="-15" w:right="8" w:firstLine="720"/>
        <w:rPr>
          <w:rFonts w:ascii="Times New Roman" w:hAnsi="Times New Roman" w:cs="Times New Roman"/>
          <w:color w:val="000000" w:themeColor="text1"/>
        </w:rPr>
      </w:pPr>
      <w:r w:rsidRPr="0066102E">
        <w:rPr>
          <w:rFonts w:ascii="Times New Roman" w:hAnsi="Times New Roman" w:cs="Times New Roman"/>
          <w:color w:val="000000" w:themeColor="text1"/>
        </w:rPr>
        <w:t>Struktura posiadanych przez Bank aktywów powinna umożliwiać elastyczne dostosowywanie się do potrzeb płynnościowych. W tym celu Bank dywersyfikuje swoje aktywa według następujących kryteriów:</w:t>
      </w:r>
    </w:p>
    <w:p w14:paraId="79B0FDB4" w14:textId="77777777" w:rsidR="002C50F6" w:rsidRPr="0066102E" w:rsidRDefault="00E81BF6" w:rsidP="00942B14">
      <w:pPr>
        <w:numPr>
          <w:ilvl w:val="1"/>
          <w:numId w:val="29"/>
        </w:numPr>
        <w:spacing w:after="0" w:line="276" w:lineRule="auto"/>
        <w:ind w:right="8" w:hanging="360"/>
        <w:rPr>
          <w:rFonts w:ascii="Times New Roman" w:hAnsi="Times New Roman" w:cs="Times New Roman"/>
          <w:color w:val="000000" w:themeColor="text1"/>
        </w:rPr>
      </w:pPr>
      <w:r w:rsidRPr="0066102E">
        <w:rPr>
          <w:rFonts w:ascii="Times New Roman" w:hAnsi="Times New Roman" w:cs="Times New Roman"/>
          <w:color w:val="000000" w:themeColor="text1"/>
        </w:rPr>
        <w:t>płynności;</w:t>
      </w:r>
    </w:p>
    <w:p w14:paraId="1601EC90" w14:textId="77777777" w:rsidR="002C50F6" w:rsidRPr="0066102E" w:rsidRDefault="00E81BF6" w:rsidP="00942B14">
      <w:pPr>
        <w:numPr>
          <w:ilvl w:val="1"/>
          <w:numId w:val="29"/>
        </w:numPr>
        <w:spacing w:after="0" w:line="276" w:lineRule="auto"/>
        <w:ind w:right="8" w:hanging="360"/>
        <w:rPr>
          <w:rFonts w:ascii="Times New Roman" w:hAnsi="Times New Roman" w:cs="Times New Roman"/>
          <w:color w:val="000000" w:themeColor="text1"/>
        </w:rPr>
      </w:pPr>
      <w:r w:rsidRPr="0066102E">
        <w:rPr>
          <w:rFonts w:ascii="Times New Roman" w:hAnsi="Times New Roman" w:cs="Times New Roman"/>
          <w:color w:val="000000" w:themeColor="text1"/>
        </w:rPr>
        <w:t>bezpieczeństwa;</w:t>
      </w:r>
    </w:p>
    <w:p w14:paraId="62DD01B0" w14:textId="77777777" w:rsidR="002C50F6" w:rsidRPr="0066102E" w:rsidRDefault="00E81BF6" w:rsidP="00942B14">
      <w:pPr>
        <w:numPr>
          <w:ilvl w:val="1"/>
          <w:numId w:val="29"/>
        </w:numPr>
        <w:spacing w:after="0" w:line="276" w:lineRule="auto"/>
        <w:ind w:right="8" w:hanging="360"/>
        <w:rPr>
          <w:rFonts w:ascii="Times New Roman" w:hAnsi="Times New Roman" w:cs="Times New Roman"/>
          <w:color w:val="000000" w:themeColor="text1"/>
        </w:rPr>
      </w:pPr>
      <w:r w:rsidRPr="0066102E">
        <w:rPr>
          <w:rFonts w:ascii="Times New Roman" w:hAnsi="Times New Roman" w:cs="Times New Roman"/>
          <w:color w:val="000000" w:themeColor="text1"/>
        </w:rPr>
        <w:t>rentowności.</w:t>
      </w:r>
    </w:p>
    <w:p w14:paraId="5396B1AD" w14:textId="23F7C3F1" w:rsidR="002C50F6" w:rsidRPr="00F60242" w:rsidRDefault="00E81BF6" w:rsidP="00942B14">
      <w:pPr>
        <w:spacing w:after="0" w:line="276" w:lineRule="auto"/>
        <w:ind w:left="-5" w:right="8"/>
        <w:rPr>
          <w:rFonts w:ascii="Times New Roman" w:hAnsi="Times New Roman" w:cs="Times New Roman"/>
          <w:color w:val="auto"/>
        </w:rPr>
      </w:pPr>
      <w:r w:rsidRPr="0066102E">
        <w:rPr>
          <w:rFonts w:ascii="Times New Roman" w:hAnsi="Times New Roman" w:cs="Times New Roman"/>
          <w:color w:val="000000" w:themeColor="text1"/>
        </w:rPr>
        <w:t>Z uwagi na niewielką skalę działalności Banku funkcje zarz</w:t>
      </w:r>
      <w:r w:rsidR="005A7EF0" w:rsidRPr="0066102E">
        <w:rPr>
          <w:rFonts w:ascii="Times New Roman" w:hAnsi="Times New Roman" w:cs="Times New Roman"/>
          <w:color w:val="000000" w:themeColor="text1"/>
        </w:rPr>
        <w:t>ądzania ryzykiem można uznać za </w:t>
      </w:r>
      <w:r w:rsidRPr="0066102E">
        <w:rPr>
          <w:rFonts w:ascii="Times New Roman" w:hAnsi="Times New Roman" w:cs="Times New Roman"/>
          <w:color w:val="000000" w:themeColor="text1"/>
        </w:rPr>
        <w:t xml:space="preserve">scentralizowane. Za skuteczność systemu zarządzania ryzykiem płynności odpowiada Zarząd Banku, a nadzór nad zarządzaniem płynnością sprawuje </w:t>
      </w:r>
      <w:r w:rsidR="0066102E" w:rsidRPr="0066102E">
        <w:rPr>
          <w:rFonts w:ascii="Times New Roman" w:hAnsi="Times New Roman" w:cs="Times New Roman"/>
          <w:color w:val="000000" w:themeColor="text1"/>
        </w:rPr>
        <w:t>Wicep</w:t>
      </w:r>
      <w:r w:rsidRPr="0066102E">
        <w:rPr>
          <w:rFonts w:ascii="Times New Roman" w:hAnsi="Times New Roman" w:cs="Times New Roman"/>
          <w:color w:val="000000" w:themeColor="text1"/>
        </w:rPr>
        <w:t>re</w:t>
      </w:r>
      <w:r w:rsidR="005A7EF0" w:rsidRPr="0066102E">
        <w:rPr>
          <w:rFonts w:ascii="Times New Roman" w:hAnsi="Times New Roman" w:cs="Times New Roman"/>
          <w:color w:val="000000" w:themeColor="text1"/>
        </w:rPr>
        <w:t>zes Zarządu</w:t>
      </w:r>
      <w:r w:rsidR="0066102E" w:rsidRPr="0066102E">
        <w:rPr>
          <w:rFonts w:ascii="Times New Roman" w:hAnsi="Times New Roman" w:cs="Times New Roman"/>
          <w:color w:val="000000" w:themeColor="text1"/>
        </w:rPr>
        <w:t xml:space="preserve"> ds. zarządzania ryzykiem istotnym</w:t>
      </w:r>
      <w:r w:rsidR="005A7EF0" w:rsidRPr="0066102E">
        <w:rPr>
          <w:rFonts w:ascii="Times New Roman" w:hAnsi="Times New Roman" w:cs="Times New Roman"/>
          <w:color w:val="000000" w:themeColor="text1"/>
        </w:rPr>
        <w:t>. Zadania związane z </w:t>
      </w:r>
      <w:r w:rsidRPr="0066102E">
        <w:rPr>
          <w:rFonts w:ascii="Times New Roman" w:hAnsi="Times New Roman" w:cs="Times New Roman"/>
          <w:color w:val="000000" w:themeColor="text1"/>
        </w:rPr>
        <w:t>utrzymywaniem płynności</w:t>
      </w:r>
      <w:r w:rsidR="009F6C0D" w:rsidRPr="0066102E">
        <w:rPr>
          <w:rFonts w:ascii="Times New Roman" w:hAnsi="Times New Roman" w:cs="Times New Roman"/>
          <w:color w:val="000000" w:themeColor="text1"/>
        </w:rPr>
        <w:t xml:space="preserve"> bieżącej</w:t>
      </w:r>
      <w:r w:rsidRPr="0066102E">
        <w:rPr>
          <w:rFonts w:ascii="Times New Roman" w:hAnsi="Times New Roman" w:cs="Times New Roman"/>
          <w:color w:val="000000" w:themeColor="text1"/>
        </w:rPr>
        <w:t xml:space="preserve"> Banku wykonywane są przez </w:t>
      </w:r>
      <w:r w:rsidR="0068046B" w:rsidRPr="0066102E">
        <w:rPr>
          <w:rFonts w:ascii="Times New Roman" w:hAnsi="Times New Roman" w:cs="Times New Roman"/>
          <w:color w:val="000000" w:themeColor="text1"/>
        </w:rPr>
        <w:t xml:space="preserve">powołany w dniu 13.09.2018 r. </w:t>
      </w:r>
      <w:r w:rsidRPr="0066102E">
        <w:rPr>
          <w:rFonts w:ascii="Times New Roman" w:hAnsi="Times New Roman" w:cs="Times New Roman"/>
          <w:color w:val="000000" w:themeColor="text1"/>
        </w:rPr>
        <w:t xml:space="preserve">Zespół </w:t>
      </w:r>
      <w:r w:rsidR="0068046B" w:rsidRPr="0066102E">
        <w:rPr>
          <w:rFonts w:ascii="Times New Roman" w:hAnsi="Times New Roman" w:cs="Times New Roman"/>
          <w:color w:val="000000" w:themeColor="text1"/>
        </w:rPr>
        <w:t>Skarbu</w:t>
      </w:r>
      <w:r w:rsidRPr="0066102E">
        <w:rPr>
          <w:rFonts w:ascii="Times New Roman" w:hAnsi="Times New Roman" w:cs="Times New Roman"/>
          <w:color w:val="000000" w:themeColor="text1"/>
        </w:rPr>
        <w:t xml:space="preserve">, a zadania związane z pomiarem, monitorowaniem i kontrolowaniem ryzyka płynności w Banku wykonuje Zespół </w:t>
      </w:r>
      <w:r w:rsidR="009F6C0D" w:rsidRPr="0066102E">
        <w:rPr>
          <w:rFonts w:ascii="Times New Roman" w:hAnsi="Times New Roman" w:cs="Times New Roman"/>
          <w:color w:val="000000" w:themeColor="text1"/>
        </w:rPr>
        <w:t xml:space="preserve">Zarządzania </w:t>
      </w:r>
      <w:proofErr w:type="spellStart"/>
      <w:r w:rsidR="009F6C0D" w:rsidRPr="00F60242">
        <w:rPr>
          <w:rFonts w:ascii="Times New Roman" w:hAnsi="Times New Roman" w:cs="Times New Roman"/>
          <w:color w:val="auto"/>
        </w:rPr>
        <w:t>Ryzykami</w:t>
      </w:r>
      <w:proofErr w:type="spellEnd"/>
      <w:r w:rsidRPr="00F60242">
        <w:rPr>
          <w:rFonts w:ascii="Times New Roman" w:hAnsi="Times New Roman" w:cs="Times New Roman"/>
          <w:color w:val="auto"/>
        </w:rPr>
        <w:t>.</w:t>
      </w:r>
    </w:p>
    <w:p w14:paraId="6FC99AF2" w14:textId="0FC482DD" w:rsidR="00FE7C1C" w:rsidRPr="00F60242" w:rsidRDefault="00E81BF6" w:rsidP="00811F1F">
      <w:pPr>
        <w:spacing w:after="0" w:line="276" w:lineRule="auto"/>
        <w:ind w:left="-15" w:right="8" w:firstLine="720"/>
        <w:rPr>
          <w:rFonts w:ascii="Times New Roman" w:hAnsi="Times New Roman" w:cs="Times New Roman"/>
          <w:color w:val="auto"/>
        </w:rPr>
      </w:pPr>
      <w:r w:rsidRPr="00F60242">
        <w:rPr>
          <w:rFonts w:ascii="Times New Roman" w:hAnsi="Times New Roman" w:cs="Times New Roman"/>
          <w:color w:val="auto"/>
        </w:rPr>
        <w:t xml:space="preserve">Zarządzanie płynnością krótkoterminową opiera się na monitorowaniu i planowaniu krótkoterminowych wpływów i wypływów, zawieraniu krótkoterminowych operacji na rynku finansowym, w tym z </w:t>
      </w:r>
      <w:r w:rsidR="003A70B8" w:rsidRPr="00F60242">
        <w:rPr>
          <w:rFonts w:ascii="Times New Roman" w:hAnsi="Times New Roman" w:cs="Times New Roman"/>
          <w:color w:val="auto"/>
        </w:rPr>
        <w:t>Bankiem BPS S.A.,</w:t>
      </w:r>
      <w:r w:rsidRPr="00F60242">
        <w:rPr>
          <w:rFonts w:ascii="Times New Roman" w:hAnsi="Times New Roman" w:cs="Times New Roman"/>
          <w:color w:val="auto"/>
        </w:rPr>
        <w:t xml:space="preserve"> </w:t>
      </w:r>
      <w:r w:rsidR="003A70B8" w:rsidRPr="00F60242">
        <w:rPr>
          <w:rFonts w:ascii="Times New Roman" w:hAnsi="Times New Roman" w:cs="Times New Roman"/>
          <w:color w:val="auto"/>
        </w:rPr>
        <w:t xml:space="preserve">Bankiem Gospodarstwa Krajowego S.A. i Santander Bank Polska S.A </w:t>
      </w:r>
      <w:r w:rsidRPr="00F60242">
        <w:rPr>
          <w:rFonts w:ascii="Times New Roman" w:hAnsi="Times New Roman" w:cs="Times New Roman"/>
          <w:color w:val="auto"/>
        </w:rPr>
        <w:t xml:space="preserve">oraz budowaniu nadwyżki płynności, w której skład wchodzą aktywa </w:t>
      </w:r>
      <w:proofErr w:type="spellStart"/>
      <w:r w:rsidRPr="00F60242">
        <w:rPr>
          <w:rFonts w:ascii="Times New Roman" w:hAnsi="Times New Roman" w:cs="Times New Roman"/>
          <w:color w:val="auto"/>
        </w:rPr>
        <w:t>wysokopłynne</w:t>
      </w:r>
      <w:proofErr w:type="spellEnd"/>
      <w:r w:rsidRPr="00F60242">
        <w:rPr>
          <w:rFonts w:ascii="Times New Roman" w:hAnsi="Times New Roman" w:cs="Times New Roman"/>
          <w:color w:val="auto"/>
        </w:rPr>
        <w:t xml:space="preserve"> stanowiące rezerwę pokrywającą potencjalne wypływy gotówki z Banku. W celu utrzymywania ryzyka płynności na odpowiednim poziomie </w:t>
      </w:r>
      <w:r w:rsidR="009748AC" w:rsidRPr="00F60242">
        <w:rPr>
          <w:rFonts w:ascii="Times New Roman" w:hAnsi="Times New Roman" w:cs="Times New Roman"/>
          <w:color w:val="auto"/>
        </w:rPr>
        <w:t>oraz sprostania zapotrzebowaniu</w:t>
      </w:r>
      <w:r w:rsidR="00811F1F" w:rsidRPr="00F60242">
        <w:rPr>
          <w:rFonts w:ascii="Times New Roman" w:hAnsi="Times New Roman" w:cs="Times New Roman"/>
          <w:color w:val="auto"/>
        </w:rPr>
        <w:t xml:space="preserve"> </w:t>
      </w:r>
      <w:r w:rsidRPr="00F60242">
        <w:rPr>
          <w:rFonts w:ascii="Times New Roman" w:hAnsi="Times New Roman" w:cs="Times New Roman"/>
          <w:color w:val="auto"/>
        </w:rPr>
        <w:t>na środki płynne w sytuacjach kryzysowych, Bank utrzymuje odpowiednią wielkość aktywów lub dodatkowych źródeł finansowania, które mogą być natychmiast wykorzystywane przez Bank jako źród</w:t>
      </w:r>
      <w:r w:rsidR="00FE7C1C" w:rsidRPr="00F60242">
        <w:rPr>
          <w:rFonts w:ascii="Times New Roman" w:hAnsi="Times New Roman" w:cs="Times New Roman"/>
          <w:color w:val="auto"/>
        </w:rPr>
        <w:t xml:space="preserve">ło środków płynnych. </w:t>
      </w:r>
      <w:r w:rsidR="000B0A76" w:rsidRPr="00F60242">
        <w:rPr>
          <w:rFonts w:ascii="Times New Roman" w:hAnsi="Times New Roman" w:cs="Times New Roman"/>
          <w:color w:val="auto"/>
        </w:rPr>
        <w:t>Nadwyżka</w:t>
      </w:r>
      <w:r w:rsidRPr="00F60242">
        <w:rPr>
          <w:rFonts w:ascii="Times New Roman" w:hAnsi="Times New Roman" w:cs="Times New Roman"/>
          <w:color w:val="auto"/>
        </w:rPr>
        <w:t xml:space="preserve"> </w:t>
      </w:r>
      <w:r w:rsidR="000B0A76" w:rsidRPr="00F60242">
        <w:rPr>
          <w:rFonts w:ascii="Times New Roman" w:hAnsi="Times New Roman" w:cs="Times New Roman"/>
          <w:color w:val="auto"/>
        </w:rPr>
        <w:t>płynnośc</w:t>
      </w:r>
      <w:r w:rsidR="002B661A" w:rsidRPr="00F60242">
        <w:rPr>
          <w:rFonts w:ascii="Times New Roman" w:hAnsi="Times New Roman" w:cs="Times New Roman"/>
          <w:color w:val="auto"/>
        </w:rPr>
        <w:t>i</w:t>
      </w:r>
      <w:r w:rsidR="0066102E" w:rsidRPr="00F60242">
        <w:rPr>
          <w:rFonts w:ascii="Times New Roman" w:hAnsi="Times New Roman" w:cs="Times New Roman"/>
          <w:color w:val="auto"/>
        </w:rPr>
        <w:t xml:space="preserve"> na dzień 31.12.2020</w:t>
      </w:r>
      <w:r w:rsidR="000B0A76" w:rsidRPr="00F60242">
        <w:rPr>
          <w:rFonts w:ascii="Times New Roman" w:hAnsi="Times New Roman" w:cs="Times New Roman"/>
          <w:color w:val="auto"/>
        </w:rPr>
        <w:t xml:space="preserve"> r. wynosi</w:t>
      </w:r>
      <w:r w:rsidR="00F7442D" w:rsidRPr="00F60242">
        <w:rPr>
          <w:rFonts w:ascii="Times New Roman" w:hAnsi="Times New Roman" w:cs="Times New Roman"/>
          <w:color w:val="auto"/>
        </w:rPr>
        <w:t xml:space="preserve"> </w:t>
      </w:r>
      <w:r w:rsidR="00660BF1" w:rsidRPr="00F60242">
        <w:rPr>
          <w:rFonts w:ascii="Times New Roman" w:hAnsi="Times New Roman" w:cs="Times New Roman"/>
          <w:color w:val="auto"/>
        </w:rPr>
        <w:t>263 655</w:t>
      </w:r>
      <w:r w:rsidR="000B0A76" w:rsidRPr="00F60242">
        <w:rPr>
          <w:rFonts w:ascii="Times New Roman" w:hAnsi="Times New Roman" w:cs="Times New Roman"/>
          <w:color w:val="auto"/>
        </w:rPr>
        <w:t xml:space="preserve"> tys. zł. </w:t>
      </w:r>
      <w:r w:rsidR="00FE7C1C" w:rsidRPr="00F60242">
        <w:rPr>
          <w:rFonts w:ascii="Times New Roman" w:hAnsi="Times New Roman" w:cs="Times New Roman"/>
          <w:color w:val="auto"/>
        </w:rPr>
        <w:t>(źródło:  raport analiza ryzyka płynności Warmińsko – Mazurskiego Banku Spółdzielc</w:t>
      </w:r>
      <w:r w:rsidR="000B0A76" w:rsidRPr="00F60242">
        <w:rPr>
          <w:rFonts w:ascii="Times New Roman" w:hAnsi="Times New Roman" w:cs="Times New Roman"/>
          <w:color w:val="auto"/>
        </w:rPr>
        <w:t>zego wg stanu na 31 grudnia 20</w:t>
      </w:r>
      <w:r w:rsidR="0066102E" w:rsidRPr="00F60242">
        <w:rPr>
          <w:rFonts w:ascii="Times New Roman" w:hAnsi="Times New Roman" w:cs="Times New Roman"/>
          <w:color w:val="auto"/>
        </w:rPr>
        <w:t>20</w:t>
      </w:r>
      <w:r w:rsidR="002B661A" w:rsidRPr="00F60242">
        <w:rPr>
          <w:rFonts w:ascii="Times New Roman" w:hAnsi="Times New Roman" w:cs="Times New Roman"/>
          <w:color w:val="auto"/>
        </w:rPr>
        <w:t xml:space="preserve"> r.), na co </w:t>
      </w:r>
      <w:r w:rsidR="00FE7C1C" w:rsidRPr="00F60242">
        <w:rPr>
          <w:rFonts w:ascii="Times New Roman" w:hAnsi="Times New Roman" w:cs="Times New Roman"/>
          <w:color w:val="auto"/>
        </w:rPr>
        <w:t>składa się:</w:t>
      </w:r>
    </w:p>
    <w:p w14:paraId="59D66162" w14:textId="77777777" w:rsidR="00660BF1" w:rsidRPr="00F60242" w:rsidRDefault="00660BF1" w:rsidP="00660BF1">
      <w:pPr>
        <w:numPr>
          <w:ilvl w:val="0"/>
          <w:numId w:val="84"/>
        </w:numPr>
        <w:spacing w:after="160" w:line="259" w:lineRule="auto"/>
        <w:ind w:left="1211" w:right="0"/>
        <w:contextualSpacing/>
        <w:rPr>
          <w:rFonts w:ascii="Times New Roman" w:hAnsi="Times New Roman" w:cs="Times New Roman"/>
          <w:bCs/>
          <w:color w:val="auto"/>
          <w:szCs w:val="24"/>
        </w:rPr>
      </w:pPr>
      <w:r w:rsidRPr="00F60242">
        <w:rPr>
          <w:rFonts w:ascii="Times New Roman" w:hAnsi="Times New Roman" w:cs="Times New Roman"/>
          <w:bCs/>
          <w:color w:val="auto"/>
          <w:szCs w:val="24"/>
        </w:rPr>
        <w:t>Podstawowa nadwyżka płynności – 195 751 tys. zł :</w:t>
      </w:r>
    </w:p>
    <w:p w14:paraId="1062E431" w14:textId="77777777" w:rsidR="00660BF1" w:rsidRPr="00F60242" w:rsidRDefault="00660BF1" w:rsidP="00660BF1">
      <w:pPr>
        <w:numPr>
          <w:ilvl w:val="0"/>
          <w:numId w:val="85"/>
        </w:numPr>
        <w:spacing w:after="160" w:line="259" w:lineRule="auto"/>
        <w:ind w:right="0"/>
        <w:contextualSpacing/>
        <w:rPr>
          <w:rFonts w:ascii="Times New Roman" w:hAnsi="Times New Roman" w:cs="Times New Roman"/>
          <w:bCs/>
          <w:color w:val="auto"/>
          <w:szCs w:val="24"/>
        </w:rPr>
      </w:pPr>
      <w:r w:rsidRPr="00F60242">
        <w:rPr>
          <w:rFonts w:ascii="Times New Roman" w:hAnsi="Times New Roman" w:cs="Times New Roman"/>
          <w:bCs/>
          <w:color w:val="auto"/>
          <w:szCs w:val="24"/>
        </w:rPr>
        <w:t>gotówka – 2 126,00 tys. zł (nadwyżka środków w kasie),</w:t>
      </w:r>
    </w:p>
    <w:p w14:paraId="3CD8DB61" w14:textId="77777777" w:rsidR="00660BF1" w:rsidRPr="00F60242" w:rsidRDefault="00660BF1" w:rsidP="00660BF1">
      <w:pPr>
        <w:numPr>
          <w:ilvl w:val="0"/>
          <w:numId w:val="85"/>
        </w:numPr>
        <w:spacing w:after="160" w:line="259" w:lineRule="auto"/>
        <w:ind w:right="0"/>
        <w:contextualSpacing/>
        <w:rPr>
          <w:rFonts w:ascii="Times New Roman" w:hAnsi="Times New Roman" w:cs="Times New Roman"/>
          <w:bCs/>
          <w:color w:val="auto"/>
          <w:szCs w:val="24"/>
        </w:rPr>
      </w:pPr>
      <w:r w:rsidRPr="00F60242">
        <w:rPr>
          <w:rFonts w:ascii="Times New Roman" w:hAnsi="Times New Roman" w:cs="Times New Roman"/>
          <w:bCs/>
          <w:color w:val="auto"/>
          <w:szCs w:val="24"/>
        </w:rPr>
        <w:t>wysokiej jakości obligacje rządowe oraz obligacje BGK i PF gwarantowane przez Skarb Państwa– poziom 1 –193 625 tys. zł,</w:t>
      </w:r>
    </w:p>
    <w:p w14:paraId="6664FF30" w14:textId="77777777" w:rsidR="00660BF1" w:rsidRPr="00F60242" w:rsidRDefault="00660BF1" w:rsidP="00660BF1">
      <w:pPr>
        <w:numPr>
          <w:ilvl w:val="0"/>
          <w:numId w:val="84"/>
        </w:numPr>
        <w:spacing w:after="160" w:line="259" w:lineRule="auto"/>
        <w:ind w:left="1211" w:right="0"/>
        <w:contextualSpacing/>
        <w:rPr>
          <w:rFonts w:ascii="Times New Roman" w:hAnsi="Times New Roman" w:cs="Times New Roman"/>
          <w:bCs/>
          <w:color w:val="auto"/>
          <w:szCs w:val="24"/>
        </w:rPr>
      </w:pPr>
      <w:r w:rsidRPr="00F60242">
        <w:rPr>
          <w:rFonts w:ascii="Times New Roman" w:hAnsi="Times New Roman" w:cs="Times New Roman"/>
          <w:bCs/>
          <w:color w:val="auto"/>
          <w:szCs w:val="24"/>
        </w:rPr>
        <w:t>Uzupełniająca nadwyżka płynności- 34 026 tys. zł – obligacje PKN ORLEN i obligacje PKO BH (zakupione w sierpniu i wrześniu 2019 r.),</w:t>
      </w:r>
    </w:p>
    <w:p w14:paraId="4B9EC44E" w14:textId="77777777" w:rsidR="00660BF1" w:rsidRPr="00F60242" w:rsidRDefault="00660BF1" w:rsidP="00660BF1">
      <w:pPr>
        <w:numPr>
          <w:ilvl w:val="0"/>
          <w:numId w:val="84"/>
        </w:numPr>
        <w:spacing w:after="160" w:line="259" w:lineRule="auto"/>
        <w:ind w:left="1211" w:right="0"/>
        <w:contextualSpacing/>
        <w:rPr>
          <w:rFonts w:ascii="Times New Roman" w:hAnsi="Times New Roman" w:cs="Times New Roman"/>
          <w:bCs/>
          <w:color w:val="auto"/>
          <w:szCs w:val="24"/>
        </w:rPr>
      </w:pPr>
      <w:r w:rsidRPr="00F60242">
        <w:rPr>
          <w:rFonts w:ascii="Times New Roman" w:hAnsi="Times New Roman" w:cs="Times New Roman"/>
          <w:bCs/>
          <w:color w:val="auto"/>
          <w:szCs w:val="24"/>
        </w:rPr>
        <w:t>Pozostałe środki na zabezpieczenie płynności nie uwzględnione w nadwyżce płynności- 33 878 tys. zł, w skład których wchodzą:</w:t>
      </w:r>
    </w:p>
    <w:p w14:paraId="24DDC572" w14:textId="77777777" w:rsidR="00660BF1" w:rsidRPr="00F60242" w:rsidRDefault="00660BF1" w:rsidP="00660BF1">
      <w:pPr>
        <w:numPr>
          <w:ilvl w:val="0"/>
          <w:numId w:val="86"/>
        </w:numPr>
        <w:spacing w:after="160" w:line="259" w:lineRule="auto"/>
        <w:ind w:right="0"/>
        <w:contextualSpacing/>
        <w:rPr>
          <w:rFonts w:ascii="Times New Roman" w:hAnsi="Times New Roman" w:cs="Times New Roman"/>
          <w:bCs/>
          <w:color w:val="auto"/>
          <w:szCs w:val="24"/>
        </w:rPr>
      </w:pPr>
      <w:r w:rsidRPr="00F60242">
        <w:rPr>
          <w:rFonts w:ascii="Times New Roman" w:hAnsi="Times New Roman" w:cs="Times New Roman"/>
          <w:bCs/>
          <w:color w:val="auto"/>
          <w:szCs w:val="24"/>
        </w:rPr>
        <w:t>lokaty do 30 dni –25 899 tys. zł,</w:t>
      </w:r>
    </w:p>
    <w:p w14:paraId="6AEC6979" w14:textId="77777777" w:rsidR="00660BF1" w:rsidRPr="00F60242" w:rsidRDefault="00660BF1" w:rsidP="00660BF1">
      <w:pPr>
        <w:numPr>
          <w:ilvl w:val="0"/>
          <w:numId w:val="86"/>
        </w:numPr>
        <w:spacing w:after="0" w:line="259" w:lineRule="auto"/>
        <w:ind w:right="0"/>
        <w:contextualSpacing/>
        <w:rPr>
          <w:rFonts w:ascii="Times New Roman" w:hAnsi="Times New Roman" w:cs="Times New Roman"/>
          <w:bCs/>
          <w:color w:val="auto"/>
          <w:szCs w:val="24"/>
        </w:rPr>
      </w:pPr>
      <w:r w:rsidRPr="00F60242">
        <w:rPr>
          <w:rFonts w:ascii="Times New Roman" w:hAnsi="Times New Roman" w:cs="Times New Roman"/>
          <w:bCs/>
          <w:color w:val="auto"/>
          <w:szCs w:val="24"/>
        </w:rPr>
        <w:lastRenderedPageBreak/>
        <w:t>rezerwa obowiązkowa na wydzielonym rachunku- 979 tys. zł.,</w:t>
      </w:r>
    </w:p>
    <w:p w14:paraId="0A97369B" w14:textId="77777777" w:rsidR="00660BF1" w:rsidRPr="00F60242" w:rsidRDefault="00660BF1" w:rsidP="00660BF1">
      <w:pPr>
        <w:pStyle w:val="Akapitzlist"/>
        <w:numPr>
          <w:ilvl w:val="0"/>
          <w:numId w:val="86"/>
        </w:numPr>
        <w:spacing w:line="259" w:lineRule="auto"/>
        <w:contextualSpacing/>
        <w:jc w:val="both"/>
        <w:rPr>
          <w:bCs/>
          <w:sz w:val="24"/>
          <w:szCs w:val="24"/>
        </w:rPr>
      </w:pPr>
      <w:r w:rsidRPr="00F60242">
        <w:rPr>
          <w:bCs/>
          <w:sz w:val="24"/>
          <w:szCs w:val="24"/>
        </w:rPr>
        <w:t>kredyt w rachunku bieżącym - 7 000 tys. zł.</w:t>
      </w:r>
    </w:p>
    <w:p w14:paraId="3E211DA7" w14:textId="0C1CD342" w:rsidR="00753D15" w:rsidRPr="00660BF1" w:rsidRDefault="00FE7C1C" w:rsidP="00A72D07">
      <w:pPr>
        <w:spacing w:after="0" w:line="276" w:lineRule="auto"/>
        <w:ind w:left="0" w:right="8" w:firstLine="0"/>
        <w:rPr>
          <w:rFonts w:ascii="Times New Roman" w:hAnsi="Times New Roman" w:cs="Times New Roman"/>
          <w:i/>
          <w:color w:val="000000" w:themeColor="text1"/>
          <w:sz w:val="20"/>
        </w:rPr>
      </w:pPr>
      <w:r w:rsidRPr="00F60242">
        <w:rPr>
          <w:rFonts w:ascii="Times New Roman" w:hAnsi="Times New Roman" w:cs="Times New Roman"/>
          <w:color w:val="auto"/>
          <w:szCs w:val="24"/>
        </w:rPr>
        <w:t>Dodatkowo zgodnie z Instrukcją Zasady zarządzania ryzykiem płynności w WMBS Bank prowadzi rejestr alternatywnych źródeł finansowania</w:t>
      </w:r>
      <w:r w:rsidR="00EE60D9" w:rsidRPr="00F60242">
        <w:rPr>
          <w:rFonts w:ascii="Times New Roman" w:hAnsi="Times New Roman" w:cs="Times New Roman"/>
          <w:color w:val="auto"/>
          <w:szCs w:val="24"/>
        </w:rPr>
        <w:t xml:space="preserve"> </w:t>
      </w:r>
      <w:r w:rsidR="00A72D07">
        <w:rPr>
          <w:rFonts w:ascii="Times New Roman" w:hAnsi="Times New Roman" w:cs="Times New Roman"/>
          <w:color w:val="auto"/>
          <w:szCs w:val="24"/>
        </w:rPr>
        <w:t xml:space="preserve">oraz rejestr aktywów nieobciążonych, aktywów obciążonych oraz dodatkowych źródeł finansowania. </w:t>
      </w:r>
    </w:p>
    <w:p w14:paraId="2B348F7E" w14:textId="65C78424" w:rsidR="002C50F6" w:rsidRPr="00204B79" w:rsidRDefault="00E81BF6" w:rsidP="00942B14">
      <w:pPr>
        <w:spacing w:after="0" w:line="276" w:lineRule="auto"/>
        <w:ind w:left="-6" w:right="6" w:hanging="11"/>
        <w:rPr>
          <w:rFonts w:ascii="Times New Roman" w:hAnsi="Times New Roman" w:cs="Times New Roman"/>
          <w:color w:val="000000" w:themeColor="text1"/>
        </w:rPr>
      </w:pPr>
      <w:r w:rsidRPr="00660BF1">
        <w:rPr>
          <w:rFonts w:ascii="Times New Roman" w:hAnsi="Times New Roman" w:cs="Times New Roman"/>
          <w:color w:val="000000" w:themeColor="text1"/>
        </w:rPr>
        <w:t xml:space="preserve">Bank zakłada utrzymanie dotychczasowej struktury depozytów przyjętych od klientów Banku, gdzie podstawowym źródłem finansowania aktywów są depozyty podmiotów niefinansowych, głównie gospodarstw domowych oraz instytucji rządowych i samorządowych (składających się na tzw. bazę depozytową). Zachowując ostrożne podejście do zarządzania ryzykiem płynności Bank finansuje aktywa o dalszych przedziałach zapadalności jedynie najbardziej stabilna częścią </w:t>
      </w:r>
      <w:r w:rsidR="000E696A" w:rsidRPr="00660BF1">
        <w:rPr>
          <w:rFonts w:ascii="Times New Roman" w:hAnsi="Times New Roman" w:cs="Times New Roman"/>
          <w:color w:val="000000" w:themeColor="text1"/>
        </w:rPr>
        <w:t xml:space="preserve">środków pozyskanych od klientów </w:t>
      </w:r>
      <w:r w:rsidRPr="00660BF1">
        <w:rPr>
          <w:rFonts w:ascii="Times New Roman" w:hAnsi="Times New Roman" w:cs="Times New Roman"/>
          <w:color w:val="000000" w:themeColor="text1"/>
        </w:rPr>
        <w:t>czyli tzw. osadem na depozytach. W trosce o zachowanie odpowiedniego poziomu płynności, Bank dąży do wydłużenia średniego terminu wymagalności przyjmowanych depozytów (a tym samym zwiększenia stabilności pozyskiwanych środków), tak aby możliwe było otwieranie po stronie aktywnej</w:t>
      </w:r>
      <w:r w:rsidR="005A7EF0" w:rsidRPr="00660BF1">
        <w:rPr>
          <w:rFonts w:ascii="Times New Roman" w:hAnsi="Times New Roman" w:cs="Times New Roman"/>
          <w:color w:val="000000" w:themeColor="text1"/>
        </w:rPr>
        <w:t xml:space="preserve"> </w:t>
      </w:r>
      <w:r w:rsidRPr="00660BF1">
        <w:rPr>
          <w:rFonts w:ascii="Times New Roman" w:hAnsi="Times New Roman" w:cs="Times New Roman"/>
          <w:color w:val="000000" w:themeColor="text1"/>
        </w:rPr>
        <w:t xml:space="preserve">pozycji o dłuższym horyzoncie czasowym. Ma to odzwierciedlenie w charakterystyce konstruowanych produktów depozytowych. Strukturę podstawowych źródeł finansowania Banku oraz poziom wyznaczonego na nich osadu według </w:t>
      </w:r>
      <w:r w:rsidRPr="00204B79">
        <w:rPr>
          <w:rFonts w:ascii="Times New Roman" w:hAnsi="Times New Roman" w:cs="Times New Roman"/>
          <w:color w:val="000000" w:themeColor="text1"/>
        </w:rPr>
        <w:t>stanu na 31.</w:t>
      </w:r>
      <w:r w:rsidR="00843761" w:rsidRPr="00204B79">
        <w:rPr>
          <w:rFonts w:ascii="Times New Roman" w:hAnsi="Times New Roman" w:cs="Times New Roman"/>
          <w:color w:val="000000" w:themeColor="text1"/>
        </w:rPr>
        <w:t>12.20</w:t>
      </w:r>
      <w:r w:rsidR="00660BF1" w:rsidRPr="00204B79">
        <w:rPr>
          <w:rFonts w:ascii="Times New Roman" w:hAnsi="Times New Roman" w:cs="Times New Roman"/>
          <w:color w:val="000000" w:themeColor="text1"/>
        </w:rPr>
        <w:t>20</w:t>
      </w:r>
      <w:r w:rsidRPr="00204B79">
        <w:rPr>
          <w:rFonts w:ascii="Times New Roman" w:hAnsi="Times New Roman" w:cs="Times New Roman"/>
          <w:color w:val="000000" w:themeColor="text1"/>
        </w:rPr>
        <w:t xml:space="preserve"> r. prezentuje poniższa tabela.</w:t>
      </w:r>
    </w:p>
    <w:p w14:paraId="2302CD93" w14:textId="77777777" w:rsidR="00F76AC5" w:rsidRPr="00204B79" w:rsidRDefault="00F76AC5" w:rsidP="00942B14">
      <w:pPr>
        <w:spacing w:after="0" w:line="276" w:lineRule="auto"/>
        <w:ind w:left="-6" w:right="6" w:hanging="11"/>
        <w:rPr>
          <w:rFonts w:ascii="Times New Roman" w:hAnsi="Times New Roman" w:cs="Times New Roman"/>
          <w:color w:val="000000" w:themeColor="text1"/>
        </w:rPr>
      </w:pPr>
    </w:p>
    <w:p w14:paraId="49D03F79" w14:textId="0FB92CF5" w:rsidR="00C53E04" w:rsidRPr="00204B79" w:rsidRDefault="00E81BF6" w:rsidP="00C53E04">
      <w:pPr>
        <w:spacing w:after="23" w:line="270" w:lineRule="auto"/>
        <w:ind w:left="-5" w:right="0"/>
        <w:rPr>
          <w:rFonts w:ascii="Times New Roman" w:hAnsi="Times New Roman" w:cs="Times New Roman"/>
          <w:i/>
          <w:color w:val="000000" w:themeColor="text1"/>
          <w:sz w:val="20"/>
        </w:rPr>
      </w:pPr>
      <w:r w:rsidRPr="00204B79">
        <w:rPr>
          <w:rFonts w:ascii="Times New Roman" w:hAnsi="Times New Roman" w:cs="Times New Roman"/>
          <w:i/>
          <w:color w:val="000000" w:themeColor="text1"/>
          <w:sz w:val="20"/>
        </w:rPr>
        <w:t>Tabela – Struktura podstawowych źródeł finansowania Ban</w:t>
      </w:r>
      <w:r w:rsidR="00C53E04" w:rsidRPr="00204B79">
        <w:rPr>
          <w:rFonts w:ascii="Times New Roman" w:hAnsi="Times New Roman" w:cs="Times New Roman"/>
          <w:i/>
          <w:color w:val="000000" w:themeColor="text1"/>
          <w:sz w:val="20"/>
        </w:rPr>
        <w:t>ku na dzień 31.12.20</w:t>
      </w:r>
      <w:r w:rsidR="00660BF1" w:rsidRPr="00204B79">
        <w:rPr>
          <w:rFonts w:ascii="Times New Roman" w:hAnsi="Times New Roman" w:cs="Times New Roman"/>
          <w:i/>
          <w:color w:val="000000" w:themeColor="text1"/>
          <w:sz w:val="20"/>
        </w:rPr>
        <w:t>20</w:t>
      </w:r>
      <w:r w:rsidR="005A7EF0" w:rsidRPr="00204B79">
        <w:rPr>
          <w:rFonts w:ascii="Times New Roman" w:hAnsi="Times New Roman" w:cs="Times New Roman"/>
          <w:i/>
          <w:color w:val="000000" w:themeColor="text1"/>
          <w:sz w:val="20"/>
        </w:rPr>
        <w:t xml:space="preserve"> roku</w:t>
      </w:r>
      <w:r w:rsidRPr="00204B79">
        <w:rPr>
          <w:rFonts w:ascii="Times New Roman" w:hAnsi="Times New Roman" w:cs="Times New Roman"/>
          <w:i/>
          <w:color w:val="000000" w:themeColor="text1"/>
          <w:sz w:val="20"/>
        </w:rPr>
        <w:t xml:space="preserve"> </w:t>
      </w:r>
      <w:r w:rsidR="005A7EF0" w:rsidRPr="00204B79">
        <w:rPr>
          <w:rFonts w:ascii="Times New Roman" w:hAnsi="Times New Roman" w:cs="Times New Roman"/>
          <w:i/>
          <w:color w:val="000000" w:themeColor="text1"/>
          <w:sz w:val="20"/>
        </w:rPr>
        <w:t>(</w:t>
      </w:r>
      <w:r w:rsidRPr="00204B79">
        <w:rPr>
          <w:rFonts w:ascii="Times New Roman" w:hAnsi="Times New Roman" w:cs="Times New Roman"/>
          <w:i/>
          <w:color w:val="000000" w:themeColor="text1"/>
          <w:sz w:val="20"/>
        </w:rPr>
        <w:t xml:space="preserve">w </w:t>
      </w:r>
      <w:r w:rsidR="00B61695" w:rsidRPr="00204B79">
        <w:rPr>
          <w:rFonts w:ascii="Times New Roman" w:hAnsi="Times New Roman" w:cs="Times New Roman"/>
          <w:i/>
          <w:color w:val="000000" w:themeColor="text1"/>
          <w:sz w:val="20"/>
        </w:rPr>
        <w:t>tys. zł</w:t>
      </w:r>
      <w:r w:rsidR="005A7EF0" w:rsidRPr="00204B79">
        <w:rPr>
          <w:rFonts w:ascii="Times New Roman" w:hAnsi="Times New Roman" w:cs="Times New Roman"/>
          <w:i/>
          <w:color w:val="000000" w:themeColor="text1"/>
          <w:sz w:val="20"/>
        </w:rPr>
        <w:t>)</w:t>
      </w:r>
      <w:r w:rsidR="00C53E04" w:rsidRPr="00204B79">
        <w:rPr>
          <w:rFonts w:ascii="Times New Roman" w:hAnsi="Times New Roman" w:cs="Times New Roman"/>
          <w:i/>
          <w:color w:val="000000" w:themeColor="text1"/>
          <w:sz w:val="20"/>
        </w:rPr>
        <w:t xml:space="preserve"> </w:t>
      </w:r>
      <w:r w:rsidR="004B61D9" w:rsidRPr="00204B79">
        <w:rPr>
          <w:rFonts w:ascii="Times New Roman" w:hAnsi="Times New Roman" w:cs="Times New Roman"/>
          <w:i/>
          <w:color w:val="000000" w:themeColor="text1"/>
          <w:sz w:val="20"/>
        </w:rPr>
        <w:t xml:space="preserve">(źródło: </w:t>
      </w:r>
      <w:r w:rsidR="00C53E04" w:rsidRPr="00204B79">
        <w:rPr>
          <w:rFonts w:ascii="Times New Roman" w:hAnsi="Times New Roman" w:cs="Times New Roman"/>
          <w:i/>
          <w:color w:val="000000" w:themeColor="text1"/>
          <w:sz w:val="20"/>
        </w:rPr>
        <w:t>raport analiza ryzyka płynności Warmińsko – Mazurskiego Banku Spółdzielc</w:t>
      </w:r>
      <w:r w:rsidR="00D00CF3" w:rsidRPr="00204B79">
        <w:rPr>
          <w:rFonts w:ascii="Times New Roman" w:hAnsi="Times New Roman" w:cs="Times New Roman"/>
          <w:i/>
          <w:color w:val="000000" w:themeColor="text1"/>
          <w:sz w:val="20"/>
        </w:rPr>
        <w:t>zego wg stanu na 31 grudnia 20</w:t>
      </w:r>
      <w:r w:rsidR="00660BF1" w:rsidRPr="00204B79">
        <w:rPr>
          <w:rFonts w:ascii="Times New Roman" w:hAnsi="Times New Roman" w:cs="Times New Roman"/>
          <w:i/>
          <w:color w:val="000000" w:themeColor="text1"/>
          <w:sz w:val="20"/>
        </w:rPr>
        <w:t>20</w:t>
      </w:r>
      <w:r w:rsidR="00C53E04" w:rsidRPr="00204B79">
        <w:rPr>
          <w:rFonts w:ascii="Times New Roman" w:hAnsi="Times New Roman" w:cs="Times New Roman"/>
          <w:i/>
          <w:color w:val="000000" w:themeColor="text1"/>
          <w:sz w:val="20"/>
        </w:rPr>
        <w:t xml:space="preserve"> r.)</w:t>
      </w:r>
    </w:p>
    <w:tbl>
      <w:tblPr>
        <w:tblW w:w="9360" w:type="dxa"/>
        <w:tblInd w:w="-10" w:type="dxa"/>
        <w:tblCellMar>
          <w:left w:w="70" w:type="dxa"/>
          <w:right w:w="70" w:type="dxa"/>
        </w:tblCellMar>
        <w:tblLook w:val="04A0" w:firstRow="1" w:lastRow="0" w:firstColumn="1" w:lastColumn="0" w:noHBand="0" w:noVBand="1"/>
      </w:tblPr>
      <w:tblGrid>
        <w:gridCol w:w="3700"/>
        <w:gridCol w:w="2020"/>
        <w:gridCol w:w="1760"/>
        <w:gridCol w:w="1880"/>
      </w:tblGrid>
      <w:tr w:rsidR="00204B79" w:rsidRPr="00204B79" w14:paraId="69C51E79" w14:textId="77777777" w:rsidTr="00F76AC5">
        <w:trPr>
          <w:trHeight w:val="270"/>
        </w:trPr>
        <w:tc>
          <w:tcPr>
            <w:tcW w:w="3700" w:type="dxa"/>
            <w:tcBorders>
              <w:top w:val="single" w:sz="8" w:space="0" w:color="FFFFFF"/>
              <w:left w:val="single" w:sz="8" w:space="0" w:color="FFFFFF"/>
              <w:bottom w:val="single" w:sz="8" w:space="0" w:color="FFFFFF"/>
              <w:right w:val="single" w:sz="8" w:space="0" w:color="FFFFFF"/>
            </w:tcBorders>
            <w:shd w:val="clear" w:color="000000" w:fill="4F81BD"/>
            <w:noWrap/>
            <w:vAlign w:val="center"/>
            <w:hideMark/>
          </w:tcPr>
          <w:p w14:paraId="42F2BEB6" w14:textId="77777777" w:rsidR="00F76AC5" w:rsidRPr="00204B79" w:rsidRDefault="00F76AC5" w:rsidP="00F76AC5">
            <w:pPr>
              <w:spacing w:after="0" w:line="240" w:lineRule="auto"/>
              <w:ind w:left="0" w:right="0" w:firstLine="0"/>
              <w:jc w:val="center"/>
              <w:rPr>
                <w:rFonts w:ascii="Times New Roman" w:eastAsia="Times New Roman" w:hAnsi="Times New Roman" w:cs="Times New Roman"/>
                <w:b/>
                <w:bCs/>
                <w:color w:val="000000" w:themeColor="text1"/>
                <w:sz w:val="20"/>
                <w:szCs w:val="20"/>
              </w:rPr>
            </w:pPr>
            <w:r w:rsidRPr="00204B79">
              <w:rPr>
                <w:rFonts w:ascii="Times New Roman" w:eastAsia="Times New Roman" w:hAnsi="Times New Roman" w:cs="Times New Roman"/>
                <w:b/>
                <w:bCs/>
                <w:color w:val="000000" w:themeColor="text1"/>
                <w:sz w:val="20"/>
                <w:szCs w:val="20"/>
              </w:rPr>
              <w:t xml:space="preserve">Baza depozytowa </w:t>
            </w:r>
          </w:p>
        </w:tc>
        <w:tc>
          <w:tcPr>
            <w:tcW w:w="2020" w:type="dxa"/>
            <w:tcBorders>
              <w:top w:val="single" w:sz="8" w:space="0" w:color="FFFFFF"/>
              <w:left w:val="nil"/>
              <w:bottom w:val="single" w:sz="8" w:space="0" w:color="FFFFFF"/>
              <w:right w:val="single" w:sz="8" w:space="0" w:color="FFFFFF"/>
            </w:tcBorders>
            <w:shd w:val="clear" w:color="000000" w:fill="4F81BD"/>
            <w:noWrap/>
            <w:vAlign w:val="center"/>
            <w:hideMark/>
          </w:tcPr>
          <w:p w14:paraId="758B1EFC" w14:textId="5CCD7426" w:rsidR="00F76AC5" w:rsidRPr="00204B79" w:rsidRDefault="00F76AC5" w:rsidP="00F76AC5">
            <w:pPr>
              <w:spacing w:after="0" w:line="240" w:lineRule="auto"/>
              <w:ind w:left="0" w:right="0" w:firstLine="0"/>
              <w:jc w:val="center"/>
              <w:rPr>
                <w:rFonts w:ascii="Times New Roman" w:eastAsia="Times New Roman" w:hAnsi="Times New Roman" w:cs="Times New Roman"/>
                <w:b/>
                <w:bCs/>
                <w:color w:val="000000" w:themeColor="text1"/>
                <w:sz w:val="20"/>
                <w:szCs w:val="20"/>
              </w:rPr>
            </w:pPr>
            <w:r w:rsidRPr="00204B79">
              <w:rPr>
                <w:rFonts w:ascii="Times New Roman" w:eastAsia="Times New Roman" w:hAnsi="Times New Roman" w:cs="Times New Roman"/>
                <w:b/>
                <w:bCs/>
                <w:color w:val="000000" w:themeColor="text1"/>
                <w:sz w:val="20"/>
                <w:szCs w:val="20"/>
              </w:rPr>
              <w:t xml:space="preserve">wartość w  </w:t>
            </w:r>
            <w:r w:rsidR="00A375D9" w:rsidRPr="00204B79">
              <w:rPr>
                <w:rFonts w:ascii="Times New Roman" w:eastAsia="Times New Roman" w:hAnsi="Times New Roman" w:cs="Times New Roman"/>
                <w:b/>
                <w:bCs/>
                <w:color w:val="000000" w:themeColor="text1"/>
                <w:sz w:val="20"/>
                <w:szCs w:val="20"/>
              </w:rPr>
              <w:t xml:space="preserve">tys.  </w:t>
            </w:r>
            <w:r w:rsidRPr="00204B79">
              <w:rPr>
                <w:rFonts w:ascii="Times New Roman" w:eastAsia="Times New Roman" w:hAnsi="Times New Roman" w:cs="Times New Roman"/>
                <w:b/>
                <w:bCs/>
                <w:color w:val="000000" w:themeColor="text1"/>
                <w:sz w:val="20"/>
                <w:szCs w:val="20"/>
              </w:rPr>
              <w:t>zł.</w:t>
            </w:r>
          </w:p>
        </w:tc>
        <w:tc>
          <w:tcPr>
            <w:tcW w:w="1760" w:type="dxa"/>
            <w:tcBorders>
              <w:top w:val="single" w:sz="8" w:space="0" w:color="FFFFFF"/>
              <w:left w:val="nil"/>
              <w:bottom w:val="single" w:sz="8" w:space="0" w:color="FFFFFF"/>
              <w:right w:val="single" w:sz="8" w:space="0" w:color="FFFFFF"/>
            </w:tcBorders>
            <w:shd w:val="clear" w:color="000000" w:fill="4F81BD"/>
            <w:noWrap/>
            <w:vAlign w:val="center"/>
            <w:hideMark/>
          </w:tcPr>
          <w:p w14:paraId="7530A5B3" w14:textId="77777777" w:rsidR="00F76AC5" w:rsidRPr="00204B79" w:rsidRDefault="00F76AC5" w:rsidP="00F76AC5">
            <w:pPr>
              <w:spacing w:after="0" w:line="240" w:lineRule="auto"/>
              <w:ind w:left="0" w:right="0" w:firstLine="0"/>
              <w:jc w:val="center"/>
              <w:rPr>
                <w:rFonts w:ascii="Times New Roman" w:eastAsia="Times New Roman" w:hAnsi="Times New Roman" w:cs="Times New Roman"/>
                <w:b/>
                <w:bCs/>
                <w:color w:val="000000" w:themeColor="text1"/>
                <w:sz w:val="20"/>
                <w:szCs w:val="20"/>
              </w:rPr>
            </w:pPr>
            <w:r w:rsidRPr="00204B79">
              <w:rPr>
                <w:rFonts w:ascii="Times New Roman" w:eastAsia="Times New Roman" w:hAnsi="Times New Roman" w:cs="Times New Roman"/>
                <w:b/>
                <w:bCs/>
                <w:color w:val="000000" w:themeColor="text1"/>
                <w:sz w:val="20"/>
                <w:szCs w:val="20"/>
              </w:rPr>
              <w:t>Wskaźnik osadu</w:t>
            </w:r>
          </w:p>
        </w:tc>
        <w:tc>
          <w:tcPr>
            <w:tcW w:w="1880" w:type="dxa"/>
            <w:tcBorders>
              <w:top w:val="single" w:sz="8" w:space="0" w:color="FFFFFF"/>
              <w:left w:val="nil"/>
              <w:bottom w:val="single" w:sz="8" w:space="0" w:color="FFFFFF"/>
              <w:right w:val="single" w:sz="8" w:space="0" w:color="FFFFFF"/>
            </w:tcBorders>
            <w:shd w:val="clear" w:color="000000" w:fill="4F81BD"/>
            <w:noWrap/>
            <w:vAlign w:val="center"/>
            <w:hideMark/>
          </w:tcPr>
          <w:p w14:paraId="6651C37A" w14:textId="77777777" w:rsidR="00F76AC5" w:rsidRPr="00204B79" w:rsidRDefault="00F76AC5" w:rsidP="00F76AC5">
            <w:pPr>
              <w:spacing w:after="0" w:line="240" w:lineRule="auto"/>
              <w:ind w:left="0" w:right="0" w:firstLine="0"/>
              <w:jc w:val="center"/>
              <w:rPr>
                <w:rFonts w:ascii="Times New Roman" w:eastAsia="Times New Roman" w:hAnsi="Times New Roman" w:cs="Times New Roman"/>
                <w:b/>
                <w:bCs/>
                <w:color w:val="000000" w:themeColor="text1"/>
                <w:sz w:val="20"/>
                <w:szCs w:val="20"/>
              </w:rPr>
            </w:pPr>
            <w:r w:rsidRPr="00204B79">
              <w:rPr>
                <w:rFonts w:ascii="Times New Roman" w:eastAsia="Times New Roman" w:hAnsi="Times New Roman" w:cs="Times New Roman"/>
                <w:b/>
                <w:bCs/>
                <w:color w:val="000000" w:themeColor="text1"/>
                <w:sz w:val="20"/>
                <w:szCs w:val="20"/>
              </w:rPr>
              <w:t>Osad</w:t>
            </w:r>
          </w:p>
        </w:tc>
      </w:tr>
      <w:tr w:rsidR="00204B79" w:rsidRPr="00204B79" w14:paraId="097CE373" w14:textId="77777777" w:rsidTr="00F03B83">
        <w:trPr>
          <w:trHeight w:val="315"/>
        </w:trPr>
        <w:tc>
          <w:tcPr>
            <w:tcW w:w="3700" w:type="dxa"/>
            <w:tcBorders>
              <w:top w:val="nil"/>
              <w:left w:val="single" w:sz="8" w:space="0" w:color="FFFFFF"/>
              <w:bottom w:val="single" w:sz="8" w:space="0" w:color="FFFFFF"/>
              <w:right w:val="single" w:sz="8" w:space="0" w:color="FFFFFF"/>
            </w:tcBorders>
            <w:shd w:val="clear" w:color="000000" w:fill="95B3D7"/>
            <w:noWrap/>
            <w:vAlign w:val="center"/>
            <w:hideMark/>
          </w:tcPr>
          <w:p w14:paraId="4A2EEB29" w14:textId="77777777" w:rsidR="00204B79" w:rsidRPr="00204B79" w:rsidRDefault="00204B79" w:rsidP="00204B79">
            <w:pPr>
              <w:spacing w:after="0" w:line="240" w:lineRule="auto"/>
              <w:ind w:left="0" w:right="0" w:firstLine="0"/>
              <w:jc w:val="left"/>
              <w:rPr>
                <w:rFonts w:ascii="Times New Roman" w:eastAsia="Times New Roman" w:hAnsi="Times New Roman" w:cs="Times New Roman"/>
                <w:b/>
                <w:bCs/>
                <w:i/>
                <w:iCs/>
                <w:color w:val="000000" w:themeColor="text1"/>
                <w:sz w:val="22"/>
              </w:rPr>
            </w:pPr>
            <w:r w:rsidRPr="00204B79">
              <w:rPr>
                <w:rFonts w:ascii="Times New Roman" w:eastAsia="Times New Roman" w:hAnsi="Times New Roman" w:cs="Times New Roman"/>
                <w:b/>
                <w:bCs/>
                <w:i/>
                <w:iCs/>
                <w:color w:val="000000" w:themeColor="text1"/>
                <w:sz w:val="22"/>
              </w:rPr>
              <w:t>Depozyty sektora niefinansowego:</w:t>
            </w:r>
          </w:p>
        </w:tc>
        <w:tc>
          <w:tcPr>
            <w:tcW w:w="2020" w:type="dxa"/>
            <w:tcBorders>
              <w:top w:val="nil"/>
              <w:left w:val="nil"/>
              <w:bottom w:val="single" w:sz="8" w:space="0" w:color="FFFFFF"/>
              <w:right w:val="single" w:sz="8" w:space="0" w:color="FFFFFF"/>
            </w:tcBorders>
            <w:shd w:val="clear" w:color="000000" w:fill="95B3D7"/>
            <w:noWrap/>
            <w:hideMark/>
          </w:tcPr>
          <w:p w14:paraId="0500709F" w14:textId="767088EE" w:rsidR="00204B79" w:rsidRPr="00204B79" w:rsidRDefault="00204B79" w:rsidP="00204B79">
            <w:pPr>
              <w:spacing w:after="0" w:line="240" w:lineRule="auto"/>
              <w:ind w:left="0" w:right="0" w:firstLine="0"/>
              <w:jc w:val="right"/>
              <w:rPr>
                <w:rFonts w:ascii="Times New Roman" w:eastAsia="Times New Roman" w:hAnsi="Times New Roman" w:cs="Times New Roman"/>
                <w:b/>
                <w:bCs/>
                <w:i/>
                <w:iCs/>
                <w:color w:val="000000" w:themeColor="text1"/>
                <w:sz w:val="20"/>
                <w:szCs w:val="20"/>
              </w:rPr>
            </w:pPr>
            <w:r w:rsidRPr="00204B79">
              <w:rPr>
                <w:rFonts w:ascii="Times New Roman" w:hAnsi="Times New Roman" w:cs="Times New Roman"/>
                <w:b/>
                <w:color w:val="000000" w:themeColor="text1"/>
                <w:sz w:val="20"/>
                <w:szCs w:val="20"/>
              </w:rPr>
              <w:t>585 382</w:t>
            </w:r>
          </w:p>
        </w:tc>
        <w:tc>
          <w:tcPr>
            <w:tcW w:w="1760" w:type="dxa"/>
            <w:tcBorders>
              <w:top w:val="nil"/>
              <w:left w:val="nil"/>
              <w:bottom w:val="single" w:sz="8" w:space="0" w:color="FFFFFF"/>
              <w:right w:val="single" w:sz="8" w:space="0" w:color="FFFFFF"/>
            </w:tcBorders>
            <w:shd w:val="clear" w:color="000000" w:fill="95B3D7"/>
            <w:noWrap/>
            <w:hideMark/>
          </w:tcPr>
          <w:p w14:paraId="7CED2660" w14:textId="3C23FFED" w:rsidR="00204B79" w:rsidRPr="00204B79" w:rsidRDefault="00204B79" w:rsidP="00204B79">
            <w:pPr>
              <w:spacing w:after="0" w:line="240" w:lineRule="auto"/>
              <w:ind w:left="0" w:right="0" w:firstLine="0"/>
              <w:jc w:val="right"/>
              <w:rPr>
                <w:rFonts w:ascii="Times New Roman" w:eastAsia="Times New Roman" w:hAnsi="Times New Roman" w:cs="Times New Roman"/>
                <w:b/>
                <w:bCs/>
                <w:i/>
                <w:iCs/>
                <w:color w:val="000000" w:themeColor="text1"/>
                <w:sz w:val="20"/>
                <w:szCs w:val="20"/>
              </w:rPr>
            </w:pPr>
            <w:r w:rsidRPr="00204B79">
              <w:rPr>
                <w:rFonts w:ascii="Times New Roman" w:hAnsi="Times New Roman" w:cs="Times New Roman"/>
                <w:b/>
                <w:color w:val="000000" w:themeColor="text1"/>
                <w:sz w:val="20"/>
                <w:szCs w:val="20"/>
              </w:rPr>
              <w:t>73,60%</w:t>
            </w:r>
          </w:p>
        </w:tc>
        <w:tc>
          <w:tcPr>
            <w:tcW w:w="1880" w:type="dxa"/>
            <w:tcBorders>
              <w:top w:val="nil"/>
              <w:left w:val="nil"/>
              <w:bottom w:val="single" w:sz="8" w:space="0" w:color="FFFFFF"/>
              <w:right w:val="single" w:sz="8" w:space="0" w:color="FFFFFF"/>
            </w:tcBorders>
            <w:shd w:val="clear" w:color="000000" w:fill="95B3D7"/>
            <w:noWrap/>
            <w:hideMark/>
          </w:tcPr>
          <w:p w14:paraId="30E62DEE" w14:textId="32AA104E" w:rsidR="00204B79" w:rsidRPr="00204B79" w:rsidRDefault="00204B79" w:rsidP="00204B79">
            <w:pPr>
              <w:spacing w:after="0" w:line="240" w:lineRule="auto"/>
              <w:ind w:left="0" w:right="0" w:firstLine="0"/>
              <w:jc w:val="right"/>
              <w:rPr>
                <w:rFonts w:ascii="Times New Roman" w:eastAsia="Times New Roman" w:hAnsi="Times New Roman" w:cs="Times New Roman"/>
                <w:b/>
                <w:bCs/>
                <w:i/>
                <w:iCs/>
                <w:color w:val="000000" w:themeColor="text1"/>
                <w:sz w:val="20"/>
                <w:szCs w:val="20"/>
              </w:rPr>
            </w:pPr>
            <w:r w:rsidRPr="00204B79">
              <w:rPr>
                <w:rFonts w:ascii="Times New Roman" w:hAnsi="Times New Roman" w:cs="Times New Roman"/>
                <w:b/>
                <w:color w:val="000000" w:themeColor="text1"/>
                <w:sz w:val="20"/>
                <w:szCs w:val="20"/>
              </w:rPr>
              <w:t>430 852</w:t>
            </w:r>
          </w:p>
        </w:tc>
      </w:tr>
      <w:tr w:rsidR="00204B79" w:rsidRPr="00204B79" w14:paraId="0090CF9F" w14:textId="77777777" w:rsidTr="00F03B83">
        <w:trPr>
          <w:trHeight w:val="270"/>
        </w:trPr>
        <w:tc>
          <w:tcPr>
            <w:tcW w:w="3700" w:type="dxa"/>
            <w:tcBorders>
              <w:top w:val="nil"/>
              <w:left w:val="single" w:sz="8" w:space="0" w:color="FFFFFF"/>
              <w:bottom w:val="single" w:sz="8" w:space="0" w:color="FFFFFF"/>
              <w:right w:val="single" w:sz="8" w:space="0" w:color="FFFFFF"/>
            </w:tcBorders>
            <w:shd w:val="clear" w:color="000000" w:fill="B8CCE4"/>
            <w:noWrap/>
            <w:vAlign w:val="center"/>
            <w:hideMark/>
          </w:tcPr>
          <w:p w14:paraId="172E5A0B" w14:textId="77777777" w:rsidR="00204B79" w:rsidRPr="00204B79" w:rsidRDefault="00204B79" w:rsidP="00204B79">
            <w:pPr>
              <w:spacing w:after="0" w:line="240" w:lineRule="auto"/>
              <w:ind w:left="0" w:right="0" w:firstLine="0"/>
              <w:jc w:val="left"/>
              <w:rPr>
                <w:rFonts w:ascii="Times New Roman" w:eastAsia="Times New Roman" w:hAnsi="Times New Roman" w:cs="Times New Roman"/>
                <w:color w:val="000000" w:themeColor="text1"/>
                <w:sz w:val="20"/>
                <w:szCs w:val="20"/>
              </w:rPr>
            </w:pPr>
            <w:r w:rsidRPr="00204B79">
              <w:rPr>
                <w:rFonts w:ascii="Times New Roman" w:eastAsia="Times New Roman" w:hAnsi="Times New Roman" w:cs="Times New Roman"/>
                <w:color w:val="000000" w:themeColor="text1"/>
                <w:sz w:val="20"/>
                <w:szCs w:val="20"/>
              </w:rPr>
              <w:t>Depozyty osób fizycznych, w tym:</w:t>
            </w:r>
          </w:p>
        </w:tc>
        <w:tc>
          <w:tcPr>
            <w:tcW w:w="2020" w:type="dxa"/>
            <w:tcBorders>
              <w:top w:val="nil"/>
              <w:left w:val="nil"/>
              <w:bottom w:val="single" w:sz="8" w:space="0" w:color="FFFFFF"/>
              <w:right w:val="single" w:sz="8" w:space="0" w:color="FFFFFF"/>
            </w:tcBorders>
            <w:shd w:val="clear" w:color="000000" w:fill="B8CCE4"/>
            <w:noWrap/>
            <w:hideMark/>
          </w:tcPr>
          <w:p w14:paraId="6841125D" w14:textId="5B633271" w:rsidR="00204B79" w:rsidRPr="00204B79" w:rsidRDefault="00204B79" w:rsidP="00204B79">
            <w:pPr>
              <w:spacing w:after="0" w:line="240" w:lineRule="auto"/>
              <w:ind w:left="0" w:right="0" w:firstLine="0"/>
              <w:jc w:val="right"/>
              <w:rPr>
                <w:rFonts w:ascii="Times New Roman" w:eastAsia="Times New Roman" w:hAnsi="Times New Roman" w:cs="Times New Roman"/>
                <w:b/>
                <w:bCs/>
                <w:color w:val="000000" w:themeColor="text1"/>
                <w:sz w:val="20"/>
                <w:szCs w:val="20"/>
              </w:rPr>
            </w:pPr>
            <w:r w:rsidRPr="00204B79">
              <w:rPr>
                <w:rFonts w:ascii="Times New Roman" w:hAnsi="Times New Roman" w:cs="Times New Roman"/>
                <w:color w:val="000000" w:themeColor="text1"/>
                <w:sz w:val="20"/>
                <w:szCs w:val="20"/>
              </w:rPr>
              <w:t>433 261</w:t>
            </w:r>
          </w:p>
        </w:tc>
        <w:tc>
          <w:tcPr>
            <w:tcW w:w="1760" w:type="dxa"/>
            <w:tcBorders>
              <w:top w:val="nil"/>
              <w:left w:val="nil"/>
              <w:bottom w:val="single" w:sz="8" w:space="0" w:color="FFFFFF"/>
              <w:right w:val="single" w:sz="8" w:space="0" w:color="FFFFFF"/>
            </w:tcBorders>
            <w:shd w:val="clear" w:color="000000" w:fill="B8CCE4"/>
            <w:noWrap/>
            <w:hideMark/>
          </w:tcPr>
          <w:p w14:paraId="236A66BC" w14:textId="2F1D5CBB" w:rsidR="00204B79" w:rsidRPr="00204B79" w:rsidRDefault="00204B79" w:rsidP="00204B79">
            <w:pPr>
              <w:spacing w:after="0" w:line="240" w:lineRule="auto"/>
              <w:ind w:left="0" w:right="0" w:firstLine="0"/>
              <w:jc w:val="right"/>
              <w:rPr>
                <w:rFonts w:ascii="Times New Roman" w:eastAsia="Times New Roman" w:hAnsi="Times New Roman" w:cs="Times New Roman"/>
                <w:b/>
                <w:bCs/>
                <w:color w:val="000000" w:themeColor="text1"/>
                <w:sz w:val="20"/>
                <w:szCs w:val="20"/>
              </w:rPr>
            </w:pPr>
            <w:r w:rsidRPr="00204B79">
              <w:rPr>
                <w:rFonts w:ascii="Times New Roman" w:hAnsi="Times New Roman" w:cs="Times New Roman"/>
                <w:color w:val="000000" w:themeColor="text1"/>
                <w:sz w:val="20"/>
                <w:szCs w:val="20"/>
              </w:rPr>
              <w:t>74,63%</w:t>
            </w:r>
          </w:p>
        </w:tc>
        <w:tc>
          <w:tcPr>
            <w:tcW w:w="1880" w:type="dxa"/>
            <w:tcBorders>
              <w:top w:val="nil"/>
              <w:left w:val="nil"/>
              <w:bottom w:val="single" w:sz="8" w:space="0" w:color="FFFFFF"/>
              <w:right w:val="single" w:sz="8" w:space="0" w:color="FFFFFF"/>
            </w:tcBorders>
            <w:shd w:val="clear" w:color="000000" w:fill="B8CCE4"/>
            <w:noWrap/>
            <w:hideMark/>
          </w:tcPr>
          <w:p w14:paraId="43F3F1D2" w14:textId="55034B8C" w:rsidR="00204B79" w:rsidRPr="00204B79" w:rsidRDefault="00204B79" w:rsidP="00204B79">
            <w:pPr>
              <w:spacing w:after="0" w:line="240" w:lineRule="auto"/>
              <w:ind w:left="0" w:right="0" w:firstLine="0"/>
              <w:jc w:val="right"/>
              <w:rPr>
                <w:rFonts w:ascii="Times New Roman" w:eastAsia="Times New Roman" w:hAnsi="Times New Roman" w:cs="Times New Roman"/>
                <w:b/>
                <w:bCs/>
                <w:color w:val="000000" w:themeColor="text1"/>
                <w:sz w:val="20"/>
                <w:szCs w:val="20"/>
              </w:rPr>
            </w:pPr>
            <w:r w:rsidRPr="00204B79">
              <w:rPr>
                <w:rFonts w:ascii="Times New Roman" w:hAnsi="Times New Roman" w:cs="Times New Roman"/>
                <w:color w:val="000000" w:themeColor="text1"/>
                <w:sz w:val="20"/>
                <w:szCs w:val="20"/>
              </w:rPr>
              <w:t>323 323</w:t>
            </w:r>
          </w:p>
        </w:tc>
      </w:tr>
      <w:tr w:rsidR="00204B79" w:rsidRPr="00204B79" w14:paraId="2E29F232" w14:textId="77777777" w:rsidTr="00F03B83">
        <w:trPr>
          <w:trHeight w:val="270"/>
        </w:trPr>
        <w:tc>
          <w:tcPr>
            <w:tcW w:w="3700" w:type="dxa"/>
            <w:tcBorders>
              <w:top w:val="nil"/>
              <w:left w:val="single" w:sz="8" w:space="0" w:color="FFFFFF"/>
              <w:bottom w:val="single" w:sz="8" w:space="0" w:color="FFFFFF"/>
              <w:right w:val="single" w:sz="8" w:space="0" w:color="FFFFFF"/>
            </w:tcBorders>
            <w:shd w:val="clear" w:color="000000" w:fill="DCE6F1"/>
            <w:noWrap/>
            <w:vAlign w:val="center"/>
            <w:hideMark/>
          </w:tcPr>
          <w:p w14:paraId="4E79C16E" w14:textId="77777777" w:rsidR="00204B79" w:rsidRPr="00204B79" w:rsidRDefault="00204B79" w:rsidP="00204B79">
            <w:pPr>
              <w:spacing w:after="0" w:line="240" w:lineRule="auto"/>
              <w:ind w:left="0" w:right="0" w:firstLine="0"/>
              <w:jc w:val="left"/>
              <w:rPr>
                <w:rFonts w:ascii="Times New Roman" w:eastAsia="Times New Roman" w:hAnsi="Times New Roman" w:cs="Times New Roman"/>
                <w:color w:val="000000" w:themeColor="text1"/>
                <w:sz w:val="20"/>
                <w:szCs w:val="20"/>
              </w:rPr>
            </w:pPr>
            <w:r w:rsidRPr="00204B79">
              <w:rPr>
                <w:rFonts w:ascii="Times New Roman" w:eastAsia="Times New Roman" w:hAnsi="Times New Roman" w:cs="Times New Roman"/>
                <w:color w:val="000000" w:themeColor="text1"/>
                <w:sz w:val="20"/>
                <w:szCs w:val="20"/>
              </w:rPr>
              <w:t xml:space="preserve">- </w:t>
            </w:r>
            <w:proofErr w:type="spellStart"/>
            <w:r w:rsidRPr="00204B79">
              <w:rPr>
                <w:rFonts w:ascii="Times New Roman" w:eastAsia="Times New Roman" w:hAnsi="Times New Roman" w:cs="Times New Roman"/>
                <w:color w:val="000000" w:themeColor="text1"/>
                <w:sz w:val="20"/>
                <w:szCs w:val="20"/>
              </w:rPr>
              <w:t>a'vista</w:t>
            </w:r>
            <w:proofErr w:type="spellEnd"/>
          </w:p>
        </w:tc>
        <w:tc>
          <w:tcPr>
            <w:tcW w:w="2020" w:type="dxa"/>
            <w:tcBorders>
              <w:top w:val="nil"/>
              <w:left w:val="nil"/>
              <w:bottom w:val="single" w:sz="8" w:space="0" w:color="FFFFFF"/>
              <w:right w:val="single" w:sz="8" w:space="0" w:color="FFFFFF"/>
            </w:tcBorders>
            <w:shd w:val="clear" w:color="000000" w:fill="DCE6F1"/>
            <w:noWrap/>
            <w:hideMark/>
          </w:tcPr>
          <w:p w14:paraId="2FFE7B6B" w14:textId="1EC4ACDE" w:rsidR="00204B79" w:rsidRPr="00204B79" w:rsidRDefault="00204B79" w:rsidP="00204B79">
            <w:pPr>
              <w:spacing w:after="0" w:line="240" w:lineRule="auto"/>
              <w:ind w:left="0" w:right="0" w:firstLine="0"/>
              <w:jc w:val="right"/>
              <w:rPr>
                <w:rFonts w:ascii="Times New Roman" w:eastAsia="Times New Roman" w:hAnsi="Times New Roman" w:cs="Times New Roman"/>
                <w:color w:val="000000" w:themeColor="text1"/>
                <w:sz w:val="20"/>
                <w:szCs w:val="20"/>
              </w:rPr>
            </w:pPr>
            <w:r w:rsidRPr="00204B79">
              <w:rPr>
                <w:rFonts w:ascii="Times New Roman" w:hAnsi="Times New Roman" w:cs="Times New Roman"/>
                <w:color w:val="000000" w:themeColor="text1"/>
                <w:sz w:val="20"/>
                <w:szCs w:val="20"/>
              </w:rPr>
              <w:t>219 108</w:t>
            </w:r>
          </w:p>
        </w:tc>
        <w:tc>
          <w:tcPr>
            <w:tcW w:w="1760" w:type="dxa"/>
            <w:tcBorders>
              <w:top w:val="nil"/>
              <w:left w:val="nil"/>
              <w:bottom w:val="single" w:sz="8" w:space="0" w:color="FFFFFF"/>
              <w:right w:val="single" w:sz="8" w:space="0" w:color="FFFFFF"/>
            </w:tcBorders>
            <w:shd w:val="clear" w:color="000000" w:fill="DCE6F1"/>
            <w:noWrap/>
            <w:hideMark/>
          </w:tcPr>
          <w:p w14:paraId="50D190BC" w14:textId="7CBC8423" w:rsidR="00204B79" w:rsidRPr="00204B79" w:rsidRDefault="00204B79" w:rsidP="00204B79">
            <w:pPr>
              <w:spacing w:after="0" w:line="240" w:lineRule="auto"/>
              <w:ind w:left="0" w:right="0" w:firstLine="0"/>
              <w:jc w:val="right"/>
              <w:rPr>
                <w:rFonts w:ascii="Times New Roman" w:eastAsia="Times New Roman" w:hAnsi="Times New Roman" w:cs="Times New Roman"/>
                <w:color w:val="000000" w:themeColor="text1"/>
                <w:sz w:val="20"/>
                <w:szCs w:val="20"/>
              </w:rPr>
            </w:pPr>
            <w:r w:rsidRPr="00204B79">
              <w:rPr>
                <w:rFonts w:ascii="Times New Roman" w:hAnsi="Times New Roman" w:cs="Times New Roman"/>
                <w:color w:val="000000" w:themeColor="text1"/>
                <w:sz w:val="20"/>
                <w:szCs w:val="20"/>
              </w:rPr>
              <w:t>72,22%</w:t>
            </w:r>
          </w:p>
        </w:tc>
        <w:tc>
          <w:tcPr>
            <w:tcW w:w="1880" w:type="dxa"/>
            <w:tcBorders>
              <w:top w:val="nil"/>
              <w:left w:val="nil"/>
              <w:bottom w:val="single" w:sz="8" w:space="0" w:color="FFFFFF"/>
              <w:right w:val="single" w:sz="8" w:space="0" w:color="FFFFFF"/>
            </w:tcBorders>
            <w:shd w:val="clear" w:color="000000" w:fill="DCE6F1"/>
            <w:noWrap/>
            <w:hideMark/>
          </w:tcPr>
          <w:p w14:paraId="12AA6679" w14:textId="41819BD7" w:rsidR="00204B79" w:rsidRPr="00204B79" w:rsidRDefault="00204B79" w:rsidP="00204B79">
            <w:pPr>
              <w:spacing w:after="0" w:line="240" w:lineRule="auto"/>
              <w:ind w:left="0" w:right="0" w:firstLine="0"/>
              <w:jc w:val="right"/>
              <w:rPr>
                <w:rFonts w:ascii="Times New Roman" w:eastAsia="Times New Roman" w:hAnsi="Times New Roman" w:cs="Times New Roman"/>
                <w:color w:val="000000" w:themeColor="text1"/>
                <w:sz w:val="20"/>
                <w:szCs w:val="20"/>
              </w:rPr>
            </w:pPr>
            <w:r w:rsidRPr="00204B79">
              <w:rPr>
                <w:rFonts w:ascii="Times New Roman" w:hAnsi="Times New Roman" w:cs="Times New Roman"/>
                <w:color w:val="000000" w:themeColor="text1"/>
                <w:sz w:val="20"/>
                <w:szCs w:val="20"/>
              </w:rPr>
              <w:t>158 239</w:t>
            </w:r>
          </w:p>
        </w:tc>
      </w:tr>
      <w:tr w:rsidR="00204B79" w:rsidRPr="00204B79" w14:paraId="584C8356" w14:textId="77777777" w:rsidTr="00F03B83">
        <w:trPr>
          <w:trHeight w:val="270"/>
        </w:trPr>
        <w:tc>
          <w:tcPr>
            <w:tcW w:w="3700" w:type="dxa"/>
            <w:tcBorders>
              <w:top w:val="nil"/>
              <w:left w:val="single" w:sz="8" w:space="0" w:color="FFFFFF"/>
              <w:bottom w:val="single" w:sz="8" w:space="0" w:color="FFFFFF"/>
              <w:right w:val="single" w:sz="8" w:space="0" w:color="FFFFFF"/>
            </w:tcBorders>
            <w:shd w:val="clear" w:color="000000" w:fill="DCE6F1"/>
            <w:noWrap/>
            <w:vAlign w:val="center"/>
            <w:hideMark/>
          </w:tcPr>
          <w:p w14:paraId="1A3D3186" w14:textId="77777777" w:rsidR="00204B79" w:rsidRPr="00204B79" w:rsidRDefault="00204B79" w:rsidP="00204B79">
            <w:pPr>
              <w:spacing w:after="0" w:line="240" w:lineRule="auto"/>
              <w:ind w:left="0" w:right="0" w:firstLine="0"/>
              <w:jc w:val="left"/>
              <w:rPr>
                <w:rFonts w:ascii="Times New Roman" w:eastAsia="Times New Roman" w:hAnsi="Times New Roman" w:cs="Times New Roman"/>
                <w:color w:val="000000" w:themeColor="text1"/>
                <w:sz w:val="20"/>
                <w:szCs w:val="20"/>
              </w:rPr>
            </w:pPr>
            <w:r w:rsidRPr="00204B79">
              <w:rPr>
                <w:rFonts w:ascii="Times New Roman" w:eastAsia="Times New Roman" w:hAnsi="Times New Roman" w:cs="Times New Roman"/>
                <w:color w:val="000000" w:themeColor="text1"/>
                <w:sz w:val="20"/>
                <w:szCs w:val="20"/>
              </w:rPr>
              <w:t>- terminowe</w:t>
            </w:r>
          </w:p>
        </w:tc>
        <w:tc>
          <w:tcPr>
            <w:tcW w:w="2020" w:type="dxa"/>
            <w:tcBorders>
              <w:top w:val="nil"/>
              <w:left w:val="nil"/>
              <w:bottom w:val="single" w:sz="8" w:space="0" w:color="FFFFFF"/>
              <w:right w:val="single" w:sz="8" w:space="0" w:color="FFFFFF"/>
            </w:tcBorders>
            <w:shd w:val="clear" w:color="000000" w:fill="DCE6F1"/>
            <w:noWrap/>
            <w:hideMark/>
          </w:tcPr>
          <w:p w14:paraId="38A18E7D" w14:textId="6D53A093" w:rsidR="00204B79" w:rsidRPr="00204B79" w:rsidRDefault="00204B79" w:rsidP="00204B79">
            <w:pPr>
              <w:spacing w:after="0" w:line="240" w:lineRule="auto"/>
              <w:ind w:left="0" w:right="0" w:firstLine="0"/>
              <w:jc w:val="right"/>
              <w:rPr>
                <w:rFonts w:ascii="Times New Roman" w:eastAsia="Times New Roman" w:hAnsi="Times New Roman" w:cs="Times New Roman"/>
                <w:color w:val="000000" w:themeColor="text1"/>
                <w:sz w:val="20"/>
                <w:szCs w:val="20"/>
              </w:rPr>
            </w:pPr>
            <w:r w:rsidRPr="00204B79">
              <w:rPr>
                <w:rFonts w:ascii="Times New Roman" w:hAnsi="Times New Roman" w:cs="Times New Roman"/>
                <w:color w:val="000000" w:themeColor="text1"/>
                <w:sz w:val="20"/>
                <w:szCs w:val="20"/>
              </w:rPr>
              <w:t>214 153</w:t>
            </w:r>
          </w:p>
        </w:tc>
        <w:tc>
          <w:tcPr>
            <w:tcW w:w="1760" w:type="dxa"/>
            <w:tcBorders>
              <w:top w:val="nil"/>
              <w:left w:val="nil"/>
              <w:bottom w:val="single" w:sz="8" w:space="0" w:color="FFFFFF"/>
              <w:right w:val="single" w:sz="8" w:space="0" w:color="FFFFFF"/>
            </w:tcBorders>
            <w:shd w:val="clear" w:color="000000" w:fill="DCE6F1"/>
            <w:noWrap/>
            <w:hideMark/>
          </w:tcPr>
          <w:p w14:paraId="28E41CB7" w14:textId="1E5F8F18" w:rsidR="00204B79" w:rsidRPr="00204B79" w:rsidRDefault="00204B79" w:rsidP="00204B79">
            <w:pPr>
              <w:spacing w:after="0" w:line="240" w:lineRule="auto"/>
              <w:ind w:left="0" w:right="0" w:firstLine="0"/>
              <w:jc w:val="right"/>
              <w:rPr>
                <w:rFonts w:ascii="Times New Roman" w:eastAsia="Times New Roman" w:hAnsi="Times New Roman" w:cs="Times New Roman"/>
                <w:color w:val="000000" w:themeColor="text1"/>
                <w:sz w:val="20"/>
                <w:szCs w:val="20"/>
              </w:rPr>
            </w:pPr>
            <w:r w:rsidRPr="00204B79">
              <w:rPr>
                <w:rFonts w:ascii="Times New Roman" w:hAnsi="Times New Roman" w:cs="Times New Roman"/>
                <w:color w:val="000000" w:themeColor="text1"/>
                <w:sz w:val="20"/>
                <w:szCs w:val="20"/>
              </w:rPr>
              <w:t>77,09%</w:t>
            </w:r>
          </w:p>
        </w:tc>
        <w:tc>
          <w:tcPr>
            <w:tcW w:w="1880" w:type="dxa"/>
            <w:tcBorders>
              <w:top w:val="nil"/>
              <w:left w:val="nil"/>
              <w:bottom w:val="single" w:sz="8" w:space="0" w:color="FFFFFF"/>
              <w:right w:val="single" w:sz="8" w:space="0" w:color="FFFFFF"/>
            </w:tcBorders>
            <w:shd w:val="clear" w:color="000000" w:fill="DCE6F1"/>
            <w:noWrap/>
            <w:hideMark/>
          </w:tcPr>
          <w:p w14:paraId="522E6103" w14:textId="746335FE" w:rsidR="00204B79" w:rsidRPr="00204B79" w:rsidRDefault="00204B79" w:rsidP="00204B79">
            <w:pPr>
              <w:spacing w:after="0" w:line="240" w:lineRule="auto"/>
              <w:ind w:left="0" w:right="0" w:firstLine="0"/>
              <w:jc w:val="right"/>
              <w:rPr>
                <w:rFonts w:ascii="Times New Roman" w:eastAsia="Times New Roman" w:hAnsi="Times New Roman" w:cs="Times New Roman"/>
                <w:color w:val="000000" w:themeColor="text1"/>
                <w:sz w:val="20"/>
                <w:szCs w:val="20"/>
              </w:rPr>
            </w:pPr>
            <w:r w:rsidRPr="00204B79">
              <w:rPr>
                <w:rFonts w:ascii="Times New Roman" w:hAnsi="Times New Roman" w:cs="Times New Roman"/>
                <w:color w:val="000000" w:themeColor="text1"/>
                <w:sz w:val="20"/>
                <w:szCs w:val="20"/>
              </w:rPr>
              <w:t>165 084</w:t>
            </w:r>
          </w:p>
        </w:tc>
      </w:tr>
      <w:tr w:rsidR="00204B79" w:rsidRPr="00204B79" w14:paraId="1C1F6E94" w14:textId="77777777" w:rsidTr="00F03B83">
        <w:trPr>
          <w:trHeight w:val="1104"/>
        </w:trPr>
        <w:tc>
          <w:tcPr>
            <w:tcW w:w="3700" w:type="dxa"/>
            <w:tcBorders>
              <w:top w:val="nil"/>
              <w:left w:val="single" w:sz="8" w:space="0" w:color="FFFFFF"/>
              <w:bottom w:val="single" w:sz="8" w:space="0" w:color="FFFFFF"/>
              <w:right w:val="single" w:sz="8" w:space="0" w:color="FFFFFF"/>
            </w:tcBorders>
            <w:shd w:val="clear" w:color="000000" w:fill="B8CCE4"/>
            <w:vAlign w:val="center"/>
            <w:hideMark/>
          </w:tcPr>
          <w:p w14:paraId="0A574C84" w14:textId="77777777" w:rsidR="00204B79" w:rsidRPr="00204B79" w:rsidRDefault="00204B79" w:rsidP="00204B79">
            <w:pPr>
              <w:spacing w:after="0" w:line="240" w:lineRule="auto"/>
              <w:ind w:left="0" w:right="0" w:firstLine="0"/>
              <w:jc w:val="left"/>
              <w:rPr>
                <w:rFonts w:ascii="Times New Roman" w:eastAsia="Times New Roman" w:hAnsi="Times New Roman" w:cs="Times New Roman"/>
                <w:color w:val="000000" w:themeColor="text1"/>
                <w:sz w:val="20"/>
                <w:szCs w:val="20"/>
              </w:rPr>
            </w:pPr>
            <w:r w:rsidRPr="00204B79">
              <w:rPr>
                <w:rFonts w:ascii="Times New Roman" w:eastAsia="Times New Roman" w:hAnsi="Times New Roman" w:cs="Times New Roman"/>
                <w:color w:val="000000" w:themeColor="text1"/>
                <w:sz w:val="20"/>
                <w:szCs w:val="20"/>
              </w:rPr>
              <w:t>Depozyty pozostałych podmiotów niefinansowych, w tym:</w:t>
            </w:r>
          </w:p>
        </w:tc>
        <w:tc>
          <w:tcPr>
            <w:tcW w:w="2020" w:type="dxa"/>
            <w:tcBorders>
              <w:top w:val="nil"/>
              <w:left w:val="nil"/>
              <w:bottom w:val="single" w:sz="8" w:space="0" w:color="FFFFFF"/>
              <w:right w:val="single" w:sz="8" w:space="0" w:color="FFFFFF"/>
            </w:tcBorders>
            <w:shd w:val="clear" w:color="000000" w:fill="B8CCE4"/>
            <w:noWrap/>
            <w:hideMark/>
          </w:tcPr>
          <w:p w14:paraId="521F285D" w14:textId="3C4264CB" w:rsidR="00204B79" w:rsidRPr="00204B79" w:rsidRDefault="00204B79" w:rsidP="00204B79">
            <w:pPr>
              <w:spacing w:after="0" w:line="240" w:lineRule="auto"/>
              <w:ind w:left="0" w:right="0" w:firstLine="0"/>
              <w:jc w:val="right"/>
              <w:rPr>
                <w:rFonts w:ascii="Times New Roman" w:eastAsia="Times New Roman" w:hAnsi="Times New Roman" w:cs="Times New Roman"/>
                <w:b/>
                <w:bCs/>
                <w:color w:val="000000" w:themeColor="text1"/>
                <w:sz w:val="20"/>
                <w:szCs w:val="20"/>
              </w:rPr>
            </w:pPr>
            <w:r w:rsidRPr="00204B79">
              <w:rPr>
                <w:rFonts w:ascii="Times New Roman" w:hAnsi="Times New Roman" w:cs="Times New Roman"/>
                <w:color w:val="000000" w:themeColor="text1"/>
                <w:sz w:val="20"/>
                <w:szCs w:val="20"/>
              </w:rPr>
              <w:t>152 121</w:t>
            </w:r>
          </w:p>
        </w:tc>
        <w:tc>
          <w:tcPr>
            <w:tcW w:w="1760" w:type="dxa"/>
            <w:tcBorders>
              <w:top w:val="nil"/>
              <w:left w:val="nil"/>
              <w:bottom w:val="single" w:sz="8" w:space="0" w:color="FFFFFF"/>
              <w:right w:val="single" w:sz="8" w:space="0" w:color="FFFFFF"/>
            </w:tcBorders>
            <w:shd w:val="clear" w:color="000000" w:fill="B8CCE4"/>
            <w:noWrap/>
            <w:hideMark/>
          </w:tcPr>
          <w:p w14:paraId="105C4B69" w14:textId="56FC766E" w:rsidR="00204B79" w:rsidRPr="00204B79" w:rsidRDefault="00204B79" w:rsidP="00204B79">
            <w:pPr>
              <w:spacing w:after="0" w:line="240" w:lineRule="auto"/>
              <w:ind w:left="0" w:right="0" w:firstLine="0"/>
              <w:jc w:val="right"/>
              <w:rPr>
                <w:rFonts w:ascii="Times New Roman" w:eastAsia="Times New Roman" w:hAnsi="Times New Roman" w:cs="Times New Roman"/>
                <w:b/>
                <w:bCs/>
                <w:color w:val="000000" w:themeColor="text1"/>
                <w:sz w:val="20"/>
                <w:szCs w:val="20"/>
              </w:rPr>
            </w:pPr>
            <w:r w:rsidRPr="00204B79">
              <w:rPr>
                <w:rFonts w:ascii="Times New Roman" w:hAnsi="Times New Roman" w:cs="Times New Roman"/>
                <w:color w:val="000000" w:themeColor="text1"/>
                <w:sz w:val="20"/>
                <w:szCs w:val="20"/>
              </w:rPr>
              <w:t>70,69%</w:t>
            </w:r>
          </w:p>
        </w:tc>
        <w:tc>
          <w:tcPr>
            <w:tcW w:w="1880" w:type="dxa"/>
            <w:tcBorders>
              <w:top w:val="nil"/>
              <w:left w:val="nil"/>
              <w:bottom w:val="single" w:sz="8" w:space="0" w:color="FFFFFF"/>
              <w:right w:val="single" w:sz="8" w:space="0" w:color="FFFFFF"/>
            </w:tcBorders>
            <w:shd w:val="clear" w:color="000000" w:fill="B8CCE4"/>
            <w:noWrap/>
            <w:hideMark/>
          </w:tcPr>
          <w:p w14:paraId="3FC5A388" w14:textId="09326C5D" w:rsidR="00204B79" w:rsidRPr="00204B79" w:rsidRDefault="00204B79" w:rsidP="00204B79">
            <w:pPr>
              <w:spacing w:after="0" w:line="240" w:lineRule="auto"/>
              <w:ind w:left="0" w:right="0" w:firstLine="0"/>
              <w:jc w:val="right"/>
              <w:rPr>
                <w:rFonts w:ascii="Times New Roman" w:eastAsia="Times New Roman" w:hAnsi="Times New Roman" w:cs="Times New Roman"/>
                <w:b/>
                <w:bCs/>
                <w:color w:val="000000" w:themeColor="text1"/>
                <w:sz w:val="20"/>
                <w:szCs w:val="20"/>
              </w:rPr>
            </w:pPr>
            <w:r w:rsidRPr="00204B79">
              <w:rPr>
                <w:rFonts w:ascii="Times New Roman" w:hAnsi="Times New Roman" w:cs="Times New Roman"/>
                <w:color w:val="000000" w:themeColor="text1"/>
                <w:sz w:val="20"/>
                <w:szCs w:val="20"/>
              </w:rPr>
              <w:t>107 528</w:t>
            </w:r>
          </w:p>
        </w:tc>
      </w:tr>
      <w:tr w:rsidR="00204B79" w:rsidRPr="00204B79" w14:paraId="48A10EDC" w14:textId="77777777" w:rsidTr="00F03B83">
        <w:trPr>
          <w:trHeight w:val="270"/>
        </w:trPr>
        <w:tc>
          <w:tcPr>
            <w:tcW w:w="3700" w:type="dxa"/>
            <w:tcBorders>
              <w:top w:val="nil"/>
              <w:left w:val="single" w:sz="8" w:space="0" w:color="FFFFFF"/>
              <w:bottom w:val="single" w:sz="8" w:space="0" w:color="FFFFFF"/>
              <w:right w:val="single" w:sz="8" w:space="0" w:color="FFFFFF"/>
            </w:tcBorders>
            <w:shd w:val="clear" w:color="000000" w:fill="DCE6F1"/>
            <w:noWrap/>
            <w:vAlign w:val="center"/>
            <w:hideMark/>
          </w:tcPr>
          <w:p w14:paraId="7CE1D2E4" w14:textId="77777777" w:rsidR="00204B79" w:rsidRPr="00204B79" w:rsidRDefault="00204B79" w:rsidP="00204B79">
            <w:pPr>
              <w:spacing w:after="0" w:line="240" w:lineRule="auto"/>
              <w:ind w:left="0" w:right="0" w:firstLine="0"/>
              <w:jc w:val="left"/>
              <w:rPr>
                <w:rFonts w:ascii="Times New Roman" w:eastAsia="Times New Roman" w:hAnsi="Times New Roman" w:cs="Times New Roman"/>
                <w:color w:val="000000" w:themeColor="text1"/>
                <w:sz w:val="20"/>
                <w:szCs w:val="20"/>
              </w:rPr>
            </w:pPr>
            <w:r w:rsidRPr="00204B79">
              <w:rPr>
                <w:rFonts w:ascii="Times New Roman" w:eastAsia="Times New Roman" w:hAnsi="Times New Roman" w:cs="Times New Roman"/>
                <w:color w:val="000000" w:themeColor="text1"/>
                <w:sz w:val="20"/>
                <w:szCs w:val="20"/>
              </w:rPr>
              <w:t xml:space="preserve">- </w:t>
            </w:r>
            <w:proofErr w:type="spellStart"/>
            <w:r w:rsidRPr="00204B79">
              <w:rPr>
                <w:rFonts w:ascii="Times New Roman" w:eastAsia="Times New Roman" w:hAnsi="Times New Roman" w:cs="Times New Roman"/>
                <w:color w:val="000000" w:themeColor="text1"/>
                <w:sz w:val="20"/>
                <w:szCs w:val="20"/>
              </w:rPr>
              <w:t>a'vista</w:t>
            </w:r>
            <w:proofErr w:type="spellEnd"/>
          </w:p>
        </w:tc>
        <w:tc>
          <w:tcPr>
            <w:tcW w:w="2020" w:type="dxa"/>
            <w:tcBorders>
              <w:top w:val="nil"/>
              <w:left w:val="nil"/>
              <w:bottom w:val="single" w:sz="8" w:space="0" w:color="FFFFFF"/>
              <w:right w:val="single" w:sz="8" w:space="0" w:color="FFFFFF"/>
            </w:tcBorders>
            <w:shd w:val="clear" w:color="000000" w:fill="DCE6F1"/>
            <w:noWrap/>
            <w:hideMark/>
          </w:tcPr>
          <w:p w14:paraId="7E647EB1" w14:textId="6E5CFE1B" w:rsidR="00204B79" w:rsidRPr="00204B79" w:rsidRDefault="00204B79" w:rsidP="00204B79">
            <w:pPr>
              <w:spacing w:after="0" w:line="240" w:lineRule="auto"/>
              <w:ind w:left="0" w:right="0" w:firstLine="0"/>
              <w:jc w:val="right"/>
              <w:rPr>
                <w:rFonts w:ascii="Times New Roman" w:eastAsia="Times New Roman" w:hAnsi="Times New Roman" w:cs="Times New Roman"/>
                <w:color w:val="000000" w:themeColor="text1"/>
                <w:sz w:val="20"/>
                <w:szCs w:val="20"/>
              </w:rPr>
            </w:pPr>
            <w:r w:rsidRPr="00204B79">
              <w:rPr>
                <w:rFonts w:ascii="Times New Roman" w:hAnsi="Times New Roman" w:cs="Times New Roman"/>
                <w:color w:val="000000" w:themeColor="text1"/>
                <w:sz w:val="20"/>
                <w:szCs w:val="20"/>
              </w:rPr>
              <w:t>145 866</w:t>
            </w:r>
          </w:p>
        </w:tc>
        <w:tc>
          <w:tcPr>
            <w:tcW w:w="1760" w:type="dxa"/>
            <w:tcBorders>
              <w:top w:val="nil"/>
              <w:left w:val="nil"/>
              <w:bottom w:val="single" w:sz="8" w:space="0" w:color="FFFFFF"/>
              <w:right w:val="single" w:sz="8" w:space="0" w:color="FFFFFF"/>
            </w:tcBorders>
            <w:shd w:val="clear" w:color="000000" w:fill="DCE6F1"/>
            <w:noWrap/>
            <w:hideMark/>
          </w:tcPr>
          <w:p w14:paraId="705D54E4" w14:textId="442F0146" w:rsidR="00204B79" w:rsidRPr="00204B79" w:rsidRDefault="00204B79" w:rsidP="00204B79">
            <w:pPr>
              <w:spacing w:after="0" w:line="240" w:lineRule="auto"/>
              <w:ind w:left="0" w:right="0" w:firstLine="0"/>
              <w:jc w:val="right"/>
              <w:rPr>
                <w:rFonts w:ascii="Times New Roman" w:eastAsia="Times New Roman" w:hAnsi="Times New Roman" w:cs="Times New Roman"/>
                <w:color w:val="000000" w:themeColor="text1"/>
                <w:sz w:val="20"/>
                <w:szCs w:val="20"/>
              </w:rPr>
            </w:pPr>
            <w:r w:rsidRPr="00204B79">
              <w:rPr>
                <w:rFonts w:ascii="Times New Roman" w:hAnsi="Times New Roman" w:cs="Times New Roman"/>
                <w:color w:val="000000" w:themeColor="text1"/>
                <w:sz w:val="20"/>
                <w:szCs w:val="20"/>
              </w:rPr>
              <w:t>72,23%</w:t>
            </w:r>
          </w:p>
        </w:tc>
        <w:tc>
          <w:tcPr>
            <w:tcW w:w="1880" w:type="dxa"/>
            <w:tcBorders>
              <w:top w:val="nil"/>
              <w:left w:val="nil"/>
              <w:bottom w:val="single" w:sz="8" w:space="0" w:color="FFFFFF"/>
              <w:right w:val="single" w:sz="8" w:space="0" w:color="FFFFFF"/>
            </w:tcBorders>
            <w:shd w:val="clear" w:color="000000" w:fill="DCE6F1"/>
            <w:noWrap/>
            <w:hideMark/>
          </w:tcPr>
          <w:p w14:paraId="478EB420" w14:textId="657F73EF" w:rsidR="00204B79" w:rsidRPr="00204B79" w:rsidRDefault="00204B79" w:rsidP="00204B79">
            <w:pPr>
              <w:spacing w:after="0" w:line="240" w:lineRule="auto"/>
              <w:ind w:left="0" w:right="0" w:firstLine="0"/>
              <w:jc w:val="right"/>
              <w:rPr>
                <w:rFonts w:ascii="Times New Roman" w:eastAsia="Times New Roman" w:hAnsi="Times New Roman" w:cs="Times New Roman"/>
                <w:color w:val="000000" w:themeColor="text1"/>
                <w:sz w:val="20"/>
                <w:szCs w:val="20"/>
              </w:rPr>
            </w:pPr>
            <w:r w:rsidRPr="00204B79">
              <w:rPr>
                <w:rFonts w:ascii="Times New Roman" w:hAnsi="Times New Roman" w:cs="Times New Roman"/>
                <w:color w:val="000000" w:themeColor="text1"/>
                <w:sz w:val="20"/>
                <w:szCs w:val="20"/>
              </w:rPr>
              <w:t>105 352</w:t>
            </w:r>
          </w:p>
        </w:tc>
      </w:tr>
      <w:tr w:rsidR="00204B79" w:rsidRPr="00204B79" w14:paraId="6009ED6F" w14:textId="77777777" w:rsidTr="00F03B83">
        <w:trPr>
          <w:trHeight w:val="270"/>
        </w:trPr>
        <w:tc>
          <w:tcPr>
            <w:tcW w:w="3700" w:type="dxa"/>
            <w:tcBorders>
              <w:top w:val="nil"/>
              <w:left w:val="single" w:sz="8" w:space="0" w:color="FFFFFF"/>
              <w:bottom w:val="single" w:sz="8" w:space="0" w:color="FFFFFF"/>
              <w:right w:val="single" w:sz="8" w:space="0" w:color="FFFFFF"/>
            </w:tcBorders>
            <w:shd w:val="clear" w:color="000000" w:fill="DCE6F1"/>
            <w:noWrap/>
            <w:vAlign w:val="center"/>
            <w:hideMark/>
          </w:tcPr>
          <w:p w14:paraId="65C3E297" w14:textId="77777777" w:rsidR="00204B79" w:rsidRPr="00204B79" w:rsidRDefault="00204B79" w:rsidP="00204B79">
            <w:pPr>
              <w:spacing w:after="0" w:line="240" w:lineRule="auto"/>
              <w:ind w:left="0" w:right="0" w:firstLine="0"/>
              <w:jc w:val="left"/>
              <w:rPr>
                <w:rFonts w:ascii="Times New Roman" w:eastAsia="Times New Roman" w:hAnsi="Times New Roman" w:cs="Times New Roman"/>
                <w:color w:val="000000" w:themeColor="text1"/>
                <w:sz w:val="20"/>
                <w:szCs w:val="20"/>
              </w:rPr>
            </w:pPr>
            <w:r w:rsidRPr="00204B79">
              <w:rPr>
                <w:rFonts w:ascii="Times New Roman" w:eastAsia="Times New Roman" w:hAnsi="Times New Roman" w:cs="Times New Roman"/>
                <w:color w:val="000000" w:themeColor="text1"/>
                <w:sz w:val="20"/>
                <w:szCs w:val="20"/>
              </w:rPr>
              <w:t>- terminowe</w:t>
            </w:r>
          </w:p>
        </w:tc>
        <w:tc>
          <w:tcPr>
            <w:tcW w:w="2020" w:type="dxa"/>
            <w:tcBorders>
              <w:top w:val="nil"/>
              <w:left w:val="nil"/>
              <w:bottom w:val="single" w:sz="8" w:space="0" w:color="FFFFFF"/>
              <w:right w:val="single" w:sz="8" w:space="0" w:color="FFFFFF"/>
            </w:tcBorders>
            <w:shd w:val="clear" w:color="000000" w:fill="DCE6F1"/>
            <w:noWrap/>
            <w:hideMark/>
          </w:tcPr>
          <w:p w14:paraId="26D89E70" w14:textId="4C6148E9" w:rsidR="00204B79" w:rsidRPr="00204B79" w:rsidRDefault="00204B79" w:rsidP="00204B79">
            <w:pPr>
              <w:spacing w:after="0" w:line="240" w:lineRule="auto"/>
              <w:ind w:left="0" w:right="0" w:firstLine="0"/>
              <w:jc w:val="right"/>
              <w:rPr>
                <w:rFonts w:ascii="Times New Roman" w:eastAsia="Times New Roman" w:hAnsi="Times New Roman" w:cs="Times New Roman"/>
                <w:color w:val="000000" w:themeColor="text1"/>
                <w:sz w:val="20"/>
                <w:szCs w:val="20"/>
              </w:rPr>
            </w:pPr>
            <w:r w:rsidRPr="00204B79">
              <w:rPr>
                <w:rFonts w:ascii="Times New Roman" w:hAnsi="Times New Roman" w:cs="Times New Roman"/>
                <w:color w:val="000000" w:themeColor="text1"/>
                <w:sz w:val="20"/>
                <w:szCs w:val="20"/>
              </w:rPr>
              <w:t>6 255</w:t>
            </w:r>
          </w:p>
        </w:tc>
        <w:tc>
          <w:tcPr>
            <w:tcW w:w="1760" w:type="dxa"/>
            <w:tcBorders>
              <w:top w:val="nil"/>
              <w:left w:val="nil"/>
              <w:bottom w:val="single" w:sz="8" w:space="0" w:color="FFFFFF"/>
              <w:right w:val="single" w:sz="8" w:space="0" w:color="FFFFFF"/>
            </w:tcBorders>
            <w:shd w:val="clear" w:color="000000" w:fill="DCE6F1"/>
            <w:noWrap/>
            <w:hideMark/>
          </w:tcPr>
          <w:p w14:paraId="5F42F186" w14:textId="15AADC41" w:rsidR="00204B79" w:rsidRPr="00204B79" w:rsidRDefault="00204B79" w:rsidP="00204B79">
            <w:pPr>
              <w:spacing w:after="0" w:line="240" w:lineRule="auto"/>
              <w:ind w:left="0" w:right="0" w:firstLine="0"/>
              <w:jc w:val="right"/>
              <w:rPr>
                <w:rFonts w:ascii="Times New Roman" w:eastAsia="Times New Roman" w:hAnsi="Times New Roman" w:cs="Times New Roman"/>
                <w:color w:val="000000" w:themeColor="text1"/>
                <w:sz w:val="20"/>
                <w:szCs w:val="20"/>
              </w:rPr>
            </w:pPr>
            <w:r w:rsidRPr="00204B79">
              <w:rPr>
                <w:rFonts w:ascii="Times New Roman" w:hAnsi="Times New Roman" w:cs="Times New Roman"/>
                <w:color w:val="000000" w:themeColor="text1"/>
                <w:sz w:val="20"/>
                <w:szCs w:val="20"/>
              </w:rPr>
              <w:t>34,79%</w:t>
            </w:r>
          </w:p>
        </w:tc>
        <w:tc>
          <w:tcPr>
            <w:tcW w:w="1880" w:type="dxa"/>
            <w:tcBorders>
              <w:top w:val="nil"/>
              <w:left w:val="nil"/>
              <w:bottom w:val="single" w:sz="8" w:space="0" w:color="FFFFFF"/>
              <w:right w:val="single" w:sz="8" w:space="0" w:color="FFFFFF"/>
            </w:tcBorders>
            <w:shd w:val="clear" w:color="000000" w:fill="DCE6F1"/>
            <w:noWrap/>
            <w:hideMark/>
          </w:tcPr>
          <w:p w14:paraId="26387C6B" w14:textId="161C642A" w:rsidR="00204B79" w:rsidRPr="00204B79" w:rsidRDefault="00204B79" w:rsidP="00204B79">
            <w:pPr>
              <w:spacing w:after="0" w:line="240" w:lineRule="auto"/>
              <w:ind w:left="0" w:right="0" w:firstLine="0"/>
              <w:jc w:val="right"/>
              <w:rPr>
                <w:rFonts w:ascii="Times New Roman" w:eastAsia="Times New Roman" w:hAnsi="Times New Roman" w:cs="Times New Roman"/>
                <w:color w:val="000000" w:themeColor="text1"/>
                <w:sz w:val="20"/>
                <w:szCs w:val="20"/>
              </w:rPr>
            </w:pPr>
            <w:r w:rsidRPr="00204B79">
              <w:rPr>
                <w:rFonts w:ascii="Times New Roman" w:hAnsi="Times New Roman" w:cs="Times New Roman"/>
                <w:color w:val="000000" w:themeColor="text1"/>
                <w:sz w:val="20"/>
                <w:szCs w:val="20"/>
              </w:rPr>
              <w:t>2 176</w:t>
            </w:r>
          </w:p>
        </w:tc>
      </w:tr>
      <w:tr w:rsidR="00204B79" w:rsidRPr="00204B79" w14:paraId="38C52A17" w14:textId="77777777" w:rsidTr="00F03B83">
        <w:trPr>
          <w:trHeight w:val="315"/>
        </w:trPr>
        <w:tc>
          <w:tcPr>
            <w:tcW w:w="3700" w:type="dxa"/>
            <w:tcBorders>
              <w:top w:val="nil"/>
              <w:left w:val="single" w:sz="8" w:space="0" w:color="FFFFFF"/>
              <w:bottom w:val="single" w:sz="8" w:space="0" w:color="FFFFFF"/>
              <w:right w:val="single" w:sz="8" w:space="0" w:color="FFFFFF"/>
            </w:tcBorders>
            <w:shd w:val="clear" w:color="000000" w:fill="95B3D7"/>
            <w:noWrap/>
            <w:vAlign w:val="center"/>
            <w:hideMark/>
          </w:tcPr>
          <w:p w14:paraId="77E6AFFC" w14:textId="77777777" w:rsidR="00204B79" w:rsidRPr="00204B79" w:rsidRDefault="00204B79" w:rsidP="00204B79">
            <w:pPr>
              <w:spacing w:after="0" w:line="240" w:lineRule="auto"/>
              <w:ind w:left="0" w:right="0" w:firstLine="0"/>
              <w:jc w:val="left"/>
              <w:rPr>
                <w:rFonts w:ascii="Times New Roman" w:eastAsia="Times New Roman" w:hAnsi="Times New Roman" w:cs="Times New Roman"/>
                <w:b/>
                <w:bCs/>
                <w:i/>
                <w:iCs/>
                <w:color w:val="000000" w:themeColor="text1"/>
                <w:sz w:val="22"/>
              </w:rPr>
            </w:pPr>
            <w:r w:rsidRPr="00204B79">
              <w:rPr>
                <w:rFonts w:ascii="Times New Roman" w:eastAsia="Times New Roman" w:hAnsi="Times New Roman" w:cs="Times New Roman"/>
                <w:b/>
                <w:bCs/>
                <w:i/>
                <w:iCs/>
                <w:color w:val="000000" w:themeColor="text1"/>
                <w:sz w:val="22"/>
              </w:rPr>
              <w:t>Depozyty sektora budżetowego, w tym:</w:t>
            </w:r>
          </w:p>
        </w:tc>
        <w:tc>
          <w:tcPr>
            <w:tcW w:w="2020" w:type="dxa"/>
            <w:tcBorders>
              <w:top w:val="nil"/>
              <w:left w:val="nil"/>
              <w:bottom w:val="single" w:sz="8" w:space="0" w:color="FFFFFF"/>
              <w:right w:val="single" w:sz="8" w:space="0" w:color="FFFFFF"/>
            </w:tcBorders>
            <w:shd w:val="clear" w:color="000000" w:fill="95B3D7"/>
            <w:noWrap/>
            <w:hideMark/>
          </w:tcPr>
          <w:p w14:paraId="67FA4FA1" w14:textId="31210520" w:rsidR="00204B79" w:rsidRPr="00204B79" w:rsidRDefault="00204B79" w:rsidP="00204B79">
            <w:pPr>
              <w:spacing w:after="0" w:line="240" w:lineRule="auto"/>
              <w:ind w:left="0" w:right="0" w:firstLine="0"/>
              <w:jc w:val="right"/>
              <w:rPr>
                <w:rFonts w:ascii="Times New Roman" w:eastAsia="Times New Roman" w:hAnsi="Times New Roman" w:cs="Times New Roman"/>
                <w:b/>
                <w:bCs/>
                <w:i/>
                <w:iCs/>
                <w:color w:val="000000" w:themeColor="text1"/>
                <w:sz w:val="20"/>
                <w:szCs w:val="20"/>
              </w:rPr>
            </w:pPr>
            <w:r w:rsidRPr="00204B79">
              <w:rPr>
                <w:rFonts w:ascii="Times New Roman" w:hAnsi="Times New Roman" w:cs="Times New Roman"/>
                <w:b/>
                <w:color w:val="000000" w:themeColor="text1"/>
                <w:sz w:val="20"/>
                <w:szCs w:val="20"/>
              </w:rPr>
              <w:t>62 157</w:t>
            </w:r>
          </w:p>
        </w:tc>
        <w:tc>
          <w:tcPr>
            <w:tcW w:w="1760" w:type="dxa"/>
            <w:tcBorders>
              <w:top w:val="nil"/>
              <w:left w:val="nil"/>
              <w:bottom w:val="single" w:sz="8" w:space="0" w:color="FFFFFF"/>
              <w:right w:val="single" w:sz="8" w:space="0" w:color="FFFFFF"/>
            </w:tcBorders>
            <w:shd w:val="clear" w:color="000000" w:fill="95B3D7"/>
            <w:noWrap/>
            <w:hideMark/>
          </w:tcPr>
          <w:p w14:paraId="08CDC1B6" w14:textId="3B7B9DBC" w:rsidR="00204B79" w:rsidRPr="00204B79" w:rsidRDefault="00204B79" w:rsidP="00204B79">
            <w:pPr>
              <w:spacing w:after="0" w:line="240" w:lineRule="auto"/>
              <w:ind w:left="0" w:right="0" w:firstLine="0"/>
              <w:jc w:val="right"/>
              <w:rPr>
                <w:rFonts w:ascii="Times New Roman" w:eastAsia="Times New Roman" w:hAnsi="Times New Roman" w:cs="Times New Roman"/>
                <w:b/>
                <w:bCs/>
                <w:color w:val="000000" w:themeColor="text1"/>
                <w:sz w:val="20"/>
                <w:szCs w:val="20"/>
              </w:rPr>
            </w:pPr>
            <w:r w:rsidRPr="00204B79">
              <w:rPr>
                <w:rFonts w:ascii="Times New Roman" w:hAnsi="Times New Roman" w:cs="Times New Roman"/>
                <w:b/>
                <w:color w:val="000000" w:themeColor="text1"/>
                <w:sz w:val="20"/>
                <w:szCs w:val="20"/>
              </w:rPr>
              <w:t>44,68%</w:t>
            </w:r>
          </w:p>
        </w:tc>
        <w:tc>
          <w:tcPr>
            <w:tcW w:w="1880" w:type="dxa"/>
            <w:tcBorders>
              <w:top w:val="nil"/>
              <w:left w:val="nil"/>
              <w:bottom w:val="single" w:sz="8" w:space="0" w:color="FFFFFF"/>
              <w:right w:val="single" w:sz="8" w:space="0" w:color="FFFFFF"/>
            </w:tcBorders>
            <w:shd w:val="clear" w:color="000000" w:fill="95B3D7"/>
            <w:noWrap/>
            <w:hideMark/>
          </w:tcPr>
          <w:p w14:paraId="588D1E02" w14:textId="279B5CFF" w:rsidR="00204B79" w:rsidRPr="00204B79" w:rsidRDefault="00204B79" w:rsidP="00204B79">
            <w:pPr>
              <w:spacing w:after="0" w:line="240" w:lineRule="auto"/>
              <w:ind w:left="0" w:right="0" w:firstLine="0"/>
              <w:jc w:val="right"/>
              <w:rPr>
                <w:rFonts w:ascii="Times New Roman" w:eastAsia="Times New Roman" w:hAnsi="Times New Roman" w:cs="Times New Roman"/>
                <w:b/>
                <w:bCs/>
                <w:i/>
                <w:iCs/>
                <w:color w:val="000000" w:themeColor="text1"/>
                <w:sz w:val="20"/>
                <w:szCs w:val="20"/>
              </w:rPr>
            </w:pPr>
            <w:r w:rsidRPr="00204B79">
              <w:rPr>
                <w:rFonts w:ascii="Times New Roman" w:hAnsi="Times New Roman" w:cs="Times New Roman"/>
                <w:b/>
                <w:color w:val="000000" w:themeColor="text1"/>
                <w:sz w:val="20"/>
                <w:szCs w:val="20"/>
              </w:rPr>
              <w:t>27 773</w:t>
            </w:r>
          </w:p>
        </w:tc>
      </w:tr>
      <w:tr w:rsidR="00204B79" w:rsidRPr="00204B79" w14:paraId="583A7645" w14:textId="77777777" w:rsidTr="00F03B83">
        <w:trPr>
          <w:trHeight w:val="270"/>
        </w:trPr>
        <w:tc>
          <w:tcPr>
            <w:tcW w:w="3700" w:type="dxa"/>
            <w:tcBorders>
              <w:top w:val="nil"/>
              <w:left w:val="single" w:sz="8" w:space="0" w:color="FFFFFF"/>
              <w:bottom w:val="single" w:sz="8" w:space="0" w:color="FFFFFF"/>
              <w:right w:val="single" w:sz="8" w:space="0" w:color="FFFFFF"/>
            </w:tcBorders>
            <w:shd w:val="clear" w:color="000000" w:fill="DCE6F1"/>
            <w:noWrap/>
            <w:vAlign w:val="center"/>
            <w:hideMark/>
          </w:tcPr>
          <w:p w14:paraId="7EEC7564" w14:textId="77777777" w:rsidR="00204B79" w:rsidRPr="00204B79" w:rsidRDefault="00204B79" w:rsidP="00204B79">
            <w:pPr>
              <w:spacing w:after="0" w:line="240" w:lineRule="auto"/>
              <w:ind w:left="0" w:right="0" w:firstLine="0"/>
              <w:jc w:val="left"/>
              <w:rPr>
                <w:rFonts w:ascii="Times New Roman" w:eastAsia="Times New Roman" w:hAnsi="Times New Roman" w:cs="Times New Roman"/>
                <w:color w:val="000000" w:themeColor="text1"/>
                <w:sz w:val="20"/>
                <w:szCs w:val="20"/>
              </w:rPr>
            </w:pPr>
            <w:r w:rsidRPr="00204B79">
              <w:rPr>
                <w:rFonts w:ascii="Times New Roman" w:eastAsia="Times New Roman" w:hAnsi="Times New Roman" w:cs="Times New Roman"/>
                <w:color w:val="000000" w:themeColor="text1"/>
                <w:sz w:val="20"/>
                <w:szCs w:val="20"/>
              </w:rPr>
              <w:t xml:space="preserve">- </w:t>
            </w:r>
            <w:proofErr w:type="spellStart"/>
            <w:r w:rsidRPr="00204B79">
              <w:rPr>
                <w:rFonts w:ascii="Times New Roman" w:eastAsia="Times New Roman" w:hAnsi="Times New Roman" w:cs="Times New Roman"/>
                <w:color w:val="000000" w:themeColor="text1"/>
                <w:sz w:val="20"/>
                <w:szCs w:val="20"/>
              </w:rPr>
              <w:t>a'vista</w:t>
            </w:r>
            <w:proofErr w:type="spellEnd"/>
          </w:p>
        </w:tc>
        <w:tc>
          <w:tcPr>
            <w:tcW w:w="2020" w:type="dxa"/>
            <w:tcBorders>
              <w:top w:val="nil"/>
              <w:left w:val="nil"/>
              <w:bottom w:val="single" w:sz="8" w:space="0" w:color="FFFFFF"/>
              <w:right w:val="single" w:sz="8" w:space="0" w:color="FFFFFF"/>
            </w:tcBorders>
            <w:shd w:val="clear" w:color="000000" w:fill="DCE6F1"/>
            <w:noWrap/>
            <w:hideMark/>
          </w:tcPr>
          <w:p w14:paraId="506070A4" w14:textId="7CAED722" w:rsidR="00204B79" w:rsidRPr="00204B79" w:rsidRDefault="00204B79" w:rsidP="00204B79">
            <w:pPr>
              <w:spacing w:after="0" w:line="240" w:lineRule="auto"/>
              <w:ind w:left="0" w:right="0" w:firstLine="0"/>
              <w:jc w:val="right"/>
              <w:rPr>
                <w:rFonts w:ascii="Times New Roman" w:eastAsia="Times New Roman" w:hAnsi="Times New Roman" w:cs="Times New Roman"/>
                <w:color w:val="000000" w:themeColor="text1"/>
                <w:sz w:val="20"/>
                <w:szCs w:val="20"/>
              </w:rPr>
            </w:pPr>
            <w:r w:rsidRPr="00204B79">
              <w:rPr>
                <w:rFonts w:ascii="Times New Roman" w:hAnsi="Times New Roman" w:cs="Times New Roman"/>
                <w:color w:val="000000" w:themeColor="text1"/>
                <w:sz w:val="20"/>
                <w:szCs w:val="20"/>
              </w:rPr>
              <w:t>61 178</w:t>
            </w:r>
          </w:p>
        </w:tc>
        <w:tc>
          <w:tcPr>
            <w:tcW w:w="1760" w:type="dxa"/>
            <w:tcBorders>
              <w:top w:val="nil"/>
              <w:left w:val="nil"/>
              <w:bottom w:val="single" w:sz="8" w:space="0" w:color="FFFFFF"/>
              <w:right w:val="single" w:sz="8" w:space="0" w:color="FFFFFF"/>
            </w:tcBorders>
            <w:shd w:val="clear" w:color="000000" w:fill="DCE6F1"/>
            <w:noWrap/>
            <w:hideMark/>
          </w:tcPr>
          <w:p w14:paraId="1ECE3266" w14:textId="022CED03" w:rsidR="00204B79" w:rsidRPr="00204B79" w:rsidRDefault="00204B79" w:rsidP="00204B79">
            <w:pPr>
              <w:spacing w:after="0" w:line="240" w:lineRule="auto"/>
              <w:ind w:left="0" w:right="0" w:firstLine="0"/>
              <w:jc w:val="right"/>
              <w:rPr>
                <w:rFonts w:ascii="Times New Roman" w:eastAsia="Times New Roman" w:hAnsi="Times New Roman" w:cs="Times New Roman"/>
                <w:color w:val="000000" w:themeColor="text1"/>
                <w:sz w:val="20"/>
                <w:szCs w:val="20"/>
              </w:rPr>
            </w:pPr>
            <w:r w:rsidRPr="00204B79">
              <w:rPr>
                <w:rFonts w:ascii="Times New Roman" w:hAnsi="Times New Roman" w:cs="Times New Roman"/>
                <w:color w:val="000000" w:themeColor="text1"/>
                <w:sz w:val="20"/>
                <w:szCs w:val="20"/>
              </w:rPr>
              <w:t>44,52%</w:t>
            </w:r>
          </w:p>
        </w:tc>
        <w:tc>
          <w:tcPr>
            <w:tcW w:w="1880" w:type="dxa"/>
            <w:tcBorders>
              <w:top w:val="nil"/>
              <w:left w:val="nil"/>
              <w:bottom w:val="single" w:sz="8" w:space="0" w:color="FFFFFF"/>
              <w:right w:val="single" w:sz="8" w:space="0" w:color="FFFFFF"/>
            </w:tcBorders>
            <w:shd w:val="clear" w:color="000000" w:fill="DCE6F1"/>
            <w:noWrap/>
            <w:hideMark/>
          </w:tcPr>
          <w:p w14:paraId="67703F54" w14:textId="140EE366" w:rsidR="00204B79" w:rsidRPr="00204B79" w:rsidRDefault="00204B79" w:rsidP="00204B79">
            <w:pPr>
              <w:spacing w:after="0" w:line="240" w:lineRule="auto"/>
              <w:ind w:left="0" w:right="0" w:firstLine="0"/>
              <w:jc w:val="right"/>
              <w:rPr>
                <w:rFonts w:ascii="Times New Roman" w:eastAsia="Times New Roman" w:hAnsi="Times New Roman" w:cs="Times New Roman"/>
                <w:color w:val="000000" w:themeColor="text1"/>
                <w:sz w:val="20"/>
                <w:szCs w:val="20"/>
              </w:rPr>
            </w:pPr>
            <w:r w:rsidRPr="00204B79">
              <w:rPr>
                <w:rFonts w:ascii="Times New Roman" w:hAnsi="Times New Roman" w:cs="Times New Roman"/>
                <w:color w:val="000000" w:themeColor="text1"/>
                <w:sz w:val="20"/>
                <w:szCs w:val="20"/>
              </w:rPr>
              <w:t>27 239</w:t>
            </w:r>
          </w:p>
        </w:tc>
      </w:tr>
      <w:tr w:rsidR="00204B79" w:rsidRPr="00204B79" w14:paraId="6D91BEA6" w14:textId="77777777" w:rsidTr="00F03B83">
        <w:trPr>
          <w:trHeight w:val="270"/>
        </w:trPr>
        <w:tc>
          <w:tcPr>
            <w:tcW w:w="3700" w:type="dxa"/>
            <w:tcBorders>
              <w:top w:val="nil"/>
              <w:left w:val="single" w:sz="8" w:space="0" w:color="FFFFFF"/>
              <w:bottom w:val="single" w:sz="8" w:space="0" w:color="FFFFFF"/>
              <w:right w:val="single" w:sz="8" w:space="0" w:color="FFFFFF"/>
            </w:tcBorders>
            <w:shd w:val="clear" w:color="000000" w:fill="DCE6F1"/>
            <w:noWrap/>
            <w:vAlign w:val="center"/>
            <w:hideMark/>
          </w:tcPr>
          <w:p w14:paraId="55D81F77" w14:textId="77777777" w:rsidR="00204B79" w:rsidRPr="00204B79" w:rsidRDefault="00204B79" w:rsidP="00204B79">
            <w:pPr>
              <w:spacing w:after="0" w:line="240" w:lineRule="auto"/>
              <w:ind w:left="0" w:right="0" w:firstLine="0"/>
              <w:jc w:val="left"/>
              <w:rPr>
                <w:rFonts w:ascii="Times New Roman" w:eastAsia="Times New Roman" w:hAnsi="Times New Roman" w:cs="Times New Roman"/>
                <w:color w:val="000000" w:themeColor="text1"/>
                <w:sz w:val="20"/>
                <w:szCs w:val="20"/>
              </w:rPr>
            </w:pPr>
            <w:r w:rsidRPr="00204B79">
              <w:rPr>
                <w:rFonts w:ascii="Times New Roman" w:eastAsia="Times New Roman" w:hAnsi="Times New Roman" w:cs="Times New Roman"/>
                <w:color w:val="000000" w:themeColor="text1"/>
                <w:sz w:val="20"/>
                <w:szCs w:val="20"/>
              </w:rPr>
              <w:t>- terminowe</w:t>
            </w:r>
          </w:p>
        </w:tc>
        <w:tc>
          <w:tcPr>
            <w:tcW w:w="2020" w:type="dxa"/>
            <w:tcBorders>
              <w:top w:val="nil"/>
              <w:left w:val="nil"/>
              <w:bottom w:val="single" w:sz="8" w:space="0" w:color="FFFFFF"/>
              <w:right w:val="single" w:sz="8" w:space="0" w:color="FFFFFF"/>
            </w:tcBorders>
            <w:shd w:val="clear" w:color="000000" w:fill="DCE6F1"/>
            <w:noWrap/>
            <w:hideMark/>
          </w:tcPr>
          <w:p w14:paraId="5F3BEF5F" w14:textId="3759AA4D" w:rsidR="00204B79" w:rsidRPr="00204B79" w:rsidRDefault="00204B79" w:rsidP="00204B79">
            <w:pPr>
              <w:spacing w:after="0" w:line="240" w:lineRule="auto"/>
              <w:ind w:left="0" w:right="0" w:firstLine="0"/>
              <w:jc w:val="right"/>
              <w:rPr>
                <w:rFonts w:ascii="Times New Roman" w:eastAsia="Times New Roman" w:hAnsi="Times New Roman" w:cs="Times New Roman"/>
                <w:color w:val="000000" w:themeColor="text1"/>
                <w:sz w:val="20"/>
                <w:szCs w:val="20"/>
              </w:rPr>
            </w:pPr>
            <w:r w:rsidRPr="00204B79">
              <w:rPr>
                <w:rFonts w:ascii="Times New Roman" w:hAnsi="Times New Roman" w:cs="Times New Roman"/>
                <w:color w:val="000000" w:themeColor="text1"/>
                <w:sz w:val="20"/>
                <w:szCs w:val="20"/>
              </w:rPr>
              <w:t>979</w:t>
            </w:r>
          </w:p>
        </w:tc>
        <w:tc>
          <w:tcPr>
            <w:tcW w:w="1760" w:type="dxa"/>
            <w:tcBorders>
              <w:top w:val="nil"/>
              <w:left w:val="nil"/>
              <w:bottom w:val="single" w:sz="8" w:space="0" w:color="FFFFFF"/>
              <w:right w:val="single" w:sz="8" w:space="0" w:color="FFFFFF"/>
            </w:tcBorders>
            <w:shd w:val="clear" w:color="000000" w:fill="DCE6F1"/>
            <w:noWrap/>
            <w:hideMark/>
          </w:tcPr>
          <w:p w14:paraId="195AF2DF" w14:textId="0EF5F5FF" w:rsidR="00204B79" w:rsidRPr="00204B79" w:rsidRDefault="00204B79" w:rsidP="00204B79">
            <w:pPr>
              <w:spacing w:after="0" w:line="240" w:lineRule="auto"/>
              <w:ind w:left="0" w:right="0" w:firstLine="0"/>
              <w:jc w:val="right"/>
              <w:rPr>
                <w:rFonts w:ascii="Times New Roman" w:eastAsia="Times New Roman" w:hAnsi="Times New Roman" w:cs="Times New Roman"/>
                <w:color w:val="000000" w:themeColor="text1"/>
                <w:sz w:val="20"/>
                <w:szCs w:val="20"/>
              </w:rPr>
            </w:pPr>
            <w:r w:rsidRPr="00204B79">
              <w:rPr>
                <w:rFonts w:ascii="Times New Roman" w:hAnsi="Times New Roman" w:cs="Times New Roman"/>
                <w:color w:val="000000" w:themeColor="text1"/>
                <w:sz w:val="20"/>
                <w:szCs w:val="20"/>
              </w:rPr>
              <w:t>54,50%</w:t>
            </w:r>
          </w:p>
        </w:tc>
        <w:tc>
          <w:tcPr>
            <w:tcW w:w="1880" w:type="dxa"/>
            <w:tcBorders>
              <w:top w:val="nil"/>
              <w:left w:val="nil"/>
              <w:bottom w:val="single" w:sz="8" w:space="0" w:color="FFFFFF"/>
              <w:right w:val="single" w:sz="8" w:space="0" w:color="FFFFFF"/>
            </w:tcBorders>
            <w:shd w:val="clear" w:color="000000" w:fill="DCE6F1"/>
            <w:noWrap/>
            <w:hideMark/>
          </w:tcPr>
          <w:p w14:paraId="512402F1" w14:textId="2DC8AC80" w:rsidR="00204B79" w:rsidRPr="00204B79" w:rsidRDefault="00204B79" w:rsidP="00204B79">
            <w:pPr>
              <w:spacing w:after="0" w:line="240" w:lineRule="auto"/>
              <w:ind w:left="0" w:right="0" w:firstLine="0"/>
              <w:jc w:val="right"/>
              <w:rPr>
                <w:rFonts w:ascii="Times New Roman" w:eastAsia="Times New Roman" w:hAnsi="Times New Roman" w:cs="Times New Roman"/>
                <w:color w:val="000000" w:themeColor="text1"/>
                <w:sz w:val="20"/>
                <w:szCs w:val="20"/>
              </w:rPr>
            </w:pPr>
            <w:r w:rsidRPr="00204B79">
              <w:rPr>
                <w:rFonts w:ascii="Times New Roman" w:hAnsi="Times New Roman" w:cs="Times New Roman"/>
                <w:color w:val="000000" w:themeColor="text1"/>
                <w:sz w:val="20"/>
                <w:szCs w:val="20"/>
              </w:rPr>
              <w:t>534</w:t>
            </w:r>
          </w:p>
        </w:tc>
      </w:tr>
      <w:tr w:rsidR="00204B79" w:rsidRPr="00204B79" w14:paraId="4729A098" w14:textId="77777777" w:rsidTr="00F03B83">
        <w:trPr>
          <w:trHeight w:val="330"/>
        </w:trPr>
        <w:tc>
          <w:tcPr>
            <w:tcW w:w="3700" w:type="dxa"/>
            <w:tcBorders>
              <w:top w:val="nil"/>
              <w:left w:val="single" w:sz="8" w:space="0" w:color="FFFFFF"/>
              <w:bottom w:val="single" w:sz="8" w:space="0" w:color="FFFFFF"/>
              <w:right w:val="single" w:sz="8" w:space="0" w:color="FFFFFF"/>
            </w:tcBorders>
            <w:shd w:val="clear" w:color="000000" w:fill="95B3D7"/>
            <w:noWrap/>
            <w:vAlign w:val="center"/>
            <w:hideMark/>
          </w:tcPr>
          <w:p w14:paraId="7D4327E1" w14:textId="77777777" w:rsidR="00204B79" w:rsidRPr="00204B79" w:rsidRDefault="00204B79" w:rsidP="00204B79">
            <w:pPr>
              <w:spacing w:after="0" w:line="240" w:lineRule="auto"/>
              <w:ind w:left="0" w:right="0" w:firstLine="0"/>
              <w:jc w:val="left"/>
              <w:rPr>
                <w:rFonts w:ascii="Times New Roman" w:eastAsia="Times New Roman" w:hAnsi="Times New Roman" w:cs="Times New Roman"/>
                <w:b/>
                <w:bCs/>
                <w:color w:val="000000" w:themeColor="text1"/>
                <w:szCs w:val="24"/>
              </w:rPr>
            </w:pPr>
            <w:r w:rsidRPr="00204B79">
              <w:rPr>
                <w:rFonts w:ascii="Times New Roman" w:eastAsia="Times New Roman" w:hAnsi="Times New Roman" w:cs="Times New Roman"/>
                <w:b/>
                <w:bCs/>
                <w:color w:val="000000" w:themeColor="text1"/>
                <w:szCs w:val="24"/>
              </w:rPr>
              <w:t>RAZEM BAZA DEPOZYTOWA</w:t>
            </w:r>
          </w:p>
        </w:tc>
        <w:tc>
          <w:tcPr>
            <w:tcW w:w="2020" w:type="dxa"/>
            <w:tcBorders>
              <w:top w:val="nil"/>
              <w:left w:val="nil"/>
              <w:bottom w:val="single" w:sz="8" w:space="0" w:color="FFFFFF"/>
              <w:right w:val="single" w:sz="8" w:space="0" w:color="FFFFFF"/>
            </w:tcBorders>
            <w:shd w:val="clear" w:color="000000" w:fill="95B3D7"/>
            <w:noWrap/>
            <w:hideMark/>
          </w:tcPr>
          <w:p w14:paraId="145DD66E" w14:textId="1F87082F" w:rsidR="00204B79" w:rsidRPr="00204B79" w:rsidRDefault="00204B79" w:rsidP="00204B79">
            <w:pPr>
              <w:spacing w:after="0" w:line="240" w:lineRule="auto"/>
              <w:ind w:left="0" w:right="0" w:firstLine="0"/>
              <w:jc w:val="right"/>
              <w:rPr>
                <w:rFonts w:ascii="Times New Roman" w:eastAsia="Times New Roman" w:hAnsi="Times New Roman" w:cs="Times New Roman"/>
                <w:b/>
                <w:bCs/>
                <w:color w:val="000000" w:themeColor="text1"/>
                <w:sz w:val="20"/>
                <w:szCs w:val="20"/>
              </w:rPr>
            </w:pPr>
            <w:r w:rsidRPr="00204B79">
              <w:rPr>
                <w:rFonts w:ascii="Times New Roman" w:hAnsi="Times New Roman" w:cs="Times New Roman"/>
                <w:b/>
                <w:color w:val="000000" w:themeColor="text1"/>
                <w:sz w:val="20"/>
                <w:szCs w:val="20"/>
              </w:rPr>
              <w:t>647 539</w:t>
            </w:r>
          </w:p>
        </w:tc>
        <w:tc>
          <w:tcPr>
            <w:tcW w:w="1760" w:type="dxa"/>
            <w:tcBorders>
              <w:top w:val="nil"/>
              <w:left w:val="nil"/>
              <w:bottom w:val="single" w:sz="8" w:space="0" w:color="FFFFFF"/>
              <w:right w:val="single" w:sz="8" w:space="0" w:color="FFFFFF"/>
            </w:tcBorders>
            <w:shd w:val="clear" w:color="000000" w:fill="95B3D7"/>
            <w:noWrap/>
            <w:hideMark/>
          </w:tcPr>
          <w:p w14:paraId="6EF7FED1" w14:textId="4AE4F015" w:rsidR="00204B79" w:rsidRPr="00204B79" w:rsidRDefault="00204B79" w:rsidP="00204B79">
            <w:pPr>
              <w:spacing w:after="0" w:line="240" w:lineRule="auto"/>
              <w:ind w:left="0" w:right="0" w:firstLine="0"/>
              <w:jc w:val="right"/>
              <w:rPr>
                <w:rFonts w:ascii="Times New Roman" w:eastAsia="Times New Roman" w:hAnsi="Times New Roman" w:cs="Times New Roman"/>
                <w:b/>
                <w:bCs/>
                <w:color w:val="000000" w:themeColor="text1"/>
                <w:sz w:val="20"/>
                <w:szCs w:val="20"/>
              </w:rPr>
            </w:pPr>
            <w:r w:rsidRPr="00204B79">
              <w:rPr>
                <w:rFonts w:ascii="Times New Roman" w:hAnsi="Times New Roman" w:cs="Times New Roman"/>
                <w:b/>
                <w:color w:val="000000" w:themeColor="text1"/>
                <w:sz w:val="20"/>
                <w:szCs w:val="20"/>
              </w:rPr>
              <w:t>70,83%</w:t>
            </w:r>
          </w:p>
        </w:tc>
        <w:tc>
          <w:tcPr>
            <w:tcW w:w="1880" w:type="dxa"/>
            <w:tcBorders>
              <w:top w:val="nil"/>
              <w:left w:val="nil"/>
              <w:bottom w:val="single" w:sz="8" w:space="0" w:color="FFFFFF"/>
              <w:right w:val="single" w:sz="8" w:space="0" w:color="FFFFFF"/>
            </w:tcBorders>
            <w:shd w:val="clear" w:color="000000" w:fill="95B3D7"/>
            <w:noWrap/>
            <w:hideMark/>
          </w:tcPr>
          <w:p w14:paraId="3AF7955B" w14:textId="32DB5EB7" w:rsidR="00204B79" w:rsidRPr="00204B79" w:rsidRDefault="00204B79" w:rsidP="00204B79">
            <w:pPr>
              <w:spacing w:after="0" w:line="240" w:lineRule="auto"/>
              <w:ind w:left="0" w:right="0" w:firstLine="0"/>
              <w:jc w:val="right"/>
              <w:rPr>
                <w:rFonts w:ascii="Times New Roman" w:eastAsia="Times New Roman" w:hAnsi="Times New Roman" w:cs="Times New Roman"/>
                <w:b/>
                <w:bCs/>
                <w:color w:val="000000" w:themeColor="text1"/>
                <w:sz w:val="20"/>
                <w:szCs w:val="20"/>
              </w:rPr>
            </w:pPr>
            <w:r w:rsidRPr="00204B79">
              <w:rPr>
                <w:rFonts w:ascii="Times New Roman" w:hAnsi="Times New Roman" w:cs="Times New Roman"/>
                <w:b/>
                <w:color w:val="000000" w:themeColor="text1"/>
                <w:sz w:val="20"/>
                <w:szCs w:val="20"/>
              </w:rPr>
              <w:t>458 624</w:t>
            </w:r>
          </w:p>
        </w:tc>
      </w:tr>
    </w:tbl>
    <w:p w14:paraId="6547C9FD" w14:textId="77777777" w:rsidR="00F76AC5" w:rsidRPr="00204B79" w:rsidRDefault="00F76AC5" w:rsidP="00C53E04">
      <w:pPr>
        <w:spacing w:after="23" w:line="270" w:lineRule="auto"/>
        <w:ind w:left="-5" w:right="0"/>
        <w:rPr>
          <w:rFonts w:ascii="Times New Roman" w:hAnsi="Times New Roman" w:cs="Times New Roman"/>
          <w:i/>
          <w:color w:val="000000" w:themeColor="text1"/>
          <w:sz w:val="20"/>
        </w:rPr>
      </w:pPr>
    </w:p>
    <w:p w14:paraId="148C7878" w14:textId="77777777" w:rsidR="002C50F6" w:rsidRPr="00CB76A2" w:rsidRDefault="00E81BF6" w:rsidP="00942B14">
      <w:pPr>
        <w:spacing w:after="0" w:line="276" w:lineRule="auto"/>
        <w:ind w:left="-5" w:right="6"/>
        <w:rPr>
          <w:rFonts w:ascii="Times New Roman" w:hAnsi="Times New Roman" w:cs="Times New Roman"/>
          <w:color w:val="000000" w:themeColor="text1"/>
        </w:rPr>
      </w:pPr>
      <w:r w:rsidRPr="00204B79">
        <w:rPr>
          <w:rFonts w:ascii="Times New Roman" w:hAnsi="Times New Roman" w:cs="Times New Roman"/>
          <w:color w:val="000000" w:themeColor="text1"/>
        </w:rPr>
        <w:t>Oprócz wspomnianych</w:t>
      </w:r>
      <w:r w:rsidR="008A0D67" w:rsidRPr="00204B79">
        <w:rPr>
          <w:rFonts w:ascii="Times New Roman" w:hAnsi="Times New Roman" w:cs="Times New Roman"/>
          <w:color w:val="000000" w:themeColor="text1"/>
        </w:rPr>
        <w:t xml:space="preserve"> depozytów stabilnych</w:t>
      </w:r>
      <w:r w:rsidRPr="00204B79">
        <w:rPr>
          <w:rFonts w:ascii="Times New Roman" w:hAnsi="Times New Roman" w:cs="Times New Roman"/>
          <w:color w:val="000000" w:themeColor="text1"/>
        </w:rPr>
        <w:t xml:space="preserve">, Bank finansuje swoją działalność funduszami </w:t>
      </w:r>
      <w:r w:rsidRPr="00CB76A2">
        <w:rPr>
          <w:rFonts w:ascii="Times New Roman" w:hAnsi="Times New Roman" w:cs="Times New Roman"/>
          <w:color w:val="000000" w:themeColor="text1"/>
        </w:rPr>
        <w:t>własnymi</w:t>
      </w:r>
      <w:r w:rsidR="00176023" w:rsidRPr="00CB76A2">
        <w:rPr>
          <w:rFonts w:ascii="Times New Roman" w:hAnsi="Times New Roman" w:cs="Times New Roman"/>
          <w:color w:val="000000" w:themeColor="text1"/>
        </w:rPr>
        <w:t>.</w:t>
      </w:r>
    </w:p>
    <w:p w14:paraId="6BF64A70" w14:textId="77777777" w:rsidR="002C50F6" w:rsidRPr="00CB76A2" w:rsidRDefault="00E81BF6" w:rsidP="00942B14">
      <w:pPr>
        <w:spacing w:after="0" w:line="276" w:lineRule="auto"/>
        <w:ind w:left="-15" w:right="6" w:firstLine="720"/>
        <w:rPr>
          <w:rFonts w:ascii="Times New Roman" w:hAnsi="Times New Roman" w:cs="Times New Roman"/>
          <w:color w:val="000000" w:themeColor="text1"/>
        </w:rPr>
      </w:pPr>
      <w:r w:rsidRPr="00CB76A2">
        <w:rPr>
          <w:rFonts w:ascii="Times New Roman" w:hAnsi="Times New Roman" w:cs="Times New Roman"/>
          <w:color w:val="000000" w:themeColor="text1"/>
        </w:rPr>
        <w:t>Przyjmowane przez Bank lokaty walutowe - ze względu n</w:t>
      </w:r>
      <w:r w:rsidR="005A7EF0" w:rsidRPr="00CB76A2">
        <w:rPr>
          <w:rFonts w:ascii="Times New Roman" w:hAnsi="Times New Roman" w:cs="Times New Roman"/>
          <w:color w:val="000000" w:themeColor="text1"/>
        </w:rPr>
        <w:t>a ich relatywnie niski udział w </w:t>
      </w:r>
      <w:r w:rsidRPr="00CB76A2">
        <w:rPr>
          <w:rFonts w:ascii="Times New Roman" w:hAnsi="Times New Roman" w:cs="Times New Roman"/>
          <w:color w:val="000000" w:themeColor="text1"/>
        </w:rPr>
        <w:t>ogólnej strukturze przyjmowanych lokat ogółem - nie stanowią obecnie zagrożenia dla jego płynności. Jednakże, wraz z rozwojem działalności walutowej, w coraz większym stopniu</w:t>
      </w:r>
      <w:r w:rsidR="005A7EF0" w:rsidRPr="00CB76A2">
        <w:rPr>
          <w:rFonts w:ascii="Times New Roman" w:hAnsi="Times New Roman" w:cs="Times New Roman"/>
          <w:color w:val="000000" w:themeColor="text1"/>
        </w:rPr>
        <w:t xml:space="preserve"> </w:t>
      </w:r>
      <w:r w:rsidRPr="00CB76A2">
        <w:rPr>
          <w:rFonts w:ascii="Times New Roman" w:hAnsi="Times New Roman" w:cs="Times New Roman"/>
          <w:color w:val="000000" w:themeColor="text1"/>
        </w:rPr>
        <w:t xml:space="preserve">Bank </w:t>
      </w:r>
      <w:r w:rsidRPr="00CB76A2">
        <w:rPr>
          <w:rFonts w:ascii="Times New Roman" w:hAnsi="Times New Roman" w:cs="Times New Roman"/>
          <w:color w:val="000000" w:themeColor="text1"/>
        </w:rPr>
        <w:lastRenderedPageBreak/>
        <w:t>narażony będzie na ryzyko płynności wynikające z przepływów walutowych. Bank będzie dążył do pełnego zrównoważenia niedopasowania aktywów i pasywów walutowych.</w:t>
      </w:r>
    </w:p>
    <w:p w14:paraId="6292A964" w14:textId="13FA9059" w:rsidR="002C50F6" w:rsidRPr="00CB76A2" w:rsidRDefault="00E81BF6" w:rsidP="00942B14">
      <w:pPr>
        <w:spacing w:after="0" w:line="276" w:lineRule="auto"/>
        <w:ind w:left="-15" w:right="6" w:firstLine="720"/>
        <w:rPr>
          <w:rFonts w:ascii="Times New Roman" w:hAnsi="Times New Roman" w:cs="Times New Roman"/>
          <w:color w:val="000000" w:themeColor="text1"/>
        </w:rPr>
      </w:pPr>
      <w:r w:rsidRPr="00CB76A2">
        <w:rPr>
          <w:rFonts w:ascii="Times New Roman" w:hAnsi="Times New Roman" w:cs="Times New Roman"/>
          <w:color w:val="000000" w:themeColor="text1"/>
        </w:rPr>
        <w:t xml:space="preserve">Z punktu widzenia zarządzania płynnością Banku najważniejsza jest analiza poziomu płynności w ujęciu krótko- i średnioterminowym. Zgodnie z </w:t>
      </w:r>
      <w:r w:rsidRPr="00CB76A2">
        <w:rPr>
          <w:rFonts w:ascii="Times New Roman" w:hAnsi="Times New Roman" w:cs="Times New Roman"/>
          <w:i/>
          <w:color w:val="000000" w:themeColor="text1"/>
        </w:rPr>
        <w:t>Uchwałą nr 386/2008 Komisji Nadzoru Finansowego z dnia 17 grudnia 2008 r. w sprawie ustalenia wiążących banki norm płynności</w:t>
      </w:r>
      <w:r w:rsidRPr="00CB76A2">
        <w:rPr>
          <w:rFonts w:ascii="Times New Roman" w:hAnsi="Times New Roman" w:cs="Times New Roman"/>
          <w:color w:val="000000" w:themeColor="text1"/>
        </w:rPr>
        <w:t xml:space="preserve">, </w:t>
      </w:r>
      <w:r w:rsidR="009807DF" w:rsidRPr="00CB76A2">
        <w:rPr>
          <w:rFonts w:ascii="Times New Roman" w:hAnsi="Times New Roman" w:cs="Times New Roman"/>
          <w:color w:val="000000" w:themeColor="text1"/>
        </w:rPr>
        <w:t>Warmińsko-Mazurski</w:t>
      </w:r>
      <w:r w:rsidRPr="00CB76A2">
        <w:rPr>
          <w:rFonts w:ascii="Times New Roman" w:hAnsi="Times New Roman" w:cs="Times New Roman"/>
          <w:color w:val="000000" w:themeColor="text1"/>
        </w:rPr>
        <w:t xml:space="preserve"> Bank Spółdzielczy dokonuje kalkulacji nadzorczych miar płynności</w:t>
      </w:r>
      <w:r w:rsidR="000B0A76" w:rsidRPr="00CB76A2">
        <w:rPr>
          <w:rFonts w:ascii="Times New Roman" w:hAnsi="Times New Roman" w:cs="Times New Roman"/>
          <w:color w:val="000000" w:themeColor="text1"/>
        </w:rPr>
        <w:t xml:space="preserve"> długoterminowej (M3 i M4)</w:t>
      </w:r>
      <w:r w:rsidRPr="00CB76A2">
        <w:rPr>
          <w:rFonts w:ascii="Times New Roman" w:hAnsi="Times New Roman" w:cs="Times New Roman"/>
          <w:color w:val="000000" w:themeColor="text1"/>
        </w:rPr>
        <w:t xml:space="preserve"> na każdy dzień sprawozdawczy. </w:t>
      </w:r>
    </w:p>
    <w:p w14:paraId="2F79412A" w14:textId="77777777" w:rsidR="002C50F6" w:rsidRPr="00CB76A2" w:rsidRDefault="00E81BF6" w:rsidP="00683DF4">
      <w:pPr>
        <w:spacing w:after="0" w:line="276" w:lineRule="auto"/>
        <w:ind w:left="-5" w:right="6" w:firstLine="708"/>
        <w:rPr>
          <w:rFonts w:ascii="Times New Roman" w:hAnsi="Times New Roman" w:cs="Times New Roman"/>
          <w:color w:val="000000" w:themeColor="text1"/>
        </w:rPr>
      </w:pPr>
      <w:r w:rsidRPr="00CB76A2">
        <w:rPr>
          <w:rFonts w:ascii="Times New Roman" w:hAnsi="Times New Roman" w:cs="Times New Roman"/>
          <w:color w:val="000000" w:themeColor="text1"/>
        </w:rPr>
        <w:t xml:space="preserve">Dodatkowo, zgodnie z wymogami nałożonymi przez </w:t>
      </w:r>
      <w:r w:rsidRPr="00CB76A2">
        <w:rPr>
          <w:rFonts w:ascii="Times New Roman" w:hAnsi="Times New Roman" w:cs="Times New Roman"/>
          <w:i/>
          <w:color w:val="000000" w:themeColor="text1"/>
        </w:rPr>
        <w:t>Rozporządzenie CRR</w:t>
      </w:r>
      <w:r w:rsidR="005A7EF0" w:rsidRPr="00CB76A2">
        <w:rPr>
          <w:rFonts w:ascii="Times New Roman" w:hAnsi="Times New Roman" w:cs="Times New Roman"/>
          <w:color w:val="000000" w:themeColor="text1"/>
        </w:rPr>
        <w:t xml:space="preserve"> oraz wydanymi do </w:t>
      </w:r>
      <w:r w:rsidRPr="00CB76A2">
        <w:rPr>
          <w:rFonts w:ascii="Times New Roman" w:hAnsi="Times New Roman" w:cs="Times New Roman"/>
          <w:color w:val="000000" w:themeColor="text1"/>
        </w:rPr>
        <w:t xml:space="preserve">niego aktami delegowanymi, Bank oblicza w każdym dniu </w:t>
      </w:r>
      <w:r w:rsidR="001E522D" w:rsidRPr="00CB76A2">
        <w:rPr>
          <w:rFonts w:ascii="Times New Roman" w:hAnsi="Times New Roman" w:cs="Times New Roman"/>
          <w:color w:val="000000" w:themeColor="text1"/>
        </w:rPr>
        <w:t>kalendarzowym</w:t>
      </w:r>
      <w:r w:rsidRPr="00CB76A2">
        <w:rPr>
          <w:rFonts w:ascii="Times New Roman" w:hAnsi="Times New Roman" w:cs="Times New Roman"/>
          <w:color w:val="000000" w:themeColor="text1"/>
        </w:rPr>
        <w:t xml:space="preserve"> wskaźnik LCR, który obrazuje</w:t>
      </w:r>
      <w:r w:rsidR="005A7EF0" w:rsidRPr="00CB76A2">
        <w:rPr>
          <w:rFonts w:ascii="Times New Roman" w:hAnsi="Times New Roman" w:cs="Times New Roman"/>
          <w:color w:val="000000" w:themeColor="text1"/>
        </w:rPr>
        <w:t>,</w:t>
      </w:r>
      <w:r w:rsidRPr="00CB76A2">
        <w:rPr>
          <w:rFonts w:ascii="Times New Roman" w:hAnsi="Times New Roman" w:cs="Times New Roman"/>
          <w:color w:val="000000" w:themeColor="text1"/>
        </w:rPr>
        <w:t xml:space="preserve"> w jakim stopniu Bank jest zabezpieczony przed sytuacją skrajną, która utrzymuje się przez okres 30 dni, wynikającą z zakłócenia równowagi pomiędzy wpływami i wypływami płynności.</w:t>
      </w:r>
    </w:p>
    <w:p w14:paraId="59C5A7F2" w14:textId="59338473" w:rsidR="002C50F6" w:rsidRPr="00CB76A2" w:rsidRDefault="00E81BF6" w:rsidP="00683DF4">
      <w:pPr>
        <w:spacing w:after="0" w:line="276" w:lineRule="auto"/>
        <w:ind w:left="-5" w:right="6" w:firstLine="708"/>
        <w:rPr>
          <w:rFonts w:ascii="Times New Roman" w:hAnsi="Times New Roman" w:cs="Times New Roman"/>
          <w:color w:val="000000" w:themeColor="text1"/>
        </w:rPr>
      </w:pPr>
      <w:r w:rsidRPr="00CB76A2">
        <w:rPr>
          <w:rFonts w:ascii="Times New Roman" w:hAnsi="Times New Roman" w:cs="Times New Roman"/>
          <w:color w:val="000000" w:themeColor="text1"/>
        </w:rPr>
        <w:t>Wskaźnik LCR oblicza się jako stosunek zabezpieczenia przed utratą płynności i różnicy pomiędzy odpływami i przypływami dotyczącymi kolejnych 30 dni – zakłada się, że przypływy nie mogą stanowić więcej niż 75% wartości odpływów. Minimalny, wymagany pra</w:t>
      </w:r>
      <w:r w:rsidR="00C74012" w:rsidRPr="00CB76A2">
        <w:rPr>
          <w:rFonts w:ascii="Times New Roman" w:hAnsi="Times New Roman" w:cs="Times New Roman"/>
          <w:color w:val="000000" w:themeColor="text1"/>
        </w:rPr>
        <w:t xml:space="preserve">wem, poziom wskaźnika LCR w </w:t>
      </w:r>
      <w:r w:rsidR="000B0A76" w:rsidRPr="00CB76A2">
        <w:rPr>
          <w:rFonts w:ascii="Times New Roman" w:hAnsi="Times New Roman" w:cs="Times New Roman"/>
          <w:color w:val="000000" w:themeColor="text1"/>
        </w:rPr>
        <w:t>20</w:t>
      </w:r>
      <w:r w:rsidR="00834EEE">
        <w:rPr>
          <w:rFonts w:ascii="Times New Roman" w:hAnsi="Times New Roman" w:cs="Times New Roman"/>
          <w:color w:val="000000" w:themeColor="text1"/>
        </w:rPr>
        <w:t>20</w:t>
      </w:r>
      <w:r w:rsidRPr="00CB76A2">
        <w:rPr>
          <w:rFonts w:ascii="Times New Roman" w:hAnsi="Times New Roman" w:cs="Times New Roman"/>
          <w:color w:val="000000" w:themeColor="text1"/>
        </w:rPr>
        <w:t xml:space="preserve"> roku wynosił </w:t>
      </w:r>
      <w:r w:rsidR="00461F7F" w:rsidRPr="00CB76A2">
        <w:rPr>
          <w:rFonts w:ascii="Times New Roman" w:hAnsi="Times New Roman" w:cs="Times New Roman"/>
          <w:color w:val="000000" w:themeColor="text1"/>
        </w:rPr>
        <w:t>10</w:t>
      </w:r>
      <w:r w:rsidRPr="00CB76A2">
        <w:rPr>
          <w:rFonts w:ascii="Times New Roman" w:hAnsi="Times New Roman" w:cs="Times New Roman"/>
          <w:color w:val="000000" w:themeColor="text1"/>
        </w:rPr>
        <w:t xml:space="preserve">0%. </w:t>
      </w:r>
      <w:r w:rsidR="00F83509" w:rsidRPr="00CB76A2">
        <w:rPr>
          <w:rFonts w:ascii="Times New Roman" w:hAnsi="Times New Roman" w:cs="Times New Roman"/>
          <w:color w:val="000000" w:themeColor="text1"/>
        </w:rPr>
        <w:t xml:space="preserve">Informacja o wskaźniku LCR i nadzorczych normach płynności przekazywana jest </w:t>
      </w:r>
      <w:r w:rsidR="00834EEE">
        <w:rPr>
          <w:rFonts w:ascii="Times New Roman" w:hAnsi="Times New Roman" w:cs="Times New Roman"/>
          <w:color w:val="000000" w:themeColor="text1"/>
        </w:rPr>
        <w:t>Wiceprezesowi Zarządu ds. zarządzania ryzykiem istotnym</w:t>
      </w:r>
      <w:r w:rsidR="0005567F" w:rsidRPr="00CB76A2">
        <w:rPr>
          <w:rFonts w:ascii="Times New Roman" w:hAnsi="Times New Roman" w:cs="Times New Roman"/>
          <w:color w:val="000000" w:themeColor="text1"/>
        </w:rPr>
        <w:t xml:space="preserve">. </w:t>
      </w:r>
      <w:r w:rsidR="005A7EF0" w:rsidRPr="00CB76A2">
        <w:rPr>
          <w:rFonts w:ascii="Times New Roman" w:hAnsi="Times New Roman" w:cs="Times New Roman"/>
          <w:color w:val="000000" w:themeColor="text1"/>
        </w:rPr>
        <w:t>Dodatkowo, informacja o </w:t>
      </w:r>
      <w:r w:rsidRPr="00CB76A2">
        <w:rPr>
          <w:rFonts w:ascii="Times New Roman" w:hAnsi="Times New Roman" w:cs="Times New Roman"/>
          <w:color w:val="000000" w:themeColor="text1"/>
        </w:rPr>
        <w:t>kształtowaniu się wspomnianych miar przedkładana jest każdorazowo na posiedzeniach Zarządu Banku</w:t>
      </w:r>
      <w:r w:rsidR="00B3776B" w:rsidRPr="00CB76A2">
        <w:rPr>
          <w:rFonts w:ascii="Times New Roman" w:hAnsi="Times New Roman" w:cs="Times New Roman"/>
          <w:color w:val="000000" w:themeColor="text1"/>
        </w:rPr>
        <w:t xml:space="preserve"> i na posiedzeniach Rady</w:t>
      </w:r>
      <w:r w:rsidR="0005567F" w:rsidRPr="00CB76A2">
        <w:rPr>
          <w:rFonts w:ascii="Times New Roman" w:hAnsi="Times New Roman" w:cs="Times New Roman"/>
          <w:color w:val="000000" w:themeColor="text1"/>
        </w:rPr>
        <w:t xml:space="preserve"> Nadzorczej Banku. </w:t>
      </w:r>
    </w:p>
    <w:p w14:paraId="0EC8D7E4" w14:textId="77777777" w:rsidR="002C50F6" w:rsidRPr="00CB76A2" w:rsidRDefault="00E81BF6" w:rsidP="00942B14">
      <w:pPr>
        <w:spacing w:after="0" w:line="276" w:lineRule="auto"/>
        <w:ind w:left="-17" w:right="6" w:firstLine="720"/>
        <w:rPr>
          <w:rFonts w:ascii="Times New Roman" w:hAnsi="Times New Roman" w:cs="Times New Roman"/>
          <w:color w:val="000000" w:themeColor="text1"/>
        </w:rPr>
      </w:pPr>
      <w:r w:rsidRPr="00CB76A2">
        <w:rPr>
          <w:rFonts w:ascii="Times New Roman" w:hAnsi="Times New Roman" w:cs="Times New Roman"/>
          <w:color w:val="000000" w:themeColor="text1"/>
        </w:rPr>
        <w:t xml:space="preserve"> W celu </w:t>
      </w:r>
      <w:r w:rsidR="00AC582E" w:rsidRPr="00CB76A2">
        <w:rPr>
          <w:rFonts w:ascii="Times New Roman" w:hAnsi="Times New Roman" w:cs="Times New Roman"/>
          <w:color w:val="000000" w:themeColor="text1"/>
        </w:rPr>
        <w:t xml:space="preserve">zapewnienia </w:t>
      </w:r>
      <w:r w:rsidRPr="00CB76A2">
        <w:rPr>
          <w:rFonts w:ascii="Times New Roman" w:hAnsi="Times New Roman" w:cs="Times New Roman"/>
          <w:color w:val="000000" w:themeColor="text1"/>
        </w:rPr>
        <w:t>pełnej oceny strukturalnej posiadanych aktywów i pasywów,</w:t>
      </w:r>
      <w:r w:rsidR="00491A3A" w:rsidRPr="00CB76A2">
        <w:rPr>
          <w:rFonts w:ascii="Times New Roman" w:hAnsi="Times New Roman" w:cs="Times New Roman"/>
          <w:color w:val="000000" w:themeColor="text1"/>
        </w:rPr>
        <w:t xml:space="preserve"> </w:t>
      </w:r>
      <w:r w:rsidRPr="00CB76A2">
        <w:rPr>
          <w:rFonts w:ascii="Times New Roman" w:hAnsi="Times New Roman" w:cs="Times New Roman"/>
          <w:color w:val="000000" w:themeColor="text1"/>
        </w:rPr>
        <w:t>dokonuje się analizy rozkładu ich zapadalności/wymagalności w poszcz</w:t>
      </w:r>
      <w:r w:rsidR="005A7EF0" w:rsidRPr="00CB76A2">
        <w:rPr>
          <w:rFonts w:ascii="Times New Roman" w:hAnsi="Times New Roman" w:cs="Times New Roman"/>
          <w:color w:val="000000" w:themeColor="text1"/>
        </w:rPr>
        <w:t xml:space="preserve">ególnych przedziałach czasowych, </w:t>
      </w:r>
      <w:r w:rsidRPr="00CB76A2">
        <w:rPr>
          <w:rFonts w:ascii="Times New Roman" w:hAnsi="Times New Roman" w:cs="Times New Roman"/>
          <w:color w:val="000000" w:themeColor="text1"/>
        </w:rPr>
        <w:t>obliczając wskaźniki tzw. luki płynności. Bank stosuje schematy urealniania terminów zapadalności wybranych, kluczowych z punktu widzenia płynności, pozycji aktywów i pasywów, aby poprawnie prognozować zachowanie się struktury bi</w:t>
      </w:r>
      <w:r w:rsidR="005A7EF0" w:rsidRPr="00CB76A2">
        <w:rPr>
          <w:rFonts w:ascii="Times New Roman" w:hAnsi="Times New Roman" w:cs="Times New Roman"/>
          <w:color w:val="000000" w:themeColor="text1"/>
        </w:rPr>
        <w:t>lansu oraz wpływów i wypływów w </w:t>
      </w:r>
      <w:r w:rsidRPr="00CB76A2">
        <w:rPr>
          <w:rFonts w:ascii="Times New Roman" w:hAnsi="Times New Roman" w:cs="Times New Roman"/>
          <w:color w:val="000000" w:themeColor="text1"/>
        </w:rPr>
        <w:t xml:space="preserve">czasie. Schematy urealniania wynikają ze specyfiki instrumentów finansowych </w:t>
      </w:r>
      <w:r w:rsidR="00351034" w:rsidRPr="00CB76A2">
        <w:rPr>
          <w:rFonts w:ascii="Times New Roman" w:hAnsi="Times New Roman" w:cs="Times New Roman"/>
          <w:color w:val="000000" w:themeColor="text1"/>
        </w:rPr>
        <w:t>lub</w:t>
      </w:r>
      <w:r w:rsidRPr="00CB76A2">
        <w:rPr>
          <w:rFonts w:ascii="Times New Roman" w:hAnsi="Times New Roman" w:cs="Times New Roman"/>
          <w:color w:val="000000" w:themeColor="text1"/>
        </w:rPr>
        <w:t xml:space="preserve"> z</w:t>
      </w:r>
      <w:r w:rsidR="00351034" w:rsidRPr="00CB76A2">
        <w:rPr>
          <w:rFonts w:ascii="Times New Roman" w:hAnsi="Times New Roman" w:cs="Times New Roman"/>
          <w:color w:val="000000" w:themeColor="text1"/>
        </w:rPr>
        <w:t> </w:t>
      </w:r>
      <w:r w:rsidRPr="00CB76A2">
        <w:rPr>
          <w:rFonts w:ascii="Times New Roman" w:hAnsi="Times New Roman" w:cs="Times New Roman"/>
          <w:color w:val="000000" w:themeColor="text1"/>
        </w:rPr>
        <w:t xml:space="preserve">zaobserwowanych historycznie </w:t>
      </w:r>
      <w:proofErr w:type="spellStart"/>
      <w:r w:rsidRPr="00CB76A2">
        <w:rPr>
          <w:rFonts w:ascii="Times New Roman" w:hAnsi="Times New Roman" w:cs="Times New Roman"/>
          <w:color w:val="000000" w:themeColor="text1"/>
        </w:rPr>
        <w:t>zachowań</w:t>
      </w:r>
      <w:proofErr w:type="spellEnd"/>
      <w:r w:rsidRPr="00CB76A2">
        <w:rPr>
          <w:rFonts w:ascii="Times New Roman" w:hAnsi="Times New Roman" w:cs="Times New Roman"/>
          <w:color w:val="000000" w:themeColor="text1"/>
        </w:rPr>
        <w:t>, takich jak przedpłaty kredytów czy utrzymywanie się osadu depozytowego. Na podstawie urealnionych wartości Bank oblicza wskaźniki skumulowanej luki płynności. Wskaźnikami luki są stosunki w poszczególnych przedziałach czasowych skumulowanych wartości aktywów do pasywów. Przyjmuje się,</w:t>
      </w:r>
      <w:r w:rsidR="00351034" w:rsidRPr="00CB76A2">
        <w:rPr>
          <w:rFonts w:ascii="Times New Roman" w:hAnsi="Times New Roman" w:cs="Times New Roman"/>
          <w:color w:val="000000" w:themeColor="text1"/>
        </w:rPr>
        <w:t xml:space="preserve"> że wskaźniki luki płynności, w </w:t>
      </w:r>
      <w:r w:rsidRPr="00CB76A2">
        <w:rPr>
          <w:rFonts w:ascii="Times New Roman" w:hAnsi="Times New Roman" w:cs="Times New Roman"/>
          <w:color w:val="000000" w:themeColor="text1"/>
        </w:rPr>
        <w:t>przedziałach czasowych do 1 roku, powinny przyjmować wa</w:t>
      </w:r>
      <w:r w:rsidR="00351034" w:rsidRPr="00CB76A2">
        <w:rPr>
          <w:rFonts w:ascii="Times New Roman" w:hAnsi="Times New Roman" w:cs="Times New Roman"/>
          <w:color w:val="000000" w:themeColor="text1"/>
        </w:rPr>
        <w:t>rtości istotnie wyższe od 1, co </w:t>
      </w:r>
      <w:r w:rsidRPr="00CB76A2">
        <w:rPr>
          <w:rFonts w:ascii="Times New Roman" w:hAnsi="Times New Roman" w:cs="Times New Roman"/>
          <w:color w:val="000000" w:themeColor="text1"/>
        </w:rPr>
        <w:t>wskazuje na nadwyżkę posiadanych aktywów dostępnych do pokrycia bieżących zobowiązań. Analiza urealnionych terminów zapadalności aktywów i wy</w:t>
      </w:r>
      <w:r w:rsidR="00351034" w:rsidRPr="00CB76A2">
        <w:rPr>
          <w:rFonts w:ascii="Times New Roman" w:hAnsi="Times New Roman" w:cs="Times New Roman"/>
          <w:color w:val="000000" w:themeColor="text1"/>
        </w:rPr>
        <w:t>magalności pasywów wykazała, że </w:t>
      </w:r>
      <w:r w:rsidRPr="00CB76A2">
        <w:rPr>
          <w:rFonts w:ascii="Times New Roman" w:hAnsi="Times New Roman" w:cs="Times New Roman"/>
          <w:color w:val="000000" w:themeColor="text1"/>
        </w:rPr>
        <w:t>limity dotyczące wskaźników luki we wszystkich okresach zostały dotrzymane.</w:t>
      </w:r>
    </w:p>
    <w:p w14:paraId="4A0F0BA9" w14:textId="77777777" w:rsidR="006E0285" w:rsidRPr="00F60242" w:rsidRDefault="006E0285">
      <w:pPr>
        <w:spacing w:after="23" w:line="270" w:lineRule="auto"/>
        <w:ind w:left="-5" w:right="0"/>
        <w:rPr>
          <w:rFonts w:ascii="Times New Roman" w:hAnsi="Times New Roman" w:cs="Times New Roman"/>
          <w:color w:val="auto"/>
          <w:sz w:val="20"/>
        </w:rPr>
      </w:pPr>
    </w:p>
    <w:p w14:paraId="3E3F3753" w14:textId="7764505C" w:rsidR="00942B14" w:rsidRPr="00F60242" w:rsidRDefault="00E81BF6" w:rsidP="00942B14">
      <w:pPr>
        <w:spacing w:after="23" w:line="270" w:lineRule="auto"/>
        <w:ind w:left="-5" w:right="0"/>
        <w:rPr>
          <w:rFonts w:ascii="Times New Roman" w:hAnsi="Times New Roman" w:cs="Times New Roman"/>
          <w:i/>
          <w:color w:val="auto"/>
          <w:sz w:val="20"/>
        </w:rPr>
      </w:pPr>
      <w:r w:rsidRPr="00F60242">
        <w:rPr>
          <w:rFonts w:ascii="Times New Roman" w:hAnsi="Times New Roman" w:cs="Times New Roman"/>
          <w:i/>
          <w:color w:val="auto"/>
          <w:sz w:val="20"/>
        </w:rPr>
        <w:t>Tabela - Urealniona luka płynności na 31.12.20</w:t>
      </w:r>
      <w:r w:rsidR="00F60242" w:rsidRPr="00F60242">
        <w:rPr>
          <w:rFonts w:ascii="Times New Roman" w:hAnsi="Times New Roman" w:cs="Times New Roman"/>
          <w:i/>
          <w:color w:val="auto"/>
          <w:sz w:val="20"/>
        </w:rPr>
        <w:t>20</w:t>
      </w:r>
      <w:r w:rsidRPr="00F60242">
        <w:rPr>
          <w:rFonts w:ascii="Times New Roman" w:hAnsi="Times New Roman" w:cs="Times New Roman"/>
          <w:i/>
          <w:color w:val="auto"/>
          <w:sz w:val="20"/>
        </w:rPr>
        <w:t xml:space="preserve"> r.</w:t>
      </w:r>
      <w:r w:rsidR="00942B14" w:rsidRPr="00F60242">
        <w:rPr>
          <w:rFonts w:ascii="Times New Roman" w:hAnsi="Times New Roman" w:cs="Times New Roman"/>
          <w:i/>
          <w:color w:val="auto"/>
          <w:sz w:val="20"/>
        </w:rPr>
        <w:t xml:space="preserve"> </w:t>
      </w:r>
      <w:r w:rsidR="00934A31" w:rsidRPr="00F60242">
        <w:rPr>
          <w:rFonts w:ascii="Times New Roman" w:hAnsi="Times New Roman" w:cs="Times New Roman"/>
          <w:i/>
          <w:color w:val="auto"/>
          <w:sz w:val="20"/>
        </w:rPr>
        <w:t xml:space="preserve">(w tys. zł) </w:t>
      </w:r>
      <w:r w:rsidR="00942B14" w:rsidRPr="00F60242">
        <w:rPr>
          <w:rFonts w:ascii="Times New Roman" w:hAnsi="Times New Roman" w:cs="Times New Roman"/>
          <w:i/>
          <w:color w:val="auto"/>
          <w:sz w:val="20"/>
        </w:rPr>
        <w:t>(źródło:  raport analiza ryzyka płynności</w:t>
      </w:r>
    </w:p>
    <w:p w14:paraId="1A3A3855" w14:textId="6702097A" w:rsidR="002C50F6" w:rsidRPr="00F60242" w:rsidRDefault="00942B14" w:rsidP="00942B14">
      <w:pPr>
        <w:spacing w:after="23" w:line="270" w:lineRule="auto"/>
        <w:ind w:left="-5" w:right="0"/>
        <w:rPr>
          <w:rFonts w:ascii="Times New Roman" w:hAnsi="Times New Roman" w:cs="Times New Roman"/>
          <w:i/>
          <w:color w:val="auto"/>
          <w:sz w:val="20"/>
        </w:rPr>
      </w:pPr>
      <w:r w:rsidRPr="00F60242">
        <w:rPr>
          <w:rFonts w:ascii="Times New Roman" w:hAnsi="Times New Roman" w:cs="Times New Roman"/>
          <w:i/>
          <w:color w:val="auto"/>
          <w:sz w:val="20"/>
        </w:rPr>
        <w:t>Warmińsko – Mazurskiego Banku Spółdzielc</w:t>
      </w:r>
      <w:r w:rsidR="00C74012" w:rsidRPr="00F60242">
        <w:rPr>
          <w:rFonts w:ascii="Times New Roman" w:hAnsi="Times New Roman" w:cs="Times New Roman"/>
          <w:i/>
          <w:color w:val="auto"/>
          <w:sz w:val="20"/>
        </w:rPr>
        <w:t>zego wg stanu na 31 grudnia 20</w:t>
      </w:r>
      <w:r w:rsidR="00F60242" w:rsidRPr="00F60242">
        <w:rPr>
          <w:rFonts w:ascii="Times New Roman" w:hAnsi="Times New Roman" w:cs="Times New Roman"/>
          <w:i/>
          <w:color w:val="auto"/>
          <w:sz w:val="20"/>
        </w:rPr>
        <w:t>20</w:t>
      </w:r>
      <w:r w:rsidRPr="00F60242">
        <w:rPr>
          <w:rFonts w:ascii="Times New Roman" w:hAnsi="Times New Roman" w:cs="Times New Roman"/>
          <w:i/>
          <w:color w:val="auto"/>
          <w:sz w:val="20"/>
        </w:rPr>
        <w:t xml:space="preserve"> r.)</w:t>
      </w:r>
    </w:p>
    <w:tbl>
      <w:tblPr>
        <w:tblW w:w="7091" w:type="dxa"/>
        <w:tblCellMar>
          <w:left w:w="70" w:type="dxa"/>
          <w:right w:w="70" w:type="dxa"/>
        </w:tblCellMar>
        <w:tblLook w:val="04A0" w:firstRow="1" w:lastRow="0" w:firstColumn="1" w:lastColumn="0" w:noHBand="0" w:noVBand="1"/>
      </w:tblPr>
      <w:tblGrid>
        <w:gridCol w:w="530"/>
        <w:gridCol w:w="1791"/>
        <w:gridCol w:w="1141"/>
        <w:gridCol w:w="1141"/>
        <w:gridCol w:w="1141"/>
        <w:gridCol w:w="1347"/>
      </w:tblGrid>
      <w:tr w:rsidR="00F60242" w:rsidRPr="00F60242" w14:paraId="7835E404" w14:textId="77777777" w:rsidTr="00722EEA">
        <w:trPr>
          <w:trHeight w:val="25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FCBCD" w14:textId="77777777" w:rsidR="00722EEA" w:rsidRPr="00F60242" w:rsidRDefault="00722EEA" w:rsidP="00722EEA">
            <w:pPr>
              <w:spacing w:after="0" w:line="240" w:lineRule="auto"/>
              <w:ind w:left="0" w:right="0" w:firstLine="0"/>
              <w:jc w:val="center"/>
              <w:rPr>
                <w:rFonts w:ascii="Times New Roman" w:eastAsia="Times New Roman" w:hAnsi="Times New Roman" w:cs="Times New Roman"/>
                <w:color w:val="auto"/>
                <w:sz w:val="16"/>
                <w:szCs w:val="16"/>
              </w:rPr>
            </w:pPr>
            <w:r w:rsidRPr="00F60242">
              <w:rPr>
                <w:rFonts w:ascii="Times New Roman" w:eastAsia="Times New Roman" w:hAnsi="Times New Roman" w:cs="Times New Roman"/>
                <w:color w:val="auto"/>
                <w:sz w:val="16"/>
                <w:szCs w:val="16"/>
              </w:rPr>
              <w:t>L.p.</w:t>
            </w:r>
          </w:p>
        </w:tc>
        <w:tc>
          <w:tcPr>
            <w:tcW w:w="1791" w:type="dxa"/>
            <w:tcBorders>
              <w:top w:val="single" w:sz="4" w:space="0" w:color="auto"/>
              <w:left w:val="nil"/>
              <w:bottom w:val="single" w:sz="4" w:space="0" w:color="auto"/>
              <w:right w:val="single" w:sz="4" w:space="0" w:color="auto"/>
            </w:tcBorders>
            <w:shd w:val="clear" w:color="auto" w:fill="auto"/>
            <w:noWrap/>
            <w:vAlign w:val="bottom"/>
            <w:hideMark/>
          </w:tcPr>
          <w:p w14:paraId="158A56C9" w14:textId="77777777" w:rsidR="00722EEA" w:rsidRPr="00F60242" w:rsidRDefault="00722EEA" w:rsidP="00722EEA">
            <w:pPr>
              <w:spacing w:after="0" w:line="240" w:lineRule="auto"/>
              <w:ind w:left="0" w:right="0" w:firstLine="0"/>
              <w:jc w:val="left"/>
              <w:rPr>
                <w:rFonts w:ascii="Times New Roman" w:eastAsia="Times New Roman" w:hAnsi="Times New Roman" w:cs="Times New Roman"/>
                <w:color w:val="auto"/>
                <w:sz w:val="16"/>
                <w:szCs w:val="16"/>
              </w:rPr>
            </w:pPr>
            <w:r w:rsidRPr="00F60242">
              <w:rPr>
                <w:rFonts w:ascii="Times New Roman" w:eastAsia="Times New Roman" w:hAnsi="Times New Roman" w:cs="Times New Roman"/>
                <w:color w:val="auto"/>
                <w:sz w:val="16"/>
                <w:szCs w:val="16"/>
              </w:rPr>
              <w:t>Wyszczególnienie</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7730124A" w14:textId="77777777" w:rsidR="00722EEA" w:rsidRPr="00F60242" w:rsidRDefault="00722EEA" w:rsidP="00722EEA">
            <w:pPr>
              <w:spacing w:after="0" w:line="240" w:lineRule="auto"/>
              <w:ind w:left="0" w:right="0" w:firstLine="0"/>
              <w:jc w:val="left"/>
              <w:rPr>
                <w:rFonts w:ascii="Times New Roman" w:eastAsia="Times New Roman" w:hAnsi="Times New Roman" w:cs="Times New Roman"/>
                <w:color w:val="auto"/>
                <w:sz w:val="16"/>
                <w:szCs w:val="16"/>
              </w:rPr>
            </w:pPr>
            <w:r w:rsidRPr="00F60242">
              <w:rPr>
                <w:rFonts w:ascii="Times New Roman" w:eastAsia="Times New Roman" w:hAnsi="Times New Roman" w:cs="Times New Roman"/>
                <w:color w:val="auto"/>
                <w:sz w:val="16"/>
                <w:szCs w:val="16"/>
              </w:rPr>
              <w:t>&lt;=1 m-c</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0A3AA6B5" w14:textId="77777777" w:rsidR="00722EEA" w:rsidRPr="00F60242" w:rsidRDefault="00722EEA" w:rsidP="00722EEA">
            <w:pPr>
              <w:spacing w:after="0" w:line="240" w:lineRule="auto"/>
              <w:ind w:left="0" w:right="0" w:firstLine="0"/>
              <w:jc w:val="left"/>
              <w:rPr>
                <w:rFonts w:ascii="Times New Roman" w:eastAsia="Times New Roman" w:hAnsi="Times New Roman" w:cs="Times New Roman"/>
                <w:color w:val="auto"/>
                <w:sz w:val="16"/>
                <w:szCs w:val="16"/>
              </w:rPr>
            </w:pPr>
            <w:r w:rsidRPr="00F60242">
              <w:rPr>
                <w:rFonts w:ascii="Times New Roman" w:eastAsia="Times New Roman" w:hAnsi="Times New Roman" w:cs="Times New Roman"/>
                <w:color w:val="auto"/>
                <w:sz w:val="16"/>
                <w:szCs w:val="16"/>
              </w:rPr>
              <w:t>1 -3 m-</w:t>
            </w:r>
            <w:proofErr w:type="spellStart"/>
            <w:r w:rsidRPr="00F60242">
              <w:rPr>
                <w:rFonts w:ascii="Times New Roman" w:eastAsia="Times New Roman" w:hAnsi="Times New Roman" w:cs="Times New Roman"/>
                <w:color w:val="auto"/>
                <w:sz w:val="16"/>
                <w:szCs w:val="16"/>
              </w:rPr>
              <w:t>cy</w:t>
            </w:r>
            <w:proofErr w:type="spellEnd"/>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071A311E" w14:textId="77777777" w:rsidR="00722EEA" w:rsidRPr="00F60242" w:rsidRDefault="00722EEA" w:rsidP="00722EEA">
            <w:pPr>
              <w:spacing w:after="0" w:line="240" w:lineRule="auto"/>
              <w:ind w:left="0" w:right="0" w:firstLine="0"/>
              <w:jc w:val="left"/>
              <w:rPr>
                <w:rFonts w:ascii="Times New Roman" w:eastAsia="Times New Roman" w:hAnsi="Times New Roman" w:cs="Times New Roman"/>
                <w:color w:val="auto"/>
                <w:sz w:val="16"/>
                <w:szCs w:val="16"/>
              </w:rPr>
            </w:pPr>
            <w:r w:rsidRPr="00F60242">
              <w:rPr>
                <w:rFonts w:ascii="Times New Roman" w:eastAsia="Times New Roman" w:hAnsi="Times New Roman" w:cs="Times New Roman"/>
                <w:color w:val="auto"/>
                <w:sz w:val="16"/>
                <w:szCs w:val="16"/>
              </w:rPr>
              <w:t>3 - 6 m-</w:t>
            </w:r>
            <w:proofErr w:type="spellStart"/>
            <w:r w:rsidRPr="00F60242">
              <w:rPr>
                <w:rFonts w:ascii="Times New Roman" w:eastAsia="Times New Roman" w:hAnsi="Times New Roman" w:cs="Times New Roman"/>
                <w:color w:val="auto"/>
                <w:sz w:val="16"/>
                <w:szCs w:val="16"/>
              </w:rPr>
              <w:t>cy</w:t>
            </w:r>
            <w:proofErr w:type="spellEnd"/>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12DB0AB1" w14:textId="77777777" w:rsidR="00722EEA" w:rsidRPr="00F60242" w:rsidRDefault="00722EEA" w:rsidP="00722EEA">
            <w:pPr>
              <w:spacing w:after="0" w:line="240" w:lineRule="auto"/>
              <w:ind w:left="0" w:right="0" w:firstLine="0"/>
              <w:jc w:val="left"/>
              <w:rPr>
                <w:rFonts w:ascii="Times New Roman" w:eastAsia="Times New Roman" w:hAnsi="Times New Roman" w:cs="Times New Roman"/>
                <w:color w:val="auto"/>
                <w:sz w:val="16"/>
                <w:szCs w:val="16"/>
              </w:rPr>
            </w:pPr>
            <w:r w:rsidRPr="00F60242">
              <w:rPr>
                <w:rFonts w:ascii="Times New Roman" w:eastAsia="Times New Roman" w:hAnsi="Times New Roman" w:cs="Times New Roman"/>
                <w:color w:val="auto"/>
                <w:sz w:val="16"/>
                <w:szCs w:val="16"/>
              </w:rPr>
              <w:t>6 m-</w:t>
            </w:r>
            <w:proofErr w:type="spellStart"/>
            <w:r w:rsidRPr="00F60242">
              <w:rPr>
                <w:rFonts w:ascii="Times New Roman" w:eastAsia="Times New Roman" w:hAnsi="Times New Roman" w:cs="Times New Roman"/>
                <w:color w:val="auto"/>
                <w:sz w:val="16"/>
                <w:szCs w:val="16"/>
              </w:rPr>
              <w:t>cy</w:t>
            </w:r>
            <w:proofErr w:type="spellEnd"/>
            <w:r w:rsidRPr="00F60242">
              <w:rPr>
                <w:rFonts w:ascii="Times New Roman" w:eastAsia="Times New Roman" w:hAnsi="Times New Roman" w:cs="Times New Roman"/>
                <w:color w:val="auto"/>
                <w:sz w:val="16"/>
                <w:szCs w:val="16"/>
              </w:rPr>
              <w:t xml:space="preserve"> - 1 rok</w:t>
            </w:r>
          </w:p>
        </w:tc>
      </w:tr>
      <w:tr w:rsidR="00F60242" w:rsidRPr="00F60242" w14:paraId="5869EB45" w14:textId="77777777" w:rsidTr="00F42F77">
        <w:trPr>
          <w:trHeight w:val="25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467964BD" w14:textId="77777777" w:rsidR="00171446" w:rsidRPr="00F60242" w:rsidRDefault="00171446" w:rsidP="00171446">
            <w:pPr>
              <w:spacing w:after="0" w:line="240" w:lineRule="auto"/>
              <w:ind w:left="0" w:right="0" w:firstLine="0"/>
              <w:jc w:val="center"/>
              <w:rPr>
                <w:rFonts w:ascii="Times New Roman" w:eastAsia="Times New Roman" w:hAnsi="Times New Roman" w:cs="Times New Roman"/>
                <w:color w:val="auto"/>
                <w:sz w:val="16"/>
                <w:szCs w:val="16"/>
              </w:rPr>
            </w:pPr>
            <w:r w:rsidRPr="00F60242">
              <w:rPr>
                <w:rFonts w:ascii="Times New Roman" w:eastAsia="Times New Roman" w:hAnsi="Times New Roman" w:cs="Times New Roman"/>
                <w:color w:val="auto"/>
                <w:sz w:val="16"/>
                <w:szCs w:val="16"/>
              </w:rPr>
              <w:t>1</w:t>
            </w:r>
          </w:p>
        </w:tc>
        <w:tc>
          <w:tcPr>
            <w:tcW w:w="1791" w:type="dxa"/>
            <w:tcBorders>
              <w:top w:val="nil"/>
              <w:left w:val="nil"/>
              <w:bottom w:val="single" w:sz="4" w:space="0" w:color="auto"/>
              <w:right w:val="single" w:sz="4" w:space="0" w:color="auto"/>
            </w:tcBorders>
            <w:shd w:val="clear" w:color="auto" w:fill="auto"/>
            <w:noWrap/>
            <w:vAlign w:val="bottom"/>
            <w:hideMark/>
          </w:tcPr>
          <w:p w14:paraId="3A1A8718" w14:textId="77777777" w:rsidR="00171446" w:rsidRPr="00F60242" w:rsidRDefault="00171446" w:rsidP="00171446">
            <w:pPr>
              <w:spacing w:after="0" w:line="240" w:lineRule="auto"/>
              <w:ind w:left="0" w:right="0" w:firstLine="0"/>
              <w:jc w:val="left"/>
              <w:rPr>
                <w:rFonts w:ascii="Times New Roman" w:eastAsia="Times New Roman" w:hAnsi="Times New Roman" w:cs="Times New Roman"/>
                <w:color w:val="auto"/>
                <w:sz w:val="16"/>
                <w:szCs w:val="16"/>
              </w:rPr>
            </w:pPr>
            <w:r w:rsidRPr="00F60242">
              <w:rPr>
                <w:rFonts w:ascii="Times New Roman" w:eastAsia="Times New Roman" w:hAnsi="Times New Roman" w:cs="Times New Roman"/>
                <w:color w:val="auto"/>
                <w:sz w:val="16"/>
                <w:szCs w:val="16"/>
              </w:rPr>
              <w:t>Luka</w:t>
            </w:r>
          </w:p>
        </w:tc>
        <w:tc>
          <w:tcPr>
            <w:tcW w:w="1141" w:type="dxa"/>
            <w:tcBorders>
              <w:top w:val="nil"/>
              <w:left w:val="nil"/>
              <w:bottom w:val="single" w:sz="4" w:space="0" w:color="auto"/>
              <w:right w:val="single" w:sz="4" w:space="0" w:color="auto"/>
            </w:tcBorders>
            <w:shd w:val="clear" w:color="auto" w:fill="auto"/>
            <w:noWrap/>
            <w:hideMark/>
          </w:tcPr>
          <w:p w14:paraId="26BD74CB" w14:textId="32D1FC96" w:rsidR="00171446" w:rsidRPr="00F60242" w:rsidRDefault="00F60242" w:rsidP="00171446">
            <w:pPr>
              <w:spacing w:after="0" w:line="240" w:lineRule="auto"/>
              <w:ind w:left="0" w:right="0" w:firstLine="0"/>
              <w:jc w:val="right"/>
              <w:rPr>
                <w:rFonts w:ascii="Times New Roman" w:eastAsia="Times New Roman" w:hAnsi="Times New Roman" w:cs="Times New Roman"/>
                <w:color w:val="auto"/>
                <w:sz w:val="16"/>
                <w:szCs w:val="16"/>
              </w:rPr>
            </w:pPr>
            <w:r w:rsidRPr="00F60242">
              <w:rPr>
                <w:rFonts w:ascii="Times New Roman" w:hAnsi="Times New Roman" w:cs="Times New Roman"/>
                <w:color w:val="auto"/>
                <w:sz w:val="16"/>
                <w:szCs w:val="16"/>
              </w:rPr>
              <w:t>81 635</w:t>
            </w:r>
          </w:p>
        </w:tc>
        <w:tc>
          <w:tcPr>
            <w:tcW w:w="1141" w:type="dxa"/>
            <w:tcBorders>
              <w:top w:val="nil"/>
              <w:left w:val="nil"/>
              <w:bottom w:val="single" w:sz="4" w:space="0" w:color="auto"/>
              <w:right w:val="single" w:sz="4" w:space="0" w:color="auto"/>
            </w:tcBorders>
            <w:shd w:val="clear" w:color="auto" w:fill="auto"/>
            <w:noWrap/>
            <w:hideMark/>
          </w:tcPr>
          <w:p w14:paraId="4D3657C0" w14:textId="31D985F3" w:rsidR="00171446" w:rsidRPr="00F60242" w:rsidRDefault="00F60242" w:rsidP="00171446">
            <w:pPr>
              <w:spacing w:after="0" w:line="240" w:lineRule="auto"/>
              <w:ind w:left="0" w:right="0" w:firstLine="0"/>
              <w:jc w:val="right"/>
              <w:rPr>
                <w:rFonts w:ascii="Times New Roman" w:eastAsia="Times New Roman" w:hAnsi="Times New Roman" w:cs="Times New Roman"/>
                <w:color w:val="auto"/>
                <w:sz w:val="16"/>
                <w:szCs w:val="16"/>
              </w:rPr>
            </w:pPr>
            <w:r w:rsidRPr="00F60242">
              <w:rPr>
                <w:rFonts w:ascii="Times New Roman" w:hAnsi="Times New Roman" w:cs="Times New Roman"/>
                <w:color w:val="auto"/>
                <w:sz w:val="16"/>
                <w:szCs w:val="16"/>
              </w:rPr>
              <w:t>8 098</w:t>
            </w:r>
          </w:p>
        </w:tc>
        <w:tc>
          <w:tcPr>
            <w:tcW w:w="1141" w:type="dxa"/>
            <w:tcBorders>
              <w:top w:val="nil"/>
              <w:left w:val="nil"/>
              <w:bottom w:val="single" w:sz="4" w:space="0" w:color="auto"/>
              <w:right w:val="single" w:sz="4" w:space="0" w:color="auto"/>
            </w:tcBorders>
            <w:shd w:val="clear" w:color="auto" w:fill="auto"/>
            <w:noWrap/>
            <w:hideMark/>
          </w:tcPr>
          <w:p w14:paraId="38D14FF2" w14:textId="3ACC194C" w:rsidR="00171446" w:rsidRPr="00F60242" w:rsidRDefault="00F60242" w:rsidP="00171446">
            <w:pPr>
              <w:spacing w:after="0" w:line="240" w:lineRule="auto"/>
              <w:ind w:left="0" w:right="0" w:firstLine="0"/>
              <w:jc w:val="right"/>
              <w:rPr>
                <w:rFonts w:ascii="Times New Roman" w:eastAsia="Times New Roman" w:hAnsi="Times New Roman" w:cs="Times New Roman"/>
                <w:color w:val="auto"/>
                <w:sz w:val="16"/>
                <w:szCs w:val="16"/>
              </w:rPr>
            </w:pPr>
            <w:r w:rsidRPr="00F60242">
              <w:rPr>
                <w:rFonts w:ascii="Times New Roman" w:hAnsi="Times New Roman" w:cs="Times New Roman"/>
                <w:color w:val="auto"/>
                <w:sz w:val="16"/>
                <w:szCs w:val="16"/>
              </w:rPr>
              <w:t>8 820</w:t>
            </w:r>
          </w:p>
        </w:tc>
        <w:tc>
          <w:tcPr>
            <w:tcW w:w="1347" w:type="dxa"/>
            <w:tcBorders>
              <w:top w:val="nil"/>
              <w:left w:val="nil"/>
              <w:bottom w:val="single" w:sz="4" w:space="0" w:color="auto"/>
              <w:right w:val="single" w:sz="4" w:space="0" w:color="auto"/>
            </w:tcBorders>
            <w:shd w:val="clear" w:color="auto" w:fill="auto"/>
            <w:noWrap/>
            <w:hideMark/>
          </w:tcPr>
          <w:p w14:paraId="50F4BFAB" w14:textId="248DDAD6" w:rsidR="00171446" w:rsidRPr="00F60242" w:rsidRDefault="00506B4B" w:rsidP="00171446">
            <w:pPr>
              <w:spacing w:after="0" w:line="240" w:lineRule="auto"/>
              <w:ind w:left="0" w:right="0" w:firstLine="0"/>
              <w:jc w:val="right"/>
              <w:rPr>
                <w:rFonts w:ascii="Times New Roman" w:eastAsia="Times New Roman" w:hAnsi="Times New Roman" w:cs="Times New Roman"/>
                <w:color w:val="auto"/>
                <w:sz w:val="16"/>
                <w:szCs w:val="16"/>
              </w:rPr>
            </w:pPr>
            <w:r>
              <w:rPr>
                <w:rFonts w:ascii="Times New Roman" w:hAnsi="Times New Roman" w:cs="Times New Roman"/>
                <w:color w:val="auto"/>
                <w:sz w:val="16"/>
                <w:szCs w:val="16"/>
              </w:rPr>
              <w:t>39</w:t>
            </w:r>
            <w:r w:rsidR="00F60242" w:rsidRPr="00F60242">
              <w:rPr>
                <w:rFonts w:ascii="Times New Roman" w:hAnsi="Times New Roman" w:cs="Times New Roman"/>
                <w:color w:val="auto"/>
                <w:sz w:val="16"/>
                <w:szCs w:val="16"/>
              </w:rPr>
              <w:t xml:space="preserve"> 087</w:t>
            </w:r>
          </w:p>
        </w:tc>
      </w:tr>
      <w:tr w:rsidR="00171446" w:rsidRPr="00F60242" w14:paraId="278152E7" w14:textId="77777777" w:rsidTr="00F42F77">
        <w:trPr>
          <w:trHeight w:val="25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14:paraId="7273A256" w14:textId="77777777" w:rsidR="00171446" w:rsidRPr="00F60242" w:rsidRDefault="00171446" w:rsidP="00171446">
            <w:pPr>
              <w:spacing w:after="0" w:line="240" w:lineRule="auto"/>
              <w:ind w:left="0" w:right="0" w:firstLine="0"/>
              <w:jc w:val="center"/>
              <w:rPr>
                <w:rFonts w:ascii="Times New Roman" w:eastAsia="Times New Roman" w:hAnsi="Times New Roman" w:cs="Times New Roman"/>
                <w:color w:val="auto"/>
                <w:sz w:val="16"/>
                <w:szCs w:val="16"/>
              </w:rPr>
            </w:pPr>
            <w:r w:rsidRPr="00F60242">
              <w:rPr>
                <w:rFonts w:ascii="Times New Roman" w:eastAsia="Times New Roman" w:hAnsi="Times New Roman" w:cs="Times New Roman"/>
                <w:color w:val="auto"/>
                <w:sz w:val="16"/>
                <w:szCs w:val="16"/>
              </w:rPr>
              <w:t>2</w:t>
            </w:r>
          </w:p>
        </w:tc>
        <w:tc>
          <w:tcPr>
            <w:tcW w:w="1791" w:type="dxa"/>
            <w:tcBorders>
              <w:top w:val="nil"/>
              <w:left w:val="nil"/>
              <w:bottom w:val="single" w:sz="4" w:space="0" w:color="auto"/>
              <w:right w:val="single" w:sz="4" w:space="0" w:color="auto"/>
            </w:tcBorders>
            <w:shd w:val="clear" w:color="auto" w:fill="auto"/>
            <w:noWrap/>
            <w:vAlign w:val="bottom"/>
            <w:hideMark/>
          </w:tcPr>
          <w:p w14:paraId="5927A923" w14:textId="77777777" w:rsidR="00171446" w:rsidRPr="00F60242" w:rsidRDefault="00171446" w:rsidP="00171446">
            <w:pPr>
              <w:spacing w:after="0" w:line="240" w:lineRule="auto"/>
              <w:ind w:left="0" w:right="0" w:firstLine="0"/>
              <w:jc w:val="left"/>
              <w:rPr>
                <w:rFonts w:ascii="Times New Roman" w:eastAsia="Times New Roman" w:hAnsi="Times New Roman" w:cs="Times New Roman"/>
                <w:color w:val="auto"/>
                <w:sz w:val="16"/>
                <w:szCs w:val="16"/>
              </w:rPr>
            </w:pPr>
            <w:r w:rsidRPr="00F60242">
              <w:rPr>
                <w:rFonts w:ascii="Times New Roman" w:eastAsia="Times New Roman" w:hAnsi="Times New Roman" w:cs="Times New Roman"/>
                <w:color w:val="auto"/>
                <w:sz w:val="16"/>
                <w:szCs w:val="16"/>
              </w:rPr>
              <w:t>Luka skumulowana</w:t>
            </w:r>
          </w:p>
        </w:tc>
        <w:tc>
          <w:tcPr>
            <w:tcW w:w="1141" w:type="dxa"/>
            <w:tcBorders>
              <w:top w:val="nil"/>
              <w:left w:val="nil"/>
              <w:bottom w:val="single" w:sz="4" w:space="0" w:color="auto"/>
              <w:right w:val="single" w:sz="4" w:space="0" w:color="auto"/>
            </w:tcBorders>
            <w:shd w:val="clear" w:color="auto" w:fill="auto"/>
            <w:noWrap/>
            <w:hideMark/>
          </w:tcPr>
          <w:p w14:paraId="61909322" w14:textId="4507C5A5" w:rsidR="00171446" w:rsidRPr="00F60242" w:rsidRDefault="00F60242" w:rsidP="00171446">
            <w:pPr>
              <w:spacing w:after="0" w:line="240" w:lineRule="auto"/>
              <w:ind w:left="0" w:right="0" w:firstLine="0"/>
              <w:jc w:val="right"/>
              <w:rPr>
                <w:rFonts w:ascii="Times New Roman" w:eastAsia="Times New Roman" w:hAnsi="Times New Roman" w:cs="Times New Roman"/>
                <w:color w:val="auto"/>
                <w:sz w:val="16"/>
                <w:szCs w:val="16"/>
              </w:rPr>
            </w:pPr>
            <w:r w:rsidRPr="00F60242">
              <w:rPr>
                <w:rFonts w:ascii="Times New Roman" w:hAnsi="Times New Roman" w:cs="Times New Roman"/>
                <w:color w:val="auto"/>
                <w:sz w:val="16"/>
                <w:szCs w:val="16"/>
              </w:rPr>
              <w:t>81 635</w:t>
            </w:r>
          </w:p>
        </w:tc>
        <w:tc>
          <w:tcPr>
            <w:tcW w:w="1141" w:type="dxa"/>
            <w:tcBorders>
              <w:top w:val="nil"/>
              <w:left w:val="nil"/>
              <w:bottom w:val="single" w:sz="4" w:space="0" w:color="auto"/>
              <w:right w:val="single" w:sz="4" w:space="0" w:color="auto"/>
            </w:tcBorders>
            <w:shd w:val="clear" w:color="auto" w:fill="auto"/>
            <w:noWrap/>
            <w:hideMark/>
          </w:tcPr>
          <w:p w14:paraId="02695D04" w14:textId="3EF8B4E0" w:rsidR="00171446" w:rsidRPr="00F60242" w:rsidRDefault="00F60242" w:rsidP="00171446">
            <w:pPr>
              <w:spacing w:after="0" w:line="240" w:lineRule="auto"/>
              <w:ind w:left="0" w:right="0" w:firstLine="0"/>
              <w:jc w:val="right"/>
              <w:rPr>
                <w:rFonts w:ascii="Times New Roman" w:eastAsia="Times New Roman" w:hAnsi="Times New Roman" w:cs="Times New Roman"/>
                <w:color w:val="auto"/>
                <w:sz w:val="16"/>
                <w:szCs w:val="16"/>
              </w:rPr>
            </w:pPr>
            <w:r w:rsidRPr="00F60242">
              <w:rPr>
                <w:rFonts w:ascii="Times New Roman" w:hAnsi="Times New Roman" w:cs="Times New Roman"/>
                <w:color w:val="auto"/>
                <w:sz w:val="16"/>
                <w:szCs w:val="16"/>
              </w:rPr>
              <w:t>89 733</w:t>
            </w:r>
          </w:p>
        </w:tc>
        <w:tc>
          <w:tcPr>
            <w:tcW w:w="1141" w:type="dxa"/>
            <w:tcBorders>
              <w:top w:val="nil"/>
              <w:left w:val="nil"/>
              <w:bottom w:val="single" w:sz="4" w:space="0" w:color="auto"/>
              <w:right w:val="single" w:sz="4" w:space="0" w:color="auto"/>
            </w:tcBorders>
            <w:shd w:val="clear" w:color="auto" w:fill="auto"/>
            <w:noWrap/>
            <w:hideMark/>
          </w:tcPr>
          <w:p w14:paraId="1F2217E1" w14:textId="08B7F998" w:rsidR="00171446" w:rsidRPr="00F60242" w:rsidRDefault="00F60242" w:rsidP="00171446">
            <w:pPr>
              <w:spacing w:after="0" w:line="240" w:lineRule="auto"/>
              <w:ind w:left="0" w:right="0" w:firstLine="0"/>
              <w:jc w:val="right"/>
              <w:rPr>
                <w:rFonts w:ascii="Times New Roman" w:eastAsia="Times New Roman" w:hAnsi="Times New Roman" w:cs="Times New Roman"/>
                <w:color w:val="auto"/>
                <w:sz w:val="16"/>
                <w:szCs w:val="16"/>
              </w:rPr>
            </w:pPr>
            <w:r w:rsidRPr="00F60242">
              <w:rPr>
                <w:rFonts w:ascii="Times New Roman" w:hAnsi="Times New Roman" w:cs="Times New Roman"/>
                <w:color w:val="auto"/>
                <w:sz w:val="16"/>
                <w:szCs w:val="16"/>
              </w:rPr>
              <w:t>98 553</w:t>
            </w:r>
          </w:p>
        </w:tc>
        <w:tc>
          <w:tcPr>
            <w:tcW w:w="1347" w:type="dxa"/>
            <w:tcBorders>
              <w:top w:val="nil"/>
              <w:left w:val="nil"/>
              <w:bottom w:val="single" w:sz="4" w:space="0" w:color="auto"/>
              <w:right w:val="single" w:sz="4" w:space="0" w:color="auto"/>
            </w:tcBorders>
            <w:shd w:val="clear" w:color="auto" w:fill="auto"/>
            <w:noWrap/>
            <w:hideMark/>
          </w:tcPr>
          <w:p w14:paraId="79FAD9C5" w14:textId="34AC3CB6" w:rsidR="00171446" w:rsidRPr="00F60242" w:rsidRDefault="00506B4B" w:rsidP="00171446">
            <w:pPr>
              <w:spacing w:after="0" w:line="240" w:lineRule="auto"/>
              <w:ind w:left="0" w:right="0" w:firstLine="0"/>
              <w:jc w:val="right"/>
              <w:rPr>
                <w:rFonts w:ascii="Times New Roman" w:eastAsia="Times New Roman" w:hAnsi="Times New Roman" w:cs="Times New Roman"/>
                <w:color w:val="auto"/>
                <w:sz w:val="16"/>
                <w:szCs w:val="16"/>
              </w:rPr>
            </w:pPr>
            <w:r>
              <w:rPr>
                <w:rFonts w:ascii="Times New Roman" w:hAnsi="Times New Roman" w:cs="Times New Roman"/>
                <w:color w:val="auto"/>
                <w:sz w:val="16"/>
                <w:szCs w:val="16"/>
              </w:rPr>
              <w:t>137</w:t>
            </w:r>
            <w:r w:rsidR="00F60242" w:rsidRPr="00F60242">
              <w:rPr>
                <w:rFonts w:ascii="Times New Roman" w:hAnsi="Times New Roman" w:cs="Times New Roman"/>
                <w:color w:val="auto"/>
                <w:sz w:val="16"/>
                <w:szCs w:val="16"/>
              </w:rPr>
              <w:t xml:space="preserve"> 640</w:t>
            </w:r>
          </w:p>
        </w:tc>
      </w:tr>
    </w:tbl>
    <w:p w14:paraId="275636F8" w14:textId="77777777" w:rsidR="00C94C8C" w:rsidRDefault="00C94C8C">
      <w:pPr>
        <w:spacing w:after="23" w:line="270" w:lineRule="auto"/>
        <w:ind w:left="-5" w:right="0"/>
        <w:rPr>
          <w:rFonts w:ascii="Times New Roman" w:hAnsi="Times New Roman" w:cs="Times New Roman"/>
          <w:color w:val="auto"/>
          <w:sz w:val="20"/>
        </w:rPr>
      </w:pPr>
    </w:p>
    <w:p w14:paraId="4CA2F150" w14:textId="77777777" w:rsidR="00720A0C" w:rsidRPr="00F60242" w:rsidRDefault="00720A0C">
      <w:pPr>
        <w:spacing w:after="23" w:line="270" w:lineRule="auto"/>
        <w:ind w:left="-5" w:right="0"/>
        <w:rPr>
          <w:rFonts w:ascii="Times New Roman" w:hAnsi="Times New Roman" w:cs="Times New Roman"/>
          <w:color w:val="auto"/>
          <w:sz w:val="20"/>
        </w:rPr>
      </w:pPr>
    </w:p>
    <w:p w14:paraId="318793C6" w14:textId="436DB574" w:rsidR="00C94C8C" w:rsidRPr="00F60242" w:rsidRDefault="00C94C8C">
      <w:pPr>
        <w:spacing w:after="23" w:line="270" w:lineRule="auto"/>
        <w:ind w:left="-5" w:right="0"/>
        <w:rPr>
          <w:rFonts w:ascii="Times New Roman" w:hAnsi="Times New Roman" w:cs="Times New Roman"/>
          <w:i/>
          <w:color w:val="auto"/>
        </w:rPr>
      </w:pPr>
      <w:r w:rsidRPr="00F60242">
        <w:rPr>
          <w:rFonts w:ascii="Times New Roman" w:hAnsi="Times New Roman" w:cs="Times New Roman"/>
          <w:i/>
          <w:color w:val="auto"/>
          <w:sz w:val="20"/>
        </w:rPr>
        <w:lastRenderedPageBreak/>
        <w:t>Tabela- Wskaźnik płynności krótkoterminowej i długoterminowej (po urealnieniu) na 31.12.20</w:t>
      </w:r>
      <w:r w:rsidR="00CB76A2" w:rsidRPr="00F60242">
        <w:rPr>
          <w:rFonts w:ascii="Times New Roman" w:hAnsi="Times New Roman" w:cs="Times New Roman"/>
          <w:i/>
          <w:color w:val="auto"/>
          <w:sz w:val="20"/>
        </w:rPr>
        <w:t>20</w:t>
      </w:r>
      <w:r w:rsidRPr="00F60242">
        <w:rPr>
          <w:rFonts w:ascii="Times New Roman" w:hAnsi="Times New Roman" w:cs="Times New Roman"/>
          <w:i/>
          <w:color w:val="auto"/>
          <w:sz w:val="20"/>
        </w:rPr>
        <w:t xml:space="preserve"> r.</w:t>
      </w:r>
    </w:p>
    <w:tbl>
      <w:tblPr>
        <w:tblStyle w:val="TableGrid"/>
        <w:tblW w:w="5436" w:type="dxa"/>
        <w:tblInd w:w="-2" w:type="dxa"/>
        <w:tblCellMar>
          <w:top w:w="64" w:type="dxa"/>
          <w:left w:w="130" w:type="dxa"/>
          <w:right w:w="115" w:type="dxa"/>
        </w:tblCellMar>
        <w:tblLook w:val="04A0" w:firstRow="1" w:lastRow="0" w:firstColumn="1" w:lastColumn="0" w:noHBand="0" w:noVBand="1"/>
      </w:tblPr>
      <w:tblGrid>
        <w:gridCol w:w="2728"/>
        <w:gridCol w:w="1118"/>
        <w:gridCol w:w="1590"/>
      </w:tblGrid>
      <w:tr w:rsidR="00F60242" w:rsidRPr="00F60242" w14:paraId="5AD7AB27" w14:textId="77777777" w:rsidTr="00491A3A">
        <w:trPr>
          <w:trHeight w:val="646"/>
        </w:trPr>
        <w:tc>
          <w:tcPr>
            <w:tcW w:w="2728" w:type="dxa"/>
            <w:tcBorders>
              <w:top w:val="single" w:sz="2" w:space="0" w:color="000000"/>
              <w:left w:val="single" w:sz="2" w:space="0" w:color="000000"/>
              <w:bottom w:val="single" w:sz="2" w:space="0" w:color="000000"/>
              <w:right w:val="single" w:sz="2" w:space="0" w:color="000000"/>
            </w:tcBorders>
            <w:vAlign w:val="center"/>
          </w:tcPr>
          <w:p w14:paraId="393CD7F0" w14:textId="77777777" w:rsidR="00491A3A" w:rsidRPr="00F60242" w:rsidRDefault="00491A3A">
            <w:pPr>
              <w:spacing w:after="0" w:line="259" w:lineRule="auto"/>
              <w:ind w:left="0" w:right="8" w:firstLine="0"/>
              <w:jc w:val="center"/>
              <w:rPr>
                <w:rFonts w:ascii="Times New Roman" w:hAnsi="Times New Roman" w:cs="Times New Roman"/>
                <w:color w:val="auto"/>
              </w:rPr>
            </w:pPr>
            <w:r w:rsidRPr="00F60242">
              <w:rPr>
                <w:rFonts w:ascii="Times New Roman" w:hAnsi="Times New Roman" w:cs="Times New Roman"/>
                <w:b/>
                <w:color w:val="auto"/>
                <w:sz w:val="16"/>
              </w:rPr>
              <w:t>LUKA</w:t>
            </w:r>
          </w:p>
        </w:tc>
        <w:tc>
          <w:tcPr>
            <w:tcW w:w="1118" w:type="dxa"/>
            <w:tcBorders>
              <w:top w:val="single" w:sz="2" w:space="0" w:color="000000"/>
              <w:left w:val="single" w:sz="2" w:space="0" w:color="000000"/>
              <w:bottom w:val="single" w:sz="2" w:space="0" w:color="000000"/>
              <w:right w:val="single" w:sz="2" w:space="0" w:color="000000"/>
            </w:tcBorders>
            <w:vAlign w:val="center"/>
          </w:tcPr>
          <w:p w14:paraId="6E34F730" w14:textId="77777777" w:rsidR="00491A3A" w:rsidRPr="00F60242" w:rsidRDefault="00491A3A" w:rsidP="00491A3A">
            <w:pPr>
              <w:spacing w:after="0" w:line="259" w:lineRule="auto"/>
              <w:ind w:left="0" w:right="0" w:firstLine="0"/>
              <w:jc w:val="left"/>
              <w:rPr>
                <w:rFonts w:ascii="Times New Roman" w:hAnsi="Times New Roman" w:cs="Times New Roman"/>
                <w:color w:val="auto"/>
              </w:rPr>
            </w:pPr>
            <w:r w:rsidRPr="00F60242">
              <w:rPr>
                <w:rFonts w:ascii="Times New Roman" w:hAnsi="Times New Roman" w:cs="Times New Roman"/>
                <w:b/>
                <w:color w:val="auto"/>
                <w:sz w:val="16"/>
              </w:rPr>
              <w:t>Do 1 miesiąca</w:t>
            </w:r>
          </w:p>
        </w:tc>
        <w:tc>
          <w:tcPr>
            <w:tcW w:w="1590" w:type="dxa"/>
            <w:tcBorders>
              <w:top w:val="single" w:sz="2" w:space="0" w:color="000000"/>
              <w:left w:val="single" w:sz="2" w:space="0" w:color="000000"/>
              <w:bottom w:val="single" w:sz="2" w:space="0" w:color="000000"/>
              <w:right w:val="single" w:sz="2" w:space="0" w:color="000000"/>
            </w:tcBorders>
          </w:tcPr>
          <w:p w14:paraId="00FBE6F3" w14:textId="77777777" w:rsidR="00491A3A" w:rsidRPr="00F60242" w:rsidRDefault="00491A3A" w:rsidP="00491A3A">
            <w:pPr>
              <w:spacing w:after="0" w:line="259" w:lineRule="auto"/>
              <w:ind w:left="184" w:right="0" w:hanging="160"/>
              <w:jc w:val="left"/>
              <w:rPr>
                <w:rFonts w:ascii="Times New Roman" w:hAnsi="Times New Roman" w:cs="Times New Roman"/>
                <w:color w:val="auto"/>
              </w:rPr>
            </w:pPr>
            <w:r w:rsidRPr="00F60242">
              <w:rPr>
                <w:rFonts w:ascii="Times New Roman" w:hAnsi="Times New Roman" w:cs="Times New Roman"/>
                <w:b/>
                <w:color w:val="auto"/>
                <w:sz w:val="16"/>
              </w:rPr>
              <w:t>Powyżej</w:t>
            </w:r>
            <w:r w:rsidR="00B3776B" w:rsidRPr="00F60242">
              <w:rPr>
                <w:rFonts w:ascii="Times New Roman" w:hAnsi="Times New Roman" w:cs="Times New Roman"/>
                <w:b/>
                <w:color w:val="auto"/>
                <w:sz w:val="16"/>
              </w:rPr>
              <w:t xml:space="preserve"> </w:t>
            </w:r>
            <w:r w:rsidRPr="00F60242">
              <w:rPr>
                <w:rFonts w:ascii="Times New Roman" w:hAnsi="Times New Roman" w:cs="Times New Roman"/>
                <w:b/>
                <w:color w:val="auto"/>
                <w:sz w:val="16"/>
              </w:rPr>
              <w:t>1 miesiąca do 1 roku</w:t>
            </w:r>
          </w:p>
        </w:tc>
      </w:tr>
      <w:tr w:rsidR="00F60242" w:rsidRPr="00F60242" w14:paraId="3430BC96" w14:textId="77777777" w:rsidTr="00491A3A">
        <w:trPr>
          <w:trHeight w:val="254"/>
        </w:trPr>
        <w:tc>
          <w:tcPr>
            <w:tcW w:w="2728" w:type="dxa"/>
            <w:tcBorders>
              <w:top w:val="single" w:sz="2" w:space="0" w:color="000000"/>
              <w:left w:val="single" w:sz="2" w:space="0" w:color="000000"/>
              <w:bottom w:val="single" w:sz="2" w:space="0" w:color="000000"/>
              <w:right w:val="single" w:sz="2" w:space="0" w:color="000000"/>
            </w:tcBorders>
          </w:tcPr>
          <w:p w14:paraId="1ECDDDD3" w14:textId="77777777" w:rsidR="00491A3A" w:rsidRPr="00F60242" w:rsidRDefault="00491A3A">
            <w:pPr>
              <w:spacing w:after="0" w:line="259" w:lineRule="auto"/>
              <w:ind w:left="0" w:right="27" w:firstLine="0"/>
              <w:jc w:val="center"/>
              <w:rPr>
                <w:rFonts w:ascii="Times New Roman" w:hAnsi="Times New Roman" w:cs="Times New Roman"/>
                <w:color w:val="auto"/>
              </w:rPr>
            </w:pPr>
            <w:r w:rsidRPr="00F60242">
              <w:rPr>
                <w:rFonts w:ascii="Times New Roman" w:hAnsi="Times New Roman" w:cs="Times New Roman"/>
                <w:b/>
                <w:i/>
                <w:color w:val="auto"/>
                <w:sz w:val="16"/>
              </w:rPr>
              <w:t>Limit ostrzegawczy</w:t>
            </w:r>
          </w:p>
        </w:tc>
        <w:tc>
          <w:tcPr>
            <w:tcW w:w="1118" w:type="dxa"/>
            <w:tcBorders>
              <w:top w:val="single" w:sz="2" w:space="0" w:color="000000"/>
              <w:left w:val="single" w:sz="2" w:space="0" w:color="000000"/>
              <w:bottom w:val="single" w:sz="2" w:space="0" w:color="000000"/>
              <w:right w:val="single" w:sz="2" w:space="0" w:color="000000"/>
            </w:tcBorders>
          </w:tcPr>
          <w:p w14:paraId="5AC3A0BF" w14:textId="77777777" w:rsidR="00491A3A" w:rsidRPr="00F60242" w:rsidRDefault="00491A3A">
            <w:pPr>
              <w:spacing w:after="0" w:line="259" w:lineRule="auto"/>
              <w:ind w:left="0" w:right="11" w:firstLine="0"/>
              <w:jc w:val="center"/>
              <w:rPr>
                <w:rFonts w:ascii="Times New Roman" w:hAnsi="Times New Roman" w:cs="Times New Roman"/>
                <w:color w:val="auto"/>
              </w:rPr>
            </w:pPr>
            <w:r w:rsidRPr="00F60242">
              <w:rPr>
                <w:rFonts w:ascii="Times New Roman" w:hAnsi="Times New Roman" w:cs="Times New Roman"/>
                <w:b/>
                <w:color w:val="auto"/>
                <w:sz w:val="16"/>
              </w:rPr>
              <w:t>1,00</w:t>
            </w:r>
          </w:p>
        </w:tc>
        <w:tc>
          <w:tcPr>
            <w:tcW w:w="1590" w:type="dxa"/>
            <w:tcBorders>
              <w:top w:val="single" w:sz="2" w:space="0" w:color="000000"/>
              <w:left w:val="single" w:sz="2" w:space="0" w:color="000000"/>
              <w:bottom w:val="single" w:sz="2" w:space="0" w:color="000000"/>
              <w:right w:val="single" w:sz="2" w:space="0" w:color="000000"/>
            </w:tcBorders>
          </w:tcPr>
          <w:p w14:paraId="1DFAA8F7" w14:textId="77777777" w:rsidR="00491A3A" w:rsidRPr="00F60242" w:rsidRDefault="00491A3A">
            <w:pPr>
              <w:spacing w:after="0" w:line="259" w:lineRule="auto"/>
              <w:ind w:left="0" w:right="11" w:firstLine="0"/>
              <w:jc w:val="center"/>
              <w:rPr>
                <w:rFonts w:ascii="Times New Roman" w:hAnsi="Times New Roman" w:cs="Times New Roman"/>
                <w:color w:val="auto"/>
              </w:rPr>
            </w:pPr>
            <w:r w:rsidRPr="00F60242">
              <w:rPr>
                <w:rFonts w:ascii="Times New Roman" w:hAnsi="Times New Roman" w:cs="Times New Roman"/>
                <w:b/>
                <w:color w:val="auto"/>
                <w:sz w:val="16"/>
              </w:rPr>
              <w:t>1,00</w:t>
            </w:r>
          </w:p>
        </w:tc>
      </w:tr>
      <w:tr w:rsidR="00F60242" w:rsidRPr="00F60242" w14:paraId="6A314A20" w14:textId="77777777" w:rsidTr="00491A3A">
        <w:trPr>
          <w:trHeight w:val="452"/>
        </w:trPr>
        <w:tc>
          <w:tcPr>
            <w:tcW w:w="2728" w:type="dxa"/>
            <w:tcBorders>
              <w:top w:val="single" w:sz="2" w:space="0" w:color="000000"/>
              <w:left w:val="single" w:sz="2" w:space="0" w:color="000000"/>
              <w:bottom w:val="single" w:sz="2" w:space="0" w:color="000000"/>
              <w:right w:val="single" w:sz="2" w:space="0" w:color="000000"/>
            </w:tcBorders>
          </w:tcPr>
          <w:p w14:paraId="4CBF8A74" w14:textId="77777777" w:rsidR="00491A3A" w:rsidRPr="00F60242" w:rsidRDefault="00491A3A">
            <w:pPr>
              <w:spacing w:after="0" w:line="259" w:lineRule="auto"/>
              <w:ind w:left="0" w:right="0" w:firstLine="0"/>
              <w:jc w:val="center"/>
              <w:rPr>
                <w:rFonts w:ascii="Times New Roman" w:hAnsi="Times New Roman" w:cs="Times New Roman"/>
                <w:color w:val="auto"/>
              </w:rPr>
            </w:pPr>
            <w:r w:rsidRPr="00F60242">
              <w:rPr>
                <w:rFonts w:ascii="Times New Roman" w:hAnsi="Times New Roman" w:cs="Times New Roman"/>
                <w:b/>
                <w:i/>
                <w:color w:val="auto"/>
                <w:sz w:val="16"/>
              </w:rPr>
              <w:t>Wskaźnik skumulowanej luki płynności</w:t>
            </w:r>
          </w:p>
        </w:tc>
        <w:tc>
          <w:tcPr>
            <w:tcW w:w="1118" w:type="dxa"/>
            <w:tcBorders>
              <w:top w:val="single" w:sz="2" w:space="0" w:color="000000"/>
              <w:left w:val="single" w:sz="2" w:space="0" w:color="000000"/>
              <w:bottom w:val="single" w:sz="2" w:space="0" w:color="000000"/>
              <w:right w:val="single" w:sz="2" w:space="0" w:color="000000"/>
            </w:tcBorders>
            <w:vAlign w:val="center"/>
          </w:tcPr>
          <w:p w14:paraId="6B2F5450" w14:textId="568DF67F" w:rsidR="00491A3A" w:rsidRPr="00F60242" w:rsidRDefault="00D317CA" w:rsidP="00F60242">
            <w:pPr>
              <w:spacing w:after="0" w:line="259" w:lineRule="auto"/>
              <w:ind w:left="0" w:right="11" w:firstLine="0"/>
              <w:jc w:val="center"/>
              <w:rPr>
                <w:rFonts w:ascii="Times New Roman" w:hAnsi="Times New Roman" w:cs="Times New Roman"/>
                <w:color w:val="auto"/>
              </w:rPr>
            </w:pPr>
            <w:r w:rsidRPr="00F60242">
              <w:rPr>
                <w:rFonts w:ascii="Times New Roman" w:hAnsi="Times New Roman" w:cs="Times New Roman"/>
                <w:color w:val="auto"/>
                <w:sz w:val="16"/>
              </w:rPr>
              <w:t>1,</w:t>
            </w:r>
            <w:r w:rsidR="00F60242" w:rsidRPr="00F60242">
              <w:rPr>
                <w:rFonts w:ascii="Times New Roman" w:hAnsi="Times New Roman" w:cs="Times New Roman"/>
                <w:color w:val="auto"/>
                <w:sz w:val="16"/>
              </w:rPr>
              <w:t>47</w:t>
            </w:r>
          </w:p>
        </w:tc>
        <w:tc>
          <w:tcPr>
            <w:tcW w:w="1590" w:type="dxa"/>
            <w:tcBorders>
              <w:top w:val="single" w:sz="2" w:space="0" w:color="000000"/>
              <w:left w:val="single" w:sz="2" w:space="0" w:color="000000"/>
              <w:bottom w:val="single" w:sz="2" w:space="0" w:color="000000"/>
              <w:right w:val="single" w:sz="2" w:space="0" w:color="000000"/>
            </w:tcBorders>
            <w:vAlign w:val="center"/>
          </w:tcPr>
          <w:p w14:paraId="11C2688B" w14:textId="20AA1CE7" w:rsidR="00491A3A" w:rsidRPr="00F60242" w:rsidRDefault="00F60242" w:rsidP="00506B4B">
            <w:pPr>
              <w:spacing w:after="0" w:line="259" w:lineRule="auto"/>
              <w:ind w:left="0" w:right="11" w:firstLine="0"/>
              <w:jc w:val="center"/>
              <w:rPr>
                <w:rFonts w:ascii="Times New Roman" w:hAnsi="Times New Roman" w:cs="Times New Roman"/>
                <w:color w:val="auto"/>
              </w:rPr>
            </w:pPr>
            <w:r w:rsidRPr="00F60242">
              <w:rPr>
                <w:rFonts w:ascii="Times New Roman" w:hAnsi="Times New Roman" w:cs="Times New Roman"/>
                <w:color w:val="auto"/>
                <w:sz w:val="16"/>
              </w:rPr>
              <w:t>2,</w:t>
            </w:r>
            <w:r w:rsidR="00506B4B">
              <w:rPr>
                <w:rFonts w:ascii="Times New Roman" w:hAnsi="Times New Roman" w:cs="Times New Roman"/>
                <w:color w:val="auto"/>
                <w:sz w:val="16"/>
              </w:rPr>
              <w:t>20</w:t>
            </w:r>
          </w:p>
        </w:tc>
      </w:tr>
    </w:tbl>
    <w:p w14:paraId="7FF59F36" w14:textId="77777777" w:rsidR="00F50CC2" w:rsidRPr="00CB76A2" w:rsidRDefault="00E81BF6" w:rsidP="00942B14">
      <w:pPr>
        <w:spacing w:after="0" w:line="276" w:lineRule="auto"/>
        <w:ind w:left="-15" w:right="6" w:firstLine="720"/>
        <w:rPr>
          <w:rFonts w:ascii="Times New Roman" w:hAnsi="Times New Roman" w:cs="Times New Roman"/>
          <w:color w:val="000000" w:themeColor="text1"/>
        </w:rPr>
      </w:pPr>
      <w:r w:rsidRPr="00CB76A2">
        <w:rPr>
          <w:rFonts w:ascii="Times New Roman" w:hAnsi="Times New Roman" w:cs="Times New Roman"/>
          <w:color w:val="000000" w:themeColor="text1"/>
        </w:rPr>
        <w:t>W ramach zarządzania płynnością średnio- i długoterminową Bank dokonuje planowania uwzględniającego przyszłe potrzeby płynnościowe</w:t>
      </w:r>
      <w:r w:rsidR="00F50CC2" w:rsidRPr="00CB76A2">
        <w:rPr>
          <w:rFonts w:ascii="Times New Roman" w:hAnsi="Times New Roman" w:cs="Times New Roman"/>
          <w:color w:val="000000" w:themeColor="text1"/>
        </w:rPr>
        <w:t xml:space="preserve">, w taki sposób, aby kluczowe wskaźniki płynnościowe utrzymywane były na wymaganym poziomie. </w:t>
      </w:r>
    </w:p>
    <w:p w14:paraId="0CE9E8E9" w14:textId="77777777" w:rsidR="002C50F6" w:rsidRPr="00CB76A2" w:rsidRDefault="00E81BF6" w:rsidP="00942B14">
      <w:pPr>
        <w:spacing w:after="0" w:line="276" w:lineRule="auto"/>
        <w:ind w:left="-15" w:right="6" w:firstLine="720"/>
        <w:rPr>
          <w:rFonts w:ascii="Times New Roman" w:hAnsi="Times New Roman" w:cs="Times New Roman"/>
          <w:strike/>
          <w:color w:val="000000" w:themeColor="text1"/>
        </w:rPr>
      </w:pPr>
      <w:r w:rsidRPr="00CB76A2">
        <w:rPr>
          <w:rFonts w:ascii="Times New Roman" w:hAnsi="Times New Roman" w:cs="Times New Roman"/>
          <w:color w:val="000000" w:themeColor="text1"/>
        </w:rPr>
        <w:t>Bank bada narażenie na ryzyko płynności w sytuacji skrajnej przeprowadzając testy warunków skrajnych, przy założeniu zaistnienia sytuacji nieoczekiwanej</w:t>
      </w:r>
      <w:r w:rsidR="005A7EF0" w:rsidRPr="00CB76A2">
        <w:rPr>
          <w:rFonts w:ascii="Times New Roman" w:hAnsi="Times New Roman" w:cs="Times New Roman"/>
          <w:color w:val="000000" w:themeColor="text1"/>
        </w:rPr>
        <w:t>.</w:t>
      </w:r>
    </w:p>
    <w:p w14:paraId="0498E3BA" w14:textId="77777777" w:rsidR="002C50F6" w:rsidRPr="00CB76A2" w:rsidRDefault="00E81BF6" w:rsidP="00942B14">
      <w:pPr>
        <w:spacing w:after="0" w:line="276" w:lineRule="auto"/>
        <w:ind w:left="-5" w:right="6"/>
        <w:rPr>
          <w:rFonts w:ascii="Times New Roman" w:hAnsi="Times New Roman" w:cs="Times New Roman"/>
          <w:color w:val="000000" w:themeColor="text1"/>
        </w:rPr>
      </w:pPr>
      <w:r w:rsidRPr="00CB76A2">
        <w:rPr>
          <w:rFonts w:ascii="Times New Roman" w:hAnsi="Times New Roman" w:cs="Times New Roman"/>
          <w:color w:val="000000" w:themeColor="text1"/>
        </w:rPr>
        <w:t xml:space="preserve">Podstawą do budowy testów scenariuszowych są scenariusze </w:t>
      </w:r>
      <w:r w:rsidR="005A7EF0" w:rsidRPr="00CB76A2">
        <w:rPr>
          <w:rFonts w:ascii="Times New Roman" w:hAnsi="Times New Roman" w:cs="Times New Roman"/>
          <w:color w:val="000000" w:themeColor="text1"/>
        </w:rPr>
        <w:t>warunków skrajnych, określone w </w:t>
      </w:r>
      <w:r w:rsidRPr="00CB76A2">
        <w:rPr>
          <w:rFonts w:ascii="Times New Roman" w:hAnsi="Times New Roman" w:cs="Times New Roman"/>
          <w:color w:val="000000" w:themeColor="text1"/>
        </w:rPr>
        <w:t>trzech wariantach:</w:t>
      </w:r>
    </w:p>
    <w:p w14:paraId="78650912" w14:textId="77777777" w:rsidR="002C50F6" w:rsidRPr="00CB76A2" w:rsidRDefault="00E81BF6" w:rsidP="00942B14">
      <w:pPr>
        <w:numPr>
          <w:ilvl w:val="0"/>
          <w:numId w:val="30"/>
        </w:numPr>
        <w:spacing w:after="0" w:line="276" w:lineRule="auto"/>
        <w:ind w:right="6" w:hanging="360"/>
        <w:rPr>
          <w:rFonts w:ascii="Times New Roman" w:hAnsi="Times New Roman" w:cs="Times New Roman"/>
          <w:color w:val="000000" w:themeColor="text1"/>
        </w:rPr>
      </w:pPr>
      <w:r w:rsidRPr="00CB76A2">
        <w:rPr>
          <w:rFonts w:ascii="Times New Roman" w:hAnsi="Times New Roman" w:cs="Times New Roman"/>
          <w:color w:val="000000" w:themeColor="text1"/>
        </w:rPr>
        <w:t>wewnętrznym, którymi są:</w:t>
      </w:r>
    </w:p>
    <w:p w14:paraId="5719E1B6" w14:textId="77777777" w:rsidR="002C50F6" w:rsidRPr="00CB76A2" w:rsidRDefault="00E81BF6" w:rsidP="00942B14">
      <w:pPr>
        <w:numPr>
          <w:ilvl w:val="1"/>
          <w:numId w:val="30"/>
        </w:numPr>
        <w:spacing w:after="0" w:line="276" w:lineRule="auto"/>
        <w:ind w:right="6" w:hanging="360"/>
        <w:rPr>
          <w:rFonts w:ascii="Times New Roman" w:hAnsi="Times New Roman" w:cs="Times New Roman"/>
          <w:color w:val="000000" w:themeColor="text1"/>
        </w:rPr>
      </w:pPr>
      <w:r w:rsidRPr="00CB76A2">
        <w:rPr>
          <w:rFonts w:ascii="Times New Roman" w:hAnsi="Times New Roman" w:cs="Times New Roman"/>
          <w:color w:val="000000" w:themeColor="text1"/>
        </w:rPr>
        <w:t>utrata zaufania do Banku, będąca m.in. wynikiem po</w:t>
      </w:r>
      <w:r w:rsidR="005A7EF0" w:rsidRPr="00CB76A2">
        <w:rPr>
          <w:rFonts w:ascii="Times New Roman" w:hAnsi="Times New Roman" w:cs="Times New Roman"/>
          <w:color w:val="000000" w:themeColor="text1"/>
        </w:rPr>
        <w:t>jawienia</w:t>
      </w:r>
      <w:r w:rsidRPr="00CB76A2">
        <w:rPr>
          <w:rFonts w:ascii="Times New Roman" w:hAnsi="Times New Roman" w:cs="Times New Roman"/>
          <w:color w:val="000000" w:themeColor="text1"/>
        </w:rPr>
        <w:t xml:space="preserve"> się negatywnych informacji o sytuacji finansowej Banku lub o sposobie prowadzenia przez Bank działalności;</w:t>
      </w:r>
    </w:p>
    <w:p w14:paraId="16F4EBCB" w14:textId="77777777" w:rsidR="004F2DA7" w:rsidRPr="00CB76A2" w:rsidRDefault="004F2DA7" w:rsidP="00942B14">
      <w:pPr>
        <w:numPr>
          <w:ilvl w:val="1"/>
          <w:numId w:val="30"/>
        </w:numPr>
        <w:spacing w:after="0" w:line="276" w:lineRule="auto"/>
        <w:ind w:right="6" w:hanging="360"/>
        <w:rPr>
          <w:rFonts w:ascii="Times New Roman" w:hAnsi="Times New Roman" w:cs="Times New Roman"/>
          <w:color w:val="000000" w:themeColor="text1"/>
        </w:rPr>
      </w:pPr>
      <w:r w:rsidRPr="00CB76A2">
        <w:rPr>
          <w:rFonts w:ascii="Times New Roman" w:hAnsi="Times New Roman" w:cs="Times New Roman"/>
          <w:color w:val="000000" w:themeColor="text1"/>
        </w:rPr>
        <w:t>wypływ depozytów kanałami innymi niż tradycyjne;</w:t>
      </w:r>
    </w:p>
    <w:p w14:paraId="4D069B12" w14:textId="77777777" w:rsidR="002C50F6" w:rsidRPr="00CB76A2" w:rsidRDefault="00E81BF6" w:rsidP="00942B14">
      <w:pPr>
        <w:numPr>
          <w:ilvl w:val="1"/>
          <w:numId w:val="30"/>
        </w:numPr>
        <w:spacing w:after="0" w:line="276" w:lineRule="auto"/>
        <w:ind w:right="6" w:hanging="360"/>
        <w:rPr>
          <w:rFonts w:ascii="Times New Roman" w:hAnsi="Times New Roman" w:cs="Times New Roman"/>
          <w:color w:val="000000" w:themeColor="text1"/>
        </w:rPr>
      </w:pPr>
      <w:r w:rsidRPr="00CB76A2">
        <w:rPr>
          <w:rFonts w:ascii="Times New Roman" w:hAnsi="Times New Roman" w:cs="Times New Roman"/>
          <w:color w:val="000000" w:themeColor="text1"/>
        </w:rPr>
        <w:t>wzrost kredytów przeterminowanych;</w:t>
      </w:r>
    </w:p>
    <w:p w14:paraId="1177D097" w14:textId="77777777" w:rsidR="002C50F6" w:rsidRPr="00CB76A2" w:rsidRDefault="00E81BF6" w:rsidP="00942B14">
      <w:pPr>
        <w:numPr>
          <w:ilvl w:val="1"/>
          <w:numId w:val="30"/>
        </w:numPr>
        <w:spacing w:after="0" w:line="276" w:lineRule="auto"/>
        <w:ind w:right="6" w:hanging="360"/>
        <w:rPr>
          <w:rFonts w:ascii="Times New Roman" w:hAnsi="Times New Roman" w:cs="Times New Roman"/>
          <w:color w:val="000000" w:themeColor="text1"/>
        </w:rPr>
      </w:pPr>
      <w:r w:rsidRPr="00CB76A2">
        <w:rPr>
          <w:rFonts w:ascii="Times New Roman" w:hAnsi="Times New Roman" w:cs="Times New Roman"/>
          <w:color w:val="000000" w:themeColor="text1"/>
        </w:rPr>
        <w:t>zła sytuacja finansowa Banku przejawiająca się groźbą powstania bieżącej straty finansowej;</w:t>
      </w:r>
    </w:p>
    <w:p w14:paraId="3C89FC89" w14:textId="77777777" w:rsidR="002C50F6" w:rsidRPr="00CB76A2" w:rsidRDefault="00E81BF6" w:rsidP="00942B14">
      <w:pPr>
        <w:numPr>
          <w:ilvl w:val="1"/>
          <w:numId w:val="30"/>
        </w:numPr>
        <w:spacing w:after="0" w:line="276" w:lineRule="auto"/>
        <w:ind w:right="6" w:hanging="360"/>
        <w:rPr>
          <w:rFonts w:ascii="Times New Roman" w:hAnsi="Times New Roman" w:cs="Times New Roman"/>
          <w:color w:val="000000" w:themeColor="text1"/>
        </w:rPr>
      </w:pPr>
      <w:r w:rsidRPr="00CB76A2">
        <w:rPr>
          <w:rFonts w:ascii="Times New Roman" w:hAnsi="Times New Roman" w:cs="Times New Roman"/>
          <w:color w:val="000000" w:themeColor="text1"/>
        </w:rPr>
        <w:t>awarie systemów komputerowych, brak połączeń telekomunikacyjnych, brak zasileń</w:t>
      </w:r>
      <w:r w:rsidR="005A7EF0" w:rsidRPr="00CB76A2">
        <w:rPr>
          <w:rFonts w:ascii="Times New Roman" w:hAnsi="Times New Roman" w:cs="Times New Roman"/>
          <w:color w:val="000000" w:themeColor="text1"/>
        </w:rPr>
        <w:t xml:space="preserve"> energetycznych lub wyłączenia</w:t>
      </w:r>
      <w:r w:rsidRPr="00CB76A2">
        <w:rPr>
          <w:rFonts w:ascii="Times New Roman" w:hAnsi="Times New Roman" w:cs="Times New Roman"/>
          <w:color w:val="000000" w:themeColor="text1"/>
        </w:rPr>
        <w:t>;</w:t>
      </w:r>
    </w:p>
    <w:p w14:paraId="14A9D8C8" w14:textId="77777777" w:rsidR="002C50F6" w:rsidRPr="00CB76A2" w:rsidRDefault="00E81BF6" w:rsidP="00942B14">
      <w:pPr>
        <w:numPr>
          <w:ilvl w:val="0"/>
          <w:numId w:val="30"/>
        </w:numPr>
        <w:spacing w:after="0" w:line="276" w:lineRule="auto"/>
        <w:ind w:right="6" w:hanging="360"/>
        <w:rPr>
          <w:rFonts w:ascii="Times New Roman" w:hAnsi="Times New Roman" w:cs="Times New Roman"/>
          <w:color w:val="000000" w:themeColor="text1"/>
        </w:rPr>
      </w:pPr>
      <w:r w:rsidRPr="00CB76A2">
        <w:rPr>
          <w:rFonts w:ascii="Times New Roman" w:hAnsi="Times New Roman" w:cs="Times New Roman"/>
          <w:color w:val="000000" w:themeColor="text1"/>
        </w:rPr>
        <w:t>systemowym, którymi są:</w:t>
      </w:r>
    </w:p>
    <w:p w14:paraId="52EE2F4C" w14:textId="77777777" w:rsidR="002C50F6" w:rsidRPr="00CB76A2" w:rsidRDefault="00E81BF6" w:rsidP="00942B14">
      <w:pPr>
        <w:numPr>
          <w:ilvl w:val="1"/>
          <w:numId w:val="30"/>
        </w:numPr>
        <w:spacing w:after="0" w:line="276" w:lineRule="auto"/>
        <w:ind w:right="6" w:hanging="360"/>
        <w:rPr>
          <w:rFonts w:ascii="Times New Roman" w:hAnsi="Times New Roman" w:cs="Times New Roman"/>
          <w:color w:val="000000" w:themeColor="text1"/>
        </w:rPr>
      </w:pPr>
      <w:r w:rsidRPr="00CB76A2">
        <w:rPr>
          <w:rFonts w:ascii="Times New Roman" w:hAnsi="Times New Roman" w:cs="Times New Roman"/>
          <w:color w:val="000000" w:themeColor="text1"/>
        </w:rPr>
        <w:t>zatory płatnicze powstałe w podmiotach będących klientami Banku;</w:t>
      </w:r>
    </w:p>
    <w:p w14:paraId="16994AC2" w14:textId="77777777" w:rsidR="002C50F6" w:rsidRPr="00CB76A2" w:rsidRDefault="00E81BF6" w:rsidP="00942B14">
      <w:pPr>
        <w:numPr>
          <w:ilvl w:val="1"/>
          <w:numId w:val="30"/>
        </w:numPr>
        <w:spacing w:after="0" w:line="276" w:lineRule="auto"/>
        <w:ind w:right="6" w:hanging="360"/>
        <w:rPr>
          <w:rFonts w:ascii="Times New Roman" w:hAnsi="Times New Roman" w:cs="Times New Roman"/>
          <w:color w:val="000000" w:themeColor="text1"/>
        </w:rPr>
      </w:pPr>
      <w:r w:rsidRPr="00CB76A2">
        <w:rPr>
          <w:rFonts w:ascii="Times New Roman" w:hAnsi="Times New Roman" w:cs="Times New Roman"/>
          <w:color w:val="000000" w:themeColor="text1"/>
        </w:rPr>
        <w:t>wzrost zapotrzebowania rynku na depozyty – „wojna depozytowa”;</w:t>
      </w:r>
    </w:p>
    <w:p w14:paraId="11D5A748" w14:textId="77777777" w:rsidR="002C50F6" w:rsidRPr="00CB76A2" w:rsidRDefault="00E81BF6" w:rsidP="00942B14">
      <w:pPr>
        <w:numPr>
          <w:ilvl w:val="1"/>
          <w:numId w:val="30"/>
        </w:numPr>
        <w:spacing w:after="0" w:line="276" w:lineRule="auto"/>
        <w:ind w:right="6" w:hanging="360"/>
        <w:rPr>
          <w:rFonts w:ascii="Times New Roman" w:hAnsi="Times New Roman" w:cs="Times New Roman"/>
          <w:color w:val="000000" w:themeColor="text1"/>
        </w:rPr>
      </w:pPr>
      <w:r w:rsidRPr="00CB76A2">
        <w:rPr>
          <w:rFonts w:ascii="Times New Roman" w:hAnsi="Times New Roman" w:cs="Times New Roman"/>
          <w:color w:val="000000" w:themeColor="text1"/>
        </w:rPr>
        <w:t>wzrost rynkowych stóp procentowych;</w:t>
      </w:r>
    </w:p>
    <w:p w14:paraId="4C7F2E7A" w14:textId="77777777" w:rsidR="002C50F6" w:rsidRPr="00CB76A2" w:rsidRDefault="00E81BF6" w:rsidP="00942B14">
      <w:pPr>
        <w:numPr>
          <w:ilvl w:val="1"/>
          <w:numId w:val="30"/>
        </w:numPr>
        <w:spacing w:after="0" w:line="276" w:lineRule="auto"/>
        <w:ind w:right="6" w:hanging="360"/>
        <w:rPr>
          <w:rFonts w:ascii="Times New Roman" w:hAnsi="Times New Roman" w:cs="Times New Roman"/>
          <w:color w:val="000000" w:themeColor="text1"/>
        </w:rPr>
      </w:pPr>
      <w:r w:rsidRPr="00CB76A2">
        <w:rPr>
          <w:rFonts w:ascii="Times New Roman" w:hAnsi="Times New Roman" w:cs="Times New Roman"/>
          <w:color w:val="000000" w:themeColor="text1"/>
        </w:rPr>
        <w:t>zakłócenia rozliczeniowe na rynku międzybankowym;</w:t>
      </w:r>
    </w:p>
    <w:p w14:paraId="4626D670" w14:textId="77777777" w:rsidR="002C50F6" w:rsidRPr="00CB76A2" w:rsidRDefault="00E81BF6" w:rsidP="00942B14">
      <w:pPr>
        <w:numPr>
          <w:ilvl w:val="0"/>
          <w:numId w:val="30"/>
        </w:numPr>
        <w:spacing w:after="0" w:line="276" w:lineRule="auto"/>
        <w:ind w:right="6" w:hanging="360"/>
        <w:rPr>
          <w:rFonts w:ascii="Times New Roman" w:hAnsi="Times New Roman" w:cs="Times New Roman"/>
          <w:color w:val="000000" w:themeColor="text1"/>
        </w:rPr>
      </w:pPr>
      <w:r w:rsidRPr="00CB76A2">
        <w:rPr>
          <w:rFonts w:ascii="Times New Roman" w:hAnsi="Times New Roman" w:cs="Times New Roman"/>
          <w:color w:val="000000" w:themeColor="text1"/>
        </w:rPr>
        <w:t>mieszanym, którymi są:</w:t>
      </w:r>
    </w:p>
    <w:p w14:paraId="5AFD518A" w14:textId="77777777" w:rsidR="002C50F6" w:rsidRPr="00CB76A2" w:rsidRDefault="00E81BF6" w:rsidP="00942B14">
      <w:pPr>
        <w:numPr>
          <w:ilvl w:val="1"/>
          <w:numId w:val="30"/>
        </w:numPr>
        <w:spacing w:after="0" w:line="276" w:lineRule="auto"/>
        <w:ind w:right="6" w:hanging="360"/>
        <w:rPr>
          <w:rFonts w:ascii="Times New Roman" w:hAnsi="Times New Roman" w:cs="Times New Roman"/>
          <w:color w:val="000000" w:themeColor="text1"/>
        </w:rPr>
      </w:pPr>
      <w:r w:rsidRPr="00CB76A2">
        <w:rPr>
          <w:rFonts w:ascii="Times New Roman" w:hAnsi="Times New Roman" w:cs="Times New Roman"/>
          <w:color w:val="000000" w:themeColor="text1"/>
        </w:rPr>
        <w:t>zła sytuacja finansowa Banku oraz wzrost zapotrzebowania rynku na depozyty,</w:t>
      </w:r>
    </w:p>
    <w:p w14:paraId="432E0695" w14:textId="77777777" w:rsidR="002C50F6" w:rsidRPr="00CB76A2" w:rsidRDefault="00E81BF6" w:rsidP="00942B14">
      <w:pPr>
        <w:numPr>
          <w:ilvl w:val="1"/>
          <w:numId w:val="30"/>
        </w:numPr>
        <w:spacing w:after="0" w:line="276" w:lineRule="auto"/>
        <w:ind w:right="6" w:hanging="360"/>
        <w:rPr>
          <w:rFonts w:ascii="Times New Roman" w:hAnsi="Times New Roman" w:cs="Times New Roman"/>
          <w:color w:val="000000" w:themeColor="text1"/>
        </w:rPr>
      </w:pPr>
      <w:r w:rsidRPr="00CB76A2">
        <w:rPr>
          <w:rFonts w:ascii="Times New Roman" w:hAnsi="Times New Roman" w:cs="Times New Roman"/>
          <w:color w:val="000000" w:themeColor="text1"/>
        </w:rPr>
        <w:t xml:space="preserve">wzrost kredytów zagrożonych oraz </w:t>
      </w:r>
      <w:r w:rsidR="004F2DA7" w:rsidRPr="00CB76A2">
        <w:rPr>
          <w:rFonts w:ascii="Times New Roman" w:hAnsi="Times New Roman" w:cs="Times New Roman"/>
          <w:color w:val="000000" w:themeColor="text1"/>
        </w:rPr>
        <w:t>spadek bazy depozytowej.</w:t>
      </w:r>
    </w:p>
    <w:p w14:paraId="57BF47BC" w14:textId="77777777" w:rsidR="002C50F6" w:rsidRPr="00CB76A2" w:rsidRDefault="00E81BF6" w:rsidP="00942B14">
      <w:pPr>
        <w:spacing w:after="0" w:line="276" w:lineRule="auto"/>
        <w:ind w:left="750" w:right="6"/>
        <w:rPr>
          <w:rFonts w:ascii="Times New Roman" w:hAnsi="Times New Roman" w:cs="Times New Roman"/>
          <w:color w:val="000000" w:themeColor="text1"/>
        </w:rPr>
      </w:pPr>
      <w:r w:rsidRPr="00CB76A2">
        <w:rPr>
          <w:rFonts w:ascii="Times New Roman" w:hAnsi="Times New Roman" w:cs="Times New Roman"/>
          <w:color w:val="000000" w:themeColor="text1"/>
        </w:rPr>
        <w:t>Dla każdego scenariusza Bank określa:</w:t>
      </w:r>
    </w:p>
    <w:p w14:paraId="602FEDAF" w14:textId="77777777" w:rsidR="002C50F6" w:rsidRPr="00CB76A2" w:rsidRDefault="00E81BF6" w:rsidP="00942B14">
      <w:pPr>
        <w:numPr>
          <w:ilvl w:val="0"/>
          <w:numId w:val="31"/>
        </w:numPr>
        <w:spacing w:after="0" w:line="276" w:lineRule="auto"/>
        <w:ind w:right="6" w:firstLine="360"/>
        <w:rPr>
          <w:rFonts w:ascii="Times New Roman" w:hAnsi="Times New Roman" w:cs="Times New Roman"/>
          <w:color w:val="000000" w:themeColor="text1"/>
        </w:rPr>
      </w:pPr>
      <w:r w:rsidRPr="00CB76A2">
        <w:rPr>
          <w:rFonts w:ascii="Times New Roman" w:hAnsi="Times New Roman" w:cs="Times New Roman"/>
          <w:color w:val="000000" w:themeColor="text1"/>
        </w:rPr>
        <w:t>wpływ sytuacji skrajnej na poziom płynności Banku;</w:t>
      </w:r>
    </w:p>
    <w:p w14:paraId="29BE2C1D" w14:textId="77777777" w:rsidR="00E51AB3" w:rsidRPr="00CB76A2" w:rsidRDefault="00E81BF6" w:rsidP="00942B14">
      <w:pPr>
        <w:numPr>
          <w:ilvl w:val="0"/>
          <w:numId w:val="31"/>
        </w:numPr>
        <w:spacing w:after="0" w:line="276" w:lineRule="auto"/>
        <w:ind w:right="6" w:firstLine="360"/>
        <w:rPr>
          <w:rFonts w:ascii="Times New Roman" w:hAnsi="Times New Roman" w:cs="Times New Roman"/>
          <w:strike/>
          <w:color w:val="000000" w:themeColor="text1"/>
        </w:rPr>
      </w:pPr>
      <w:r w:rsidRPr="00CB76A2">
        <w:rPr>
          <w:rFonts w:ascii="Times New Roman" w:hAnsi="Times New Roman" w:cs="Times New Roman"/>
          <w:color w:val="000000" w:themeColor="text1"/>
        </w:rPr>
        <w:t>wielkość potrzebnych aktywów nieobciążonych oraz d</w:t>
      </w:r>
      <w:r w:rsidR="00E51AB3" w:rsidRPr="00CB76A2">
        <w:rPr>
          <w:rFonts w:ascii="Times New Roman" w:hAnsi="Times New Roman" w:cs="Times New Roman"/>
          <w:color w:val="000000" w:themeColor="text1"/>
        </w:rPr>
        <w:t>odatkowych źródeł finansowania.</w:t>
      </w:r>
    </w:p>
    <w:p w14:paraId="7FAF30B2" w14:textId="77777777" w:rsidR="002C50F6" w:rsidRPr="00CB76A2" w:rsidRDefault="00E81BF6" w:rsidP="00E51AB3">
      <w:pPr>
        <w:spacing w:after="0" w:line="276" w:lineRule="auto"/>
        <w:ind w:left="0" w:right="6"/>
        <w:rPr>
          <w:rFonts w:ascii="Times New Roman" w:hAnsi="Times New Roman" w:cs="Times New Roman"/>
          <w:strike/>
          <w:color w:val="000000" w:themeColor="text1"/>
        </w:rPr>
      </w:pPr>
      <w:r w:rsidRPr="00CB76A2">
        <w:rPr>
          <w:rFonts w:ascii="Times New Roman" w:hAnsi="Times New Roman" w:cs="Times New Roman"/>
          <w:color w:val="000000" w:themeColor="text1"/>
        </w:rPr>
        <w:t>W teście wrażliwości Bank bada</w:t>
      </w:r>
      <w:r w:rsidR="00E51AB3" w:rsidRPr="00CB76A2">
        <w:rPr>
          <w:rFonts w:ascii="Times New Roman" w:hAnsi="Times New Roman" w:cs="Times New Roman"/>
          <w:color w:val="000000" w:themeColor="text1"/>
        </w:rPr>
        <w:t>, jak wypływ depozytów</w:t>
      </w:r>
      <w:r w:rsidRPr="00CB76A2">
        <w:rPr>
          <w:rFonts w:ascii="Times New Roman" w:hAnsi="Times New Roman" w:cs="Times New Roman"/>
          <w:color w:val="000000" w:themeColor="text1"/>
        </w:rPr>
        <w:t xml:space="preserve"> w </w:t>
      </w:r>
      <w:r w:rsidR="00E51AB3" w:rsidRPr="00CB76A2">
        <w:rPr>
          <w:rFonts w:ascii="Times New Roman" w:hAnsi="Times New Roman" w:cs="Times New Roman"/>
          <w:color w:val="000000" w:themeColor="text1"/>
        </w:rPr>
        <w:t>okresie do 30 dni, oszacowany w </w:t>
      </w:r>
      <w:r w:rsidRPr="00CB76A2">
        <w:rPr>
          <w:rFonts w:ascii="Times New Roman" w:hAnsi="Times New Roman" w:cs="Times New Roman"/>
          <w:color w:val="000000" w:themeColor="text1"/>
        </w:rPr>
        <w:t xml:space="preserve">oparciu o test scenariuszowy zakładający utratę zaufania do Banku, wpłynie na </w:t>
      </w:r>
      <w:r w:rsidR="004F2DA7" w:rsidRPr="00CB76A2">
        <w:rPr>
          <w:rFonts w:ascii="Times New Roman" w:hAnsi="Times New Roman" w:cs="Times New Roman"/>
          <w:color w:val="000000" w:themeColor="text1"/>
        </w:rPr>
        <w:t>nadwyżkę płynności.</w:t>
      </w:r>
    </w:p>
    <w:p w14:paraId="376885DC" w14:textId="77777777" w:rsidR="00656874" w:rsidRPr="00CB76A2" w:rsidRDefault="00E81BF6" w:rsidP="00942B14">
      <w:pPr>
        <w:spacing w:after="0" w:line="276" w:lineRule="auto"/>
        <w:ind w:left="-5" w:right="6"/>
        <w:rPr>
          <w:rFonts w:ascii="Times New Roman" w:hAnsi="Times New Roman" w:cs="Times New Roman"/>
          <w:color w:val="000000" w:themeColor="text1"/>
        </w:rPr>
      </w:pPr>
      <w:r w:rsidRPr="00CB76A2">
        <w:rPr>
          <w:rFonts w:ascii="Times New Roman" w:hAnsi="Times New Roman" w:cs="Times New Roman"/>
          <w:color w:val="000000" w:themeColor="text1"/>
        </w:rPr>
        <w:t>Bank przeprowadza odwrócone testy warunków skrajnych polegające na</w:t>
      </w:r>
      <w:r w:rsidR="00656874" w:rsidRPr="00CB76A2">
        <w:rPr>
          <w:rFonts w:ascii="Times New Roman" w:hAnsi="Times New Roman" w:cs="Times New Roman"/>
          <w:color w:val="000000" w:themeColor="text1"/>
        </w:rPr>
        <w:t>:</w:t>
      </w:r>
    </w:p>
    <w:p w14:paraId="2C84A298" w14:textId="77777777" w:rsidR="00656874" w:rsidRPr="00CB76A2" w:rsidRDefault="00656874" w:rsidP="00656874">
      <w:pPr>
        <w:spacing w:after="0" w:line="276" w:lineRule="auto"/>
        <w:ind w:left="851" w:right="6" w:hanging="284"/>
        <w:rPr>
          <w:rFonts w:ascii="Times New Roman" w:hAnsi="Times New Roman" w:cs="Times New Roman"/>
          <w:color w:val="000000" w:themeColor="text1"/>
        </w:rPr>
      </w:pPr>
      <w:r w:rsidRPr="00CB76A2">
        <w:rPr>
          <w:rFonts w:ascii="Times New Roman" w:hAnsi="Times New Roman" w:cs="Times New Roman"/>
          <w:color w:val="000000" w:themeColor="text1"/>
        </w:rPr>
        <w:lastRenderedPageBreak/>
        <w:t>1)</w:t>
      </w:r>
      <w:r w:rsidRPr="00CB76A2">
        <w:rPr>
          <w:rFonts w:ascii="Times New Roman" w:hAnsi="Times New Roman" w:cs="Times New Roman"/>
          <w:color w:val="000000" w:themeColor="text1"/>
        </w:rPr>
        <w:tab/>
        <w:t>określeniu poziomu spadku wartości aktywów, który spowodowałby sytuację niewypłacalności Banku, tj. obniżenie wskaźnika LCR poniżej 1;</w:t>
      </w:r>
    </w:p>
    <w:p w14:paraId="2C8F761A" w14:textId="775E5C8F" w:rsidR="00656874" w:rsidRPr="00CB76A2" w:rsidRDefault="00656874" w:rsidP="00656874">
      <w:pPr>
        <w:spacing w:after="0" w:line="276" w:lineRule="auto"/>
        <w:ind w:left="851" w:right="6" w:hanging="284"/>
        <w:rPr>
          <w:rFonts w:ascii="Times New Roman" w:hAnsi="Times New Roman" w:cs="Times New Roman"/>
          <w:color w:val="000000" w:themeColor="text1"/>
        </w:rPr>
      </w:pPr>
      <w:r w:rsidRPr="00CB76A2">
        <w:rPr>
          <w:rFonts w:ascii="Times New Roman" w:hAnsi="Times New Roman" w:cs="Times New Roman"/>
          <w:color w:val="000000" w:themeColor="text1"/>
        </w:rPr>
        <w:t>2)</w:t>
      </w:r>
      <w:r w:rsidRPr="00CB76A2">
        <w:rPr>
          <w:rFonts w:ascii="Times New Roman" w:hAnsi="Times New Roman" w:cs="Times New Roman"/>
          <w:color w:val="000000" w:themeColor="text1"/>
        </w:rPr>
        <w:tab/>
        <w:t>określenie poziomu wzrostu kredytów długoterminowych, który spowodowałby przekroczenie limitu luki niedopasowania dla przedziału powyżej 5 lat.</w:t>
      </w:r>
    </w:p>
    <w:p w14:paraId="3FC3A8EF" w14:textId="77777777" w:rsidR="002C50F6" w:rsidRPr="00CB76A2" w:rsidRDefault="00E81BF6" w:rsidP="00942B14">
      <w:pPr>
        <w:spacing w:after="0" w:line="276" w:lineRule="auto"/>
        <w:ind w:left="-5" w:right="6"/>
        <w:rPr>
          <w:rFonts w:ascii="Times New Roman" w:hAnsi="Times New Roman" w:cs="Times New Roman"/>
          <w:color w:val="000000" w:themeColor="text1"/>
        </w:rPr>
      </w:pPr>
      <w:r w:rsidRPr="00CB76A2">
        <w:rPr>
          <w:rFonts w:ascii="Times New Roman" w:hAnsi="Times New Roman" w:cs="Times New Roman"/>
          <w:color w:val="000000" w:themeColor="text1"/>
        </w:rPr>
        <w:t>Testy warunków skrajnych są podstawą do budowy awaryjnych planów płynności i dostarczają informacji zarządczej o obszarach, które w przypadku potencjalnych sytuacji stresowych mogą narazić Bank na szkodę.</w:t>
      </w:r>
    </w:p>
    <w:p w14:paraId="5034B9B5" w14:textId="77777777" w:rsidR="00942B14" w:rsidRPr="00065790" w:rsidRDefault="00942B14" w:rsidP="00942B14">
      <w:pPr>
        <w:spacing w:after="0" w:line="276" w:lineRule="auto"/>
        <w:ind w:left="-5" w:right="6"/>
        <w:rPr>
          <w:rFonts w:ascii="Times New Roman" w:hAnsi="Times New Roman" w:cs="Times New Roman"/>
          <w:color w:val="FF0000"/>
        </w:rPr>
      </w:pPr>
    </w:p>
    <w:p w14:paraId="11C52947" w14:textId="77777777" w:rsidR="002C50F6" w:rsidRPr="00E0725E" w:rsidRDefault="00E81BF6">
      <w:pPr>
        <w:pStyle w:val="Nagwek1"/>
        <w:spacing w:after="296"/>
        <w:ind w:left="-5" w:right="7"/>
        <w:rPr>
          <w:rFonts w:ascii="Times New Roman" w:hAnsi="Times New Roman" w:cs="Times New Roman"/>
          <w:color w:val="000000" w:themeColor="text1"/>
        </w:rPr>
      </w:pPr>
      <w:bookmarkStart w:id="96" w:name="_Toc75336324"/>
      <w:r w:rsidRPr="00E0725E">
        <w:rPr>
          <w:rFonts w:ascii="Times New Roman" w:hAnsi="Times New Roman" w:cs="Times New Roman"/>
          <w:color w:val="000000" w:themeColor="text1"/>
        </w:rPr>
        <w:t>24. Wymogi informacyjne zgodnie z art. 111a ust. 4 ustawy Prawo bankowe</w:t>
      </w:r>
      <w:bookmarkEnd w:id="96"/>
    </w:p>
    <w:p w14:paraId="53CD3812" w14:textId="77777777" w:rsidR="002C50F6" w:rsidRPr="00E0725E" w:rsidRDefault="00E81BF6">
      <w:pPr>
        <w:pStyle w:val="Nagwek2"/>
        <w:ind w:left="-5" w:right="7"/>
        <w:rPr>
          <w:rFonts w:ascii="Times New Roman" w:hAnsi="Times New Roman" w:cs="Times New Roman"/>
          <w:color w:val="000000" w:themeColor="text1"/>
        </w:rPr>
      </w:pPr>
      <w:bookmarkStart w:id="97" w:name="_Toc75336325"/>
      <w:r w:rsidRPr="00E0725E">
        <w:rPr>
          <w:rFonts w:ascii="Times New Roman" w:hAnsi="Times New Roman" w:cs="Times New Roman"/>
          <w:color w:val="000000" w:themeColor="text1"/>
        </w:rPr>
        <w:t>24.1. Opis systemu zarządzania, w tym systemu zarządzania ryzykiem</w:t>
      </w:r>
      <w:bookmarkEnd w:id="97"/>
    </w:p>
    <w:p w14:paraId="02ECFBFC" w14:textId="77777777" w:rsidR="002C50F6" w:rsidRPr="00E0725E" w:rsidRDefault="00E81BF6" w:rsidP="00942B14">
      <w:pPr>
        <w:spacing w:after="0" w:line="276" w:lineRule="auto"/>
        <w:ind w:left="-6" w:right="6" w:hanging="11"/>
        <w:rPr>
          <w:rFonts w:ascii="Times New Roman" w:hAnsi="Times New Roman" w:cs="Times New Roman"/>
          <w:color w:val="000000" w:themeColor="text1"/>
        </w:rPr>
      </w:pPr>
      <w:r w:rsidRPr="00E0725E">
        <w:rPr>
          <w:rFonts w:ascii="Times New Roman" w:hAnsi="Times New Roman" w:cs="Times New Roman"/>
          <w:color w:val="000000" w:themeColor="text1"/>
        </w:rPr>
        <w:t xml:space="preserve">Opis systemu zarządzania zawarto w części </w:t>
      </w:r>
      <w:r w:rsidRPr="00E0725E">
        <w:rPr>
          <w:rFonts w:ascii="Times New Roman" w:hAnsi="Times New Roman" w:cs="Times New Roman"/>
          <w:i/>
          <w:color w:val="000000" w:themeColor="text1"/>
        </w:rPr>
        <w:t xml:space="preserve">2. Cele i strategie w zakresie zarządzania ryzykiem </w:t>
      </w:r>
      <w:r w:rsidRPr="00E0725E">
        <w:rPr>
          <w:rFonts w:ascii="Times New Roman" w:hAnsi="Times New Roman" w:cs="Times New Roman"/>
          <w:color w:val="000000" w:themeColor="text1"/>
        </w:rPr>
        <w:t xml:space="preserve">niniejszego </w:t>
      </w:r>
      <w:r w:rsidRPr="00E0725E">
        <w:rPr>
          <w:rFonts w:ascii="Times New Roman" w:hAnsi="Times New Roman" w:cs="Times New Roman"/>
          <w:i/>
          <w:color w:val="000000" w:themeColor="text1"/>
        </w:rPr>
        <w:t>Ujawnienia</w:t>
      </w:r>
      <w:r w:rsidRPr="00E0725E">
        <w:rPr>
          <w:rFonts w:ascii="Times New Roman" w:hAnsi="Times New Roman" w:cs="Times New Roman"/>
          <w:color w:val="000000" w:themeColor="text1"/>
        </w:rPr>
        <w:t>.</w:t>
      </w:r>
    </w:p>
    <w:p w14:paraId="588BA62C" w14:textId="77777777" w:rsidR="00942B14" w:rsidRPr="00E0725E" w:rsidRDefault="00942B14" w:rsidP="00942B14">
      <w:pPr>
        <w:spacing w:after="0" w:line="276" w:lineRule="auto"/>
        <w:ind w:left="-6" w:right="6" w:hanging="11"/>
        <w:rPr>
          <w:rFonts w:ascii="Times New Roman" w:hAnsi="Times New Roman" w:cs="Times New Roman"/>
          <w:color w:val="000000" w:themeColor="text1"/>
        </w:rPr>
      </w:pPr>
    </w:p>
    <w:p w14:paraId="0072C599" w14:textId="77777777" w:rsidR="002C50F6" w:rsidRPr="00E0725E" w:rsidRDefault="00E81BF6">
      <w:pPr>
        <w:pStyle w:val="Nagwek2"/>
        <w:ind w:left="-5" w:right="7"/>
        <w:rPr>
          <w:rFonts w:ascii="Times New Roman" w:hAnsi="Times New Roman" w:cs="Times New Roman"/>
          <w:color w:val="000000" w:themeColor="text1"/>
        </w:rPr>
      </w:pPr>
      <w:bookmarkStart w:id="98" w:name="_Toc75336326"/>
      <w:r w:rsidRPr="00E0725E">
        <w:rPr>
          <w:rFonts w:ascii="Times New Roman" w:hAnsi="Times New Roman" w:cs="Times New Roman"/>
          <w:color w:val="000000" w:themeColor="text1"/>
        </w:rPr>
        <w:t>24.2. Opis systemu kontroli wewnętrznej</w:t>
      </w:r>
      <w:bookmarkEnd w:id="98"/>
    </w:p>
    <w:p w14:paraId="5ABD715C" w14:textId="77777777" w:rsidR="003A7DD6" w:rsidRPr="00E0725E" w:rsidRDefault="003A7DD6" w:rsidP="003A7DD6">
      <w:pPr>
        <w:spacing w:after="0" w:line="276" w:lineRule="auto"/>
        <w:ind w:left="0" w:right="0" w:firstLine="708"/>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 xml:space="preserve">System kontroli wewnętrznej </w:t>
      </w:r>
      <w:r w:rsidRPr="00E0725E">
        <w:rPr>
          <w:rFonts w:ascii="Times New Roman" w:hAnsi="Times New Roman" w:cs="Times New Roman"/>
          <w:color w:val="000000" w:themeColor="text1"/>
          <w:szCs w:val="24"/>
          <w:lang w:eastAsia="en-US"/>
        </w:rPr>
        <w:t xml:space="preserve">obejmuje wszystkie jednostki organizacyjne Banku oraz </w:t>
      </w:r>
      <w:r w:rsidRPr="00E0725E">
        <w:rPr>
          <w:rFonts w:ascii="Times New Roman" w:eastAsia="Times New Roman" w:hAnsi="Times New Roman" w:cs="Times New Roman"/>
          <w:color w:val="000000" w:themeColor="text1"/>
          <w:szCs w:val="24"/>
        </w:rPr>
        <w:t>jest dostosowany do charakteru i profilu ryzyka, skali działalności i struktury organizacyjnej Banku. System kontroli wewnętrznej funkcjonuje w sposób zapewniający osiąganie celów kontroli wewnętrznej, w tym celów ogólnych oraz celów szczegółowych.</w:t>
      </w:r>
    </w:p>
    <w:p w14:paraId="30B2CD8F" w14:textId="77777777" w:rsidR="003A7DD6" w:rsidRPr="00E0725E" w:rsidRDefault="003A7DD6" w:rsidP="003A7DD6">
      <w:pPr>
        <w:spacing w:after="0" w:line="276" w:lineRule="auto"/>
        <w:ind w:left="0" w:right="0" w:firstLine="0"/>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Cele ogólne systemu kontroli wewnętrznej, to zgodnie z przepisami ustawy – Prawo bankowe zapewnienie:</w:t>
      </w:r>
    </w:p>
    <w:p w14:paraId="5684B972" w14:textId="77777777" w:rsidR="003A7DD6" w:rsidRPr="00E0725E" w:rsidRDefault="003A7DD6" w:rsidP="003B3DA4">
      <w:pPr>
        <w:numPr>
          <w:ilvl w:val="0"/>
          <w:numId w:val="70"/>
        </w:numPr>
        <w:spacing w:after="0" w:line="276" w:lineRule="auto"/>
        <w:ind w:right="0"/>
        <w:jc w:val="left"/>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skuteczności i efektywności działania Banku;</w:t>
      </w:r>
    </w:p>
    <w:p w14:paraId="3CCB23BB" w14:textId="77777777" w:rsidR="003A7DD6" w:rsidRPr="00E0725E" w:rsidRDefault="003A7DD6" w:rsidP="003B3DA4">
      <w:pPr>
        <w:numPr>
          <w:ilvl w:val="0"/>
          <w:numId w:val="70"/>
        </w:numPr>
        <w:spacing w:after="0" w:line="276" w:lineRule="auto"/>
        <w:ind w:right="0"/>
        <w:jc w:val="left"/>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wiarygodności sprawozdawczości finansowej;</w:t>
      </w:r>
    </w:p>
    <w:p w14:paraId="58268430" w14:textId="77777777" w:rsidR="003A7DD6" w:rsidRPr="00E0725E" w:rsidRDefault="003A7DD6" w:rsidP="003B3DA4">
      <w:pPr>
        <w:numPr>
          <w:ilvl w:val="0"/>
          <w:numId w:val="70"/>
        </w:numPr>
        <w:spacing w:after="0" w:line="276" w:lineRule="auto"/>
        <w:ind w:right="0"/>
        <w:jc w:val="left"/>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przestrzegania zasad zarządzania ryzykiem w Banku;</w:t>
      </w:r>
    </w:p>
    <w:p w14:paraId="58AA1BAC" w14:textId="77777777" w:rsidR="003A7DD6" w:rsidRPr="00E0725E" w:rsidRDefault="003A7DD6" w:rsidP="003B3DA4">
      <w:pPr>
        <w:numPr>
          <w:ilvl w:val="0"/>
          <w:numId w:val="70"/>
        </w:numPr>
        <w:spacing w:after="0" w:line="276" w:lineRule="auto"/>
        <w:ind w:right="0"/>
        <w:jc w:val="left"/>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 xml:space="preserve">zgodności działania Banku z przepisami prawa, regulacjami wewnętrznymi </w:t>
      </w:r>
      <w:r w:rsidRPr="00E0725E">
        <w:rPr>
          <w:rFonts w:ascii="Times New Roman" w:eastAsia="Times New Roman" w:hAnsi="Times New Roman" w:cs="Times New Roman"/>
          <w:color w:val="000000" w:themeColor="text1"/>
          <w:szCs w:val="24"/>
        </w:rPr>
        <w:br/>
        <w:t>i standardami rynkowymi.</w:t>
      </w:r>
    </w:p>
    <w:p w14:paraId="10F48774" w14:textId="77777777" w:rsidR="003A7DD6" w:rsidRPr="00E0725E" w:rsidRDefault="003A7DD6" w:rsidP="003A7DD6">
      <w:pPr>
        <w:spacing w:after="0" w:line="276" w:lineRule="auto"/>
        <w:ind w:left="0" w:right="0" w:firstLine="0"/>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 xml:space="preserve">Cele szczegółowe systemu kontroli wewnętrznej Bank wyodrębnia w ramach celów ogólnych, </w:t>
      </w:r>
      <w:r w:rsidRPr="00E0725E">
        <w:rPr>
          <w:rFonts w:ascii="Times New Roman" w:eastAsia="Times New Roman" w:hAnsi="Times New Roman" w:cs="Times New Roman"/>
          <w:color w:val="000000" w:themeColor="text1"/>
          <w:szCs w:val="24"/>
        </w:rPr>
        <w:br/>
        <w:t>z uwzględnieniem następujących aspektów:</w:t>
      </w:r>
    </w:p>
    <w:p w14:paraId="0FFD2B2F" w14:textId="77777777" w:rsidR="003A7DD6" w:rsidRPr="00E0725E" w:rsidRDefault="003A7DD6" w:rsidP="003B3DA4">
      <w:pPr>
        <w:numPr>
          <w:ilvl w:val="0"/>
          <w:numId w:val="71"/>
        </w:numPr>
        <w:spacing w:after="0" w:line="276" w:lineRule="auto"/>
        <w:ind w:right="0"/>
        <w:jc w:val="left"/>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zakresu i stopnia z</w:t>
      </w:r>
      <w:r w:rsidRPr="00E0725E">
        <w:rPr>
          <w:rFonts w:ascii="Times New Roman" w:eastAsia="Times New Roman" w:hAnsi="Times New Roman" w:cs="Times New Roman" w:hint="eastAsia"/>
          <w:color w:val="000000" w:themeColor="text1"/>
          <w:szCs w:val="24"/>
        </w:rPr>
        <w:t>ł</w:t>
      </w:r>
      <w:r w:rsidRPr="00E0725E">
        <w:rPr>
          <w:rFonts w:ascii="Times New Roman" w:eastAsia="Times New Roman" w:hAnsi="Times New Roman" w:cs="Times New Roman"/>
          <w:color w:val="000000" w:themeColor="text1"/>
          <w:szCs w:val="24"/>
        </w:rPr>
        <w:t>o</w:t>
      </w:r>
      <w:r w:rsidRPr="00E0725E">
        <w:rPr>
          <w:rFonts w:ascii="Times New Roman" w:eastAsia="Times New Roman" w:hAnsi="Times New Roman" w:cs="Times New Roman" w:hint="eastAsia"/>
          <w:color w:val="000000" w:themeColor="text1"/>
          <w:szCs w:val="24"/>
        </w:rPr>
        <w:t>ż</w:t>
      </w:r>
      <w:r w:rsidRPr="00E0725E">
        <w:rPr>
          <w:rFonts w:ascii="Times New Roman" w:eastAsia="Times New Roman" w:hAnsi="Times New Roman" w:cs="Times New Roman"/>
          <w:color w:val="000000" w:themeColor="text1"/>
          <w:szCs w:val="24"/>
        </w:rPr>
        <w:t>ono</w:t>
      </w:r>
      <w:r w:rsidRPr="00E0725E">
        <w:rPr>
          <w:rFonts w:ascii="Times New Roman" w:eastAsia="Times New Roman" w:hAnsi="Times New Roman" w:cs="Times New Roman" w:hint="eastAsia"/>
          <w:color w:val="000000" w:themeColor="text1"/>
          <w:szCs w:val="24"/>
        </w:rPr>
        <w:t>ś</w:t>
      </w:r>
      <w:r w:rsidRPr="00E0725E">
        <w:rPr>
          <w:rFonts w:ascii="Times New Roman" w:eastAsia="Times New Roman" w:hAnsi="Times New Roman" w:cs="Times New Roman"/>
          <w:color w:val="000000" w:themeColor="text1"/>
          <w:szCs w:val="24"/>
        </w:rPr>
        <w:t>ci dzia</w:t>
      </w:r>
      <w:r w:rsidRPr="00E0725E">
        <w:rPr>
          <w:rFonts w:ascii="Times New Roman" w:eastAsia="Times New Roman" w:hAnsi="Times New Roman" w:cs="Times New Roman" w:hint="eastAsia"/>
          <w:color w:val="000000" w:themeColor="text1"/>
          <w:szCs w:val="24"/>
        </w:rPr>
        <w:t>ł</w:t>
      </w:r>
      <w:r w:rsidRPr="00E0725E">
        <w:rPr>
          <w:rFonts w:ascii="Times New Roman" w:eastAsia="Times New Roman" w:hAnsi="Times New Roman" w:cs="Times New Roman"/>
          <w:color w:val="000000" w:themeColor="text1"/>
          <w:szCs w:val="24"/>
        </w:rPr>
        <w:t>alno</w:t>
      </w:r>
      <w:r w:rsidRPr="00E0725E">
        <w:rPr>
          <w:rFonts w:ascii="Times New Roman" w:eastAsia="Times New Roman" w:hAnsi="Times New Roman" w:cs="Times New Roman" w:hint="eastAsia"/>
          <w:color w:val="000000" w:themeColor="text1"/>
          <w:szCs w:val="24"/>
        </w:rPr>
        <w:t>ś</w:t>
      </w:r>
      <w:r w:rsidRPr="00E0725E">
        <w:rPr>
          <w:rFonts w:ascii="Times New Roman" w:eastAsia="Times New Roman" w:hAnsi="Times New Roman" w:cs="Times New Roman"/>
          <w:color w:val="000000" w:themeColor="text1"/>
          <w:szCs w:val="24"/>
        </w:rPr>
        <w:t>ci Banku,</w:t>
      </w:r>
    </w:p>
    <w:p w14:paraId="7E6E6CD5" w14:textId="77777777" w:rsidR="003A7DD6" w:rsidRPr="00E0725E" w:rsidRDefault="003A7DD6" w:rsidP="003B3DA4">
      <w:pPr>
        <w:numPr>
          <w:ilvl w:val="0"/>
          <w:numId w:val="71"/>
        </w:numPr>
        <w:spacing w:after="0" w:line="276" w:lineRule="auto"/>
        <w:ind w:right="0"/>
        <w:jc w:val="left"/>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zakresu stosowania okre</w:t>
      </w:r>
      <w:r w:rsidRPr="00E0725E">
        <w:rPr>
          <w:rFonts w:ascii="Times New Roman" w:eastAsia="Times New Roman" w:hAnsi="Times New Roman" w:cs="Times New Roman" w:hint="eastAsia"/>
          <w:color w:val="000000" w:themeColor="text1"/>
          <w:szCs w:val="24"/>
        </w:rPr>
        <w:t>ś</w:t>
      </w:r>
      <w:r w:rsidRPr="00E0725E">
        <w:rPr>
          <w:rFonts w:ascii="Times New Roman" w:eastAsia="Times New Roman" w:hAnsi="Times New Roman" w:cs="Times New Roman"/>
          <w:color w:val="000000" w:themeColor="text1"/>
          <w:szCs w:val="24"/>
        </w:rPr>
        <w:t>lonych przepisów prawa, standardów rynkowych oraz obowi</w:t>
      </w:r>
      <w:r w:rsidRPr="00E0725E">
        <w:rPr>
          <w:rFonts w:ascii="Times New Roman" w:eastAsia="Times New Roman" w:hAnsi="Times New Roman" w:cs="Times New Roman" w:hint="eastAsia"/>
          <w:color w:val="000000" w:themeColor="text1"/>
          <w:szCs w:val="24"/>
        </w:rPr>
        <w:t>ą</w:t>
      </w:r>
      <w:r w:rsidRPr="00E0725E">
        <w:rPr>
          <w:rFonts w:ascii="Times New Roman" w:eastAsia="Times New Roman" w:hAnsi="Times New Roman" w:cs="Times New Roman"/>
          <w:color w:val="000000" w:themeColor="text1"/>
          <w:szCs w:val="24"/>
        </w:rPr>
        <w:t>zuj</w:t>
      </w:r>
      <w:r w:rsidRPr="00E0725E">
        <w:rPr>
          <w:rFonts w:ascii="Times New Roman" w:eastAsia="Times New Roman" w:hAnsi="Times New Roman" w:cs="Times New Roman" w:hint="eastAsia"/>
          <w:color w:val="000000" w:themeColor="text1"/>
          <w:szCs w:val="24"/>
        </w:rPr>
        <w:t>ą</w:t>
      </w:r>
      <w:r w:rsidRPr="00E0725E">
        <w:rPr>
          <w:rFonts w:ascii="Times New Roman" w:eastAsia="Times New Roman" w:hAnsi="Times New Roman" w:cs="Times New Roman"/>
          <w:color w:val="000000" w:themeColor="text1"/>
          <w:szCs w:val="24"/>
        </w:rPr>
        <w:t>cych w Banku regulacji wewn</w:t>
      </w:r>
      <w:r w:rsidRPr="00E0725E">
        <w:rPr>
          <w:rFonts w:ascii="Times New Roman" w:eastAsia="Times New Roman" w:hAnsi="Times New Roman" w:cs="Times New Roman" w:hint="eastAsia"/>
          <w:color w:val="000000" w:themeColor="text1"/>
          <w:szCs w:val="24"/>
        </w:rPr>
        <w:t>ę</w:t>
      </w:r>
      <w:r w:rsidRPr="00E0725E">
        <w:rPr>
          <w:rFonts w:ascii="Times New Roman" w:eastAsia="Times New Roman" w:hAnsi="Times New Roman" w:cs="Times New Roman"/>
          <w:color w:val="000000" w:themeColor="text1"/>
          <w:szCs w:val="24"/>
        </w:rPr>
        <w:t>trznych, do których przestrzegania zobowi</w:t>
      </w:r>
      <w:r w:rsidRPr="00E0725E">
        <w:rPr>
          <w:rFonts w:ascii="Times New Roman" w:eastAsia="Times New Roman" w:hAnsi="Times New Roman" w:cs="Times New Roman" w:hint="eastAsia"/>
          <w:color w:val="000000" w:themeColor="text1"/>
          <w:szCs w:val="24"/>
        </w:rPr>
        <w:t>ą</w:t>
      </w:r>
      <w:r w:rsidRPr="00E0725E">
        <w:rPr>
          <w:rFonts w:ascii="Times New Roman" w:eastAsia="Times New Roman" w:hAnsi="Times New Roman" w:cs="Times New Roman"/>
          <w:color w:val="000000" w:themeColor="text1"/>
          <w:szCs w:val="24"/>
        </w:rPr>
        <w:t>zany jest Bank,</w:t>
      </w:r>
    </w:p>
    <w:p w14:paraId="6D522182" w14:textId="77777777" w:rsidR="003A7DD6" w:rsidRPr="00E0725E" w:rsidRDefault="003A7DD6" w:rsidP="003B3DA4">
      <w:pPr>
        <w:numPr>
          <w:ilvl w:val="0"/>
          <w:numId w:val="71"/>
        </w:numPr>
        <w:spacing w:after="0" w:line="276" w:lineRule="auto"/>
        <w:ind w:right="0"/>
        <w:jc w:val="left"/>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konieczności osi</w:t>
      </w:r>
      <w:r w:rsidRPr="00E0725E">
        <w:rPr>
          <w:rFonts w:ascii="Times New Roman" w:eastAsia="Times New Roman" w:hAnsi="Times New Roman" w:cs="Times New Roman" w:hint="eastAsia"/>
          <w:color w:val="000000" w:themeColor="text1"/>
          <w:szCs w:val="24"/>
        </w:rPr>
        <w:t>ą</w:t>
      </w:r>
      <w:r w:rsidRPr="00E0725E">
        <w:rPr>
          <w:rFonts w:ascii="Times New Roman" w:eastAsia="Times New Roman" w:hAnsi="Times New Roman" w:cs="Times New Roman"/>
          <w:color w:val="000000" w:themeColor="text1"/>
          <w:szCs w:val="24"/>
        </w:rPr>
        <w:t>gania odpowiedniego stopnia realizacji planów operacyjnych i biznesowych przyj</w:t>
      </w:r>
      <w:r w:rsidRPr="00E0725E">
        <w:rPr>
          <w:rFonts w:ascii="Times New Roman" w:eastAsia="Times New Roman" w:hAnsi="Times New Roman" w:cs="Times New Roman" w:hint="eastAsia"/>
          <w:color w:val="000000" w:themeColor="text1"/>
          <w:szCs w:val="24"/>
        </w:rPr>
        <w:t>ę</w:t>
      </w:r>
      <w:r w:rsidRPr="00E0725E">
        <w:rPr>
          <w:rFonts w:ascii="Times New Roman" w:eastAsia="Times New Roman" w:hAnsi="Times New Roman" w:cs="Times New Roman"/>
          <w:color w:val="000000" w:themeColor="text1"/>
          <w:szCs w:val="24"/>
        </w:rPr>
        <w:t>tych w Banku,</w:t>
      </w:r>
    </w:p>
    <w:p w14:paraId="02DC7B6E" w14:textId="77777777" w:rsidR="003A7DD6" w:rsidRPr="00E0725E" w:rsidRDefault="003A7DD6" w:rsidP="003B3DA4">
      <w:pPr>
        <w:numPr>
          <w:ilvl w:val="0"/>
          <w:numId w:val="71"/>
        </w:numPr>
        <w:spacing w:after="0" w:line="276" w:lineRule="auto"/>
        <w:ind w:right="0"/>
        <w:jc w:val="left"/>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konieczności zachowania kompletno</w:t>
      </w:r>
      <w:r w:rsidRPr="00E0725E">
        <w:rPr>
          <w:rFonts w:ascii="Times New Roman" w:eastAsia="Times New Roman" w:hAnsi="Times New Roman" w:cs="Times New Roman" w:hint="eastAsia"/>
          <w:color w:val="000000" w:themeColor="text1"/>
          <w:szCs w:val="24"/>
        </w:rPr>
        <w:t>ści</w:t>
      </w:r>
      <w:r w:rsidRPr="00E0725E">
        <w:rPr>
          <w:rFonts w:ascii="Times New Roman" w:eastAsia="Times New Roman" w:hAnsi="Times New Roman" w:cs="Times New Roman"/>
          <w:color w:val="000000" w:themeColor="text1"/>
          <w:szCs w:val="24"/>
        </w:rPr>
        <w:t>, prawid</w:t>
      </w:r>
      <w:r w:rsidRPr="00E0725E">
        <w:rPr>
          <w:rFonts w:ascii="Times New Roman" w:eastAsia="Times New Roman" w:hAnsi="Times New Roman" w:cs="Times New Roman" w:hint="eastAsia"/>
          <w:color w:val="000000" w:themeColor="text1"/>
          <w:szCs w:val="24"/>
        </w:rPr>
        <w:t>ł</w:t>
      </w:r>
      <w:r w:rsidRPr="00E0725E">
        <w:rPr>
          <w:rFonts w:ascii="Times New Roman" w:eastAsia="Times New Roman" w:hAnsi="Times New Roman" w:cs="Times New Roman"/>
          <w:color w:val="000000" w:themeColor="text1"/>
          <w:szCs w:val="24"/>
        </w:rPr>
        <w:t>owo</w:t>
      </w:r>
      <w:r w:rsidRPr="00E0725E">
        <w:rPr>
          <w:rFonts w:ascii="Times New Roman" w:eastAsia="Times New Roman" w:hAnsi="Times New Roman" w:cs="Times New Roman" w:hint="eastAsia"/>
          <w:color w:val="000000" w:themeColor="text1"/>
          <w:szCs w:val="24"/>
        </w:rPr>
        <w:t>ści</w:t>
      </w:r>
      <w:r w:rsidRPr="00E0725E">
        <w:rPr>
          <w:rFonts w:ascii="Times New Roman" w:eastAsia="Times New Roman" w:hAnsi="Times New Roman" w:cs="Times New Roman"/>
          <w:color w:val="000000" w:themeColor="text1"/>
          <w:szCs w:val="24"/>
        </w:rPr>
        <w:t xml:space="preserve"> i kompleksowo</w:t>
      </w:r>
      <w:r w:rsidRPr="00E0725E">
        <w:rPr>
          <w:rFonts w:ascii="Times New Roman" w:eastAsia="Times New Roman" w:hAnsi="Times New Roman" w:cs="Times New Roman" w:hint="eastAsia"/>
          <w:color w:val="000000" w:themeColor="text1"/>
          <w:szCs w:val="24"/>
        </w:rPr>
        <w:t>ści</w:t>
      </w:r>
      <w:r w:rsidRPr="00E0725E">
        <w:rPr>
          <w:rFonts w:ascii="Times New Roman" w:eastAsia="Times New Roman" w:hAnsi="Times New Roman" w:cs="Times New Roman"/>
          <w:color w:val="000000" w:themeColor="text1"/>
          <w:szCs w:val="24"/>
        </w:rPr>
        <w:t xml:space="preserve"> procedur ksi</w:t>
      </w:r>
      <w:r w:rsidRPr="00E0725E">
        <w:rPr>
          <w:rFonts w:ascii="Times New Roman" w:eastAsia="Times New Roman" w:hAnsi="Times New Roman" w:cs="Times New Roman" w:hint="eastAsia"/>
          <w:color w:val="000000" w:themeColor="text1"/>
          <w:szCs w:val="24"/>
        </w:rPr>
        <w:t>ę</w:t>
      </w:r>
      <w:r w:rsidRPr="00E0725E">
        <w:rPr>
          <w:rFonts w:ascii="Times New Roman" w:eastAsia="Times New Roman" w:hAnsi="Times New Roman" w:cs="Times New Roman"/>
          <w:color w:val="000000" w:themeColor="text1"/>
          <w:szCs w:val="24"/>
        </w:rPr>
        <w:t>gowych,</w:t>
      </w:r>
    </w:p>
    <w:p w14:paraId="5F77E088" w14:textId="77777777" w:rsidR="003A7DD6" w:rsidRPr="00E0725E" w:rsidRDefault="003A7DD6" w:rsidP="003B3DA4">
      <w:pPr>
        <w:numPr>
          <w:ilvl w:val="0"/>
          <w:numId w:val="71"/>
        </w:numPr>
        <w:spacing w:after="0" w:line="276" w:lineRule="auto"/>
        <w:ind w:right="0"/>
        <w:jc w:val="left"/>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konieczności zachowania odpowiedniej jako</w:t>
      </w:r>
      <w:r w:rsidRPr="00E0725E">
        <w:rPr>
          <w:rFonts w:ascii="Times New Roman" w:eastAsia="Times New Roman" w:hAnsi="Times New Roman" w:cs="Times New Roman" w:hint="eastAsia"/>
          <w:color w:val="000000" w:themeColor="text1"/>
          <w:szCs w:val="24"/>
        </w:rPr>
        <w:t>ści</w:t>
      </w:r>
      <w:r w:rsidRPr="00E0725E">
        <w:rPr>
          <w:rFonts w:ascii="Times New Roman" w:eastAsia="Times New Roman" w:hAnsi="Times New Roman" w:cs="Times New Roman"/>
          <w:color w:val="000000" w:themeColor="text1"/>
          <w:szCs w:val="24"/>
        </w:rPr>
        <w:t xml:space="preserve"> (dok</w:t>
      </w:r>
      <w:r w:rsidRPr="00E0725E">
        <w:rPr>
          <w:rFonts w:ascii="Times New Roman" w:eastAsia="Times New Roman" w:hAnsi="Times New Roman" w:cs="Times New Roman" w:hint="eastAsia"/>
          <w:color w:val="000000" w:themeColor="text1"/>
          <w:szCs w:val="24"/>
        </w:rPr>
        <w:t>ł</w:t>
      </w:r>
      <w:r w:rsidRPr="00E0725E">
        <w:rPr>
          <w:rFonts w:ascii="Times New Roman" w:eastAsia="Times New Roman" w:hAnsi="Times New Roman" w:cs="Times New Roman"/>
          <w:color w:val="000000" w:themeColor="text1"/>
          <w:szCs w:val="24"/>
        </w:rPr>
        <w:t>adno</w:t>
      </w:r>
      <w:r w:rsidRPr="00E0725E">
        <w:rPr>
          <w:rFonts w:ascii="Times New Roman" w:eastAsia="Times New Roman" w:hAnsi="Times New Roman" w:cs="Times New Roman" w:hint="eastAsia"/>
          <w:color w:val="000000" w:themeColor="text1"/>
          <w:szCs w:val="24"/>
        </w:rPr>
        <w:t>ść</w:t>
      </w:r>
      <w:r w:rsidRPr="00E0725E">
        <w:rPr>
          <w:rFonts w:ascii="Times New Roman" w:eastAsia="Times New Roman" w:hAnsi="Times New Roman" w:cs="Times New Roman"/>
          <w:color w:val="000000" w:themeColor="text1"/>
          <w:szCs w:val="24"/>
        </w:rPr>
        <w:t xml:space="preserve"> i niezawodno</w:t>
      </w:r>
      <w:r w:rsidRPr="00E0725E">
        <w:rPr>
          <w:rFonts w:ascii="Times New Roman" w:eastAsia="Times New Roman" w:hAnsi="Times New Roman" w:cs="Times New Roman" w:hint="eastAsia"/>
          <w:color w:val="000000" w:themeColor="text1"/>
          <w:szCs w:val="24"/>
        </w:rPr>
        <w:t>ść</w:t>
      </w:r>
      <w:r w:rsidRPr="00E0725E">
        <w:rPr>
          <w:rFonts w:ascii="Times New Roman" w:eastAsia="Times New Roman" w:hAnsi="Times New Roman" w:cs="Times New Roman"/>
          <w:color w:val="000000" w:themeColor="text1"/>
          <w:szCs w:val="24"/>
        </w:rPr>
        <w:t>) systemów: ksi</w:t>
      </w:r>
      <w:r w:rsidRPr="00E0725E">
        <w:rPr>
          <w:rFonts w:ascii="Times New Roman" w:eastAsia="Times New Roman" w:hAnsi="Times New Roman" w:cs="Times New Roman" w:hint="eastAsia"/>
          <w:color w:val="000000" w:themeColor="text1"/>
          <w:szCs w:val="24"/>
        </w:rPr>
        <w:t>ę</w:t>
      </w:r>
      <w:r w:rsidRPr="00E0725E">
        <w:rPr>
          <w:rFonts w:ascii="Times New Roman" w:eastAsia="Times New Roman" w:hAnsi="Times New Roman" w:cs="Times New Roman"/>
          <w:color w:val="000000" w:themeColor="text1"/>
          <w:szCs w:val="24"/>
        </w:rPr>
        <w:t>gowego, sprawozdawczego i operacyjnego,</w:t>
      </w:r>
    </w:p>
    <w:p w14:paraId="14EDBCBE" w14:textId="77777777" w:rsidR="003A7DD6" w:rsidRPr="00E0725E" w:rsidRDefault="003A7DD6" w:rsidP="003B3DA4">
      <w:pPr>
        <w:numPr>
          <w:ilvl w:val="0"/>
          <w:numId w:val="71"/>
        </w:numPr>
        <w:spacing w:after="0" w:line="276" w:lineRule="auto"/>
        <w:ind w:right="0"/>
        <w:jc w:val="left"/>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lastRenderedPageBreak/>
        <w:t>zapewnienia odpowiedniej adekwatno</w:t>
      </w:r>
      <w:r w:rsidRPr="00E0725E">
        <w:rPr>
          <w:rFonts w:ascii="Times New Roman" w:eastAsia="Times New Roman" w:hAnsi="Times New Roman" w:cs="Times New Roman" w:hint="eastAsia"/>
          <w:color w:val="000000" w:themeColor="text1"/>
          <w:szCs w:val="24"/>
        </w:rPr>
        <w:t>ści</w:t>
      </w:r>
      <w:r w:rsidRPr="00E0725E">
        <w:rPr>
          <w:rFonts w:ascii="Times New Roman" w:eastAsia="Times New Roman" w:hAnsi="Times New Roman" w:cs="Times New Roman"/>
          <w:color w:val="000000" w:themeColor="text1"/>
          <w:szCs w:val="24"/>
        </w:rPr>
        <w:t>, funkcjonalno</w:t>
      </w:r>
      <w:r w:rsidRPr="00E0725E">
        <w:rPr>
          <w:rFonts w:ascii="Times New Roman" w:eastAsia="Times New Roman" w:hAnsi="Times New Roman" w:cs="Times New Roman" w:hint="eastAsia"/>
          <w:color w:val="000000" w:themeColor="text1"/>
          <w:szCs w:val="24"/>
        </w:rPr>
        <w:t>ści</w:t>
      </w:r>
      <w:r w:rsidRPr="00E0725E">
        <w:rPr>
          <w:rFonts w:ascii="Times New Roman" w:eastAsia="Times New Roman" w:hAnsi="Times New Roman" w:cs="Times New Roman"/>
          <w:color w:val="000000" w:themeColor="text1"/>
          <w:szCs w:val="24"/>
        </w:rPr>
        <w:t xml:space="preserve"> i bezpiecze</w:t>
      </w:r>
      <w:r w:rsidRPr="00E0725E">
        <w:rPr>
          <w:rFonts w:ascii="Times New Roman" w:eastAsia="Times New Roman" w:hAnsi="Times New Roman" w:cs="Times New Roman" w:hint="eastAsia"/>
          <w:color w:val="000000" w:themeColor="text1"/>
          <w:szCs w:val="24"/>
        </w:rPr>
        <w:t>ń</w:t>
      </w:r>
      <w:r w:rsidRPr="00E0725E">
        <w:rPr>
          <w:rFonts w:ascii="Times New Roman" w:eastAsia="Times New Roman" w:hAnsi="Times New Roman" w:cs="Times New Roman"/>
          <w:color w:val="000000" w:themeColor="text1"/>
          <w:szCs w:val="24"/>
        </w:rPr>
        <w:t xml:space="preserve">stwa </w:t>
      </w:r>
      <w:r w:rsidRPr="00E0725E">
        <w:rPr>
          <w:rFonts w:ascii="Times New Roman" w:eastAsia="Times New Roman" w:hAnsi="Times New Roman" w:cs="Times New Roman" w:hint="eastAsia"/>
          <w:color w:val="000000" w:themeColor="text1"/>
          <w:szCs w:val="24"/>
        </w:rPr>
        <w:t>ś</w:t>
      </w:r>
      <w:r w:rsidRPr="00E0725E">
        <w:rPr>
          <w:rFonts w:ascii="Times New Roman" w:eastAsia="Times New Roman" w:hAnsi="Times New Roman" w:cs="Times New Roman"/>
          <w:color w:val="000000" w:themeColor="text1"/>
          <w:szCs w:val="24"/>
        </w:rPr>
        <w:t>rodowiska teleinformatycznego,</w:t>
      </w:r>
    </w:p>
    <w:p w14:paraId="7F6E8EC0" w14:textId="77777777" w:rsidR="003A7DD6" w:rsidRPr="00E0725E" w:rsidRDefault="003A7DD6" w:rsidP="003B3DA4">
      <w:pPr>
        <w:numPr>
          <w:ilvl w:val="0"/>
          <w:numId w:val="71"/>
        </w:numPr>
        <w:spacing w:after="0" w:line="276" w:lineRule="auto"/>
        <w:ind w:right="0"/>
        <w:jc w:val="left"/>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konieczności posiadania odpowiedniej struktury organizacyjnej Banku, zachowania podzia</w:t>
      </w:r>
      <w:r w:rsidRPr="00E0725E">
        <w:rPr>
          <w:rFonts w:ascii="Times New Roman" w:eastAsia="Times New Roman" w:hAnsi="Times New Roman" w:cs="Times New Roman" w:hint="eastAsia"/>
          <w:color w:val="000000" w:themeColor="text1"/>
          <w:szCs w:val="24"/>
        </w:rPr>
        <w:t>ł</w:t>
      </w:r>
      <w:r w:rsidRPr="00E0725E">
        <w:rPr>
          <w:rFonts w:ascii="Times New Roman" w:eastAsia="Times New Roman" w:hAnsi="Times New Roman" w:cs="Times New Roman"/>
          <w:color w:val="000000" w:themeColor="text1"/>
          <w:szCs w:val="24"/>
        </w:rPr>
        <w:t>u kompetencji i zasady koordynacji dzia</w:t>
      </w:r>
      <w:r w:rsidRPr="00E0725E">
        <w:rPr>
          <w:rFonts w:ascii="Times New Roman" w:eastAsia="Times New Roman" w:hAnsi="Times New Roman" w:cs="Times New Roman" w:hint="eastAsia"/>
          <w:color w:val="000000" w:themeColor="text1"/>
          <w:szCs w:val="24"/>
        </w:rPr>
        <w:t>ł</w:t>
      </w:r>
      <w:r w:rsidRPr="00E0725E">
        <w:rPr>
          <w:rFonts w:ascii="Times New Roman" w:eastAsia="Times New Roman" w:hAnsi="Times New Roman" w:cs="Times New Roman"/>
          <w:color w:val="000000" w:themeColor="text1"/>
          <w:szCs w:val="24"/>
        </w:rPr>
        <w:t>a</w:t>
      </w:r>
      <w:r w:rsidRPr="00E0725E">
        <w:rPr>
          <w:rFonts w:ascii="Times New Roman" w:eastAsia="Times New Roman" w:hAnsi="Times New Roman" w:cs="Times New Roman" w:hint="eastAsia"/>
          <w:color w:val="000000" w:themeColor="text1"/>
          <w:szCs w:val="24"/>
        </w:rPr>
        <w:t>ń</w:t>
      </w:r>
      <w:r w:rsidRPr="00E0725E">
        <w:rPr>
          <w:rFonts w:ascii="Times New Roman" w:eastAsia="Times New Roman" w:hAnsi="Times New Roman" w:cs="Times New Roman"/>
          <w:color w:val="000000" w:themeColor="text1"/>
          <w:szCs w:val="24"/>
        </w:rPr>
        <w:t xml:space="preserve"> pomi</w:t>
      </w:r>
      <w:r w:rsidRPr="00E0725E">
        <w:rPr>
          <w:rFonts w:ascii="Times New Roman" w:eastAsia="Times New Roman" w:hAnsi="Times New Roman" w:cs="Times New Roman" w:hint="eastAsia"/>
          <w:color w:val="000000" w:themeColor="text1"/>
          <w:szCs w:val="24"/>
        </w:rPr>
        <w:t>ę</w:t>
      </w:r>
      <w:r w:rsidRPr="00E0725E">
        <w:rPr>
          <w:rFonts w:ascii="Times New Roman" w:eastAsia="Times New Roman" w:hAnsi="Times New Roman" w:cs="Times New Roman"/>
          <w:color w:val="000000" w:themeColor="text1"/>
          <w:szCs w:val="24"/>
        </w:rPr>
        <w:t>dzy poszczególnymi jednostkami, komórkami, stanowiskami organizacyjnymi, a tak</w:t>
      </w:r>
      <w:r w:rsidRPr="00E0725E">
        <w:rPr>
          <w:rFonts w:ascii="Times New Roman" w:eastAsia="Times New Roman" w:hAnsi="Times New Roman" w:cs="Times New Roman" w:hint="eastAsia"/>
          <w:color w:val="000000" w:themeColor="text1"/>
          <w:szCs w:val="24"/>
        </w:rPr>
        <w:t>ż</w:t>
      </w:r>
      <w:r w:rsidRPr="00E0725E">
        <w:rPr>
          <w:rFonts w:ascii="Times New Roman" w:eastAsia="Times New Roman" w:hAnsi="Times New Roman" w:cs="Times New Roman"/>
          <w:color w:val="000000" w:themeColor="text1"/>
          <w:szCs w:val="24"/>
        </w:rPr>
        <w:t xml:space="preserve">e systemu tworzenia </w:t>
      </w:r>
      <w:r w:rsidRPr="00E0725E">
        <w:rPr>
          <w:rFonts w:ascii="Times New Roman" w:eastAsia="Times New Roman" w:hAnsi="Times New Roman" w:cs="Times New Roman"/>
          <w:color w:val="000000" w:themeColor="text1"/>
          <w:szCs w:val="24"/>
        </w:rPr>
        <w:br/>
        <w:t>i obiegu dokumentów i informacji,</w:t>
      </w:r>
    </w:p>
    <w:p w14:paraId="4F6751C3" w14:textId="77777777" w:rsidR="003A7DD6" w:rsidRPr="00E0725E" w:rsidRDefault="003A7DD6" w:rsidP="003B3DA4">
      <w:pPr>
        <w:numPr>
          <w:ilvl w:val="0"/>
          <w:numId w:val="71"/>
        </w:numPr>
        <w:spacing w:after="0" w:line="276" w:lineRule="auto"/>
        <w:ind w:right="0"/>
        <w:jc w:val="left"/>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zakresu czynno</w:t>
      </w:r>
      <w:r w:rsidRPr="00E0725E">
        <w:rPr>
          <w:rFonts w:ascii="Times New Roman" w:eastAsia="Times New Roman" w:hAnsi="Times New Roman" w:cs="Times New Roman" w:hint="eastAsia"/>
          <w:color w:val="000000" w:themeColor="text1"/>
          <w:szCs w:val="24"/>
        </w:rPr>
        <w:t>ś</w:t>
      </w:r>
      <w:r w:rsidRPr="00E0725E">
        <w:rPr>
          <w:rFonts w:ascii="Times New Roman" w:eastAsia="Times New Roman" w:hAnsi="Times New Roman" w:cs="Times New Roman"/>
          <w:color w:val="000000" w:themeColor="text1"/>
          <w:szCs w:val="24"/>
        </w:rPr>
        <w:t>ci powierzonych przez Bank do wykonania podmiotom zewn</w:t>
      </w:r>
      <w:r w:rsidRPr="00E0725E">
        <w:rPr>
          <w:rFonts w:ascii="Times New Roman" w:eastAsia="Times New Roman" w:hAnsi="Times New Roman" w:cs="Times New Roman" w:hint="eastAsia"/>
          <w:color w:val="000000" w:themeColor="text1"/>
          <w:szCs w:val="24"/>
        </w:rPr>
        <w:t>ę</w:t>
      </w:r>
      <w:r w:rsidRPr="00E0725E">
        <w:rPr>
          <w:rFonts w:ascii="Times New Roman" w:eastAsia="Times New Roman" w:hAnsi="Times New Roman" w:cs="Times New Roman"/>
          <w:color w:val="000000" w:themeColor="text1"/>
          <w:szCs w:val="24"/>
        </w:rPr>
        <w:t>trznym oraz ich wp</w:t>
      </w:r>
      <w:r w:rsidRPr="00E0725E">
        <w:rPr>
          <w:rFonts w:ascii="Times New Roman" w:eastAsia="Times New Roman" w:hAnsi="Times New Roman" w:cs="Times New Roman" w:hint="eastAsia"/>
          <w:color w:val="000000" w:themeColor="text1"/>
          <w:szCs w:val="24"/>
        </w:rPr>
        <w:t>ł</w:t>
      </w:r>
      <w:r w:rsidRPr="00E0725E">
        <w:rPr>
          <w:rFonts w:ascii="Times New Roman" w:eastAsia="Times New Roman" w:hAnsi="Times New Roman" w:cs="Times New Roman"/>
          <w:color w:val="000000" w:themeColor="text1"/>
          <w:szCs w:val="24"/>
        </w:rPr>
        <w:t>ywu na skuteczno</w:t>
      </w:r>
      <w:r w:rsidRPr="00E0725E">
        <w:rPr>
          <w:rFonts w:ascii="Times New Roman" w:eastAsia="Times New Roman" w:hAnsi="Times New Roman" w:cs="Times New Roman" w:hint="eastAsia"/>
          <w:color w:val="000000" w:themeColor="text1"/>
          <w:szCs w:val="24"/>
        </w:rPr>
        <w:t>ść</w:t>
      </w:r>
      <w:r w:rsidRPr="00E0725E">
        <w:rPr>
          <w:rFonts w:ascii="Times New Roman" w:eastAsia="Times New Roman" w:hAnsi="Times New Roman" w:cs="Times New Roman"/>
          <w:color w:val="000000" w:themeColor="text1"/>
          <w:szCs w:val="24"/>
        </w:rPr>
        <w:t xml:space="preserve"> systemu kontroli wewn</w:t>
      </w:r>
      <w:r w:rsidRPr="00E0725E">
        <w:rPr>
          <w:rFonts w:ascii="Times New Roman" w:eastAsia="Times New Roman" w:hAnsi="Times New Roman" w:cs="Times New Roman" w:hint="eastAsia"/>
          <w:color w:val="000000" w:themeColor="text1"/>
          <w:szCs w:val="24"/>
        </w:rPr>
        <w:t>ę</w:t>
      </w:r>
      <w:r w:rsidRPr="00E0725E">
        <w:rPr>
          <w:rFonts w:ascii="Times New Roman" w:eastAsia="Times New Roman" w:hAnsi="Times New Roman" w:cs="Times New Roman"/>
          <w:color w:val="000000" w:themeColor="text1"/>
          <w:szCs w:val="24"/>
        </w:rPr>
        <w:t>trznej w Banku.</w:t>
      </w:r>
    </w:p>
    <w:p w14:paraId="49B882FA" w14:textId="77777777" w:rsidR="003A7DD6" w:rsidRPr="00E0725E" w:rsidRDefault="003A7DD6" w:rsidP="003A7DD6">
      <w:pPr>
        <w:suppressAutoHyphens/>
        <w:spacing w:after="0" w:line="276" w:lineRule="auto"/>
        <w:ind w:left="0" w:right="0" w:firstLine="0"/>
        <w:rPr>
          <w:rFonts w:ascii="Times New Roman" w:eastAsia="Times New Roman" w:hAnsi="Times New Roman" w:cs="Times New Roman"/>
          <w:b/>
          <w:color w:val="000000" w:themeColor="text1"/>
          <w:szCs w:val="24"/>
        </w:rPr>
      </w:pPr>
      <w:r w:rsidRPr="00E0725E">
        <w:rPr>
          <w:rFonts w:ascii="Times New Roman" w:eastAsia="Times New Roman" w:hAnsi="Times New Roman" w:cs="Times New Roman"/>
          <w:color w:val="000000" w:themeColor="text1"/>
          <w:szCs w:val="24"/>
        </w:rPr>
        <w:t>Funkcjonujący w Banku system kontroli wewnętrznej i system zarządzania ryzykiem są zorganizowane na trzech, niezależnych poziomach (liniach obrony).</w:t>
      </w:r>
    </w:p>
    <w:p w14:paraId="46858231" w14:textId="77777777" w:rsidR="003A7DD6" w:rsidRPr="00E0725E" w:rsidRDefault="003A7DD6" w:rsidP="003A7DD6">
      <w:pPr>
        <w:spacing w:after="0" w:line="276" w:lineRule="auto"/>
        <w:ind w:left="0" w:right="0" w:firstLine="0"/>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Na pierwszy poziom (linię obrony) składa się zarządzanie ryzykiem w działalności operacyjnej Banku, w tym stosowanie przez pracowników mechanizmów kontroli ryzyka, a także mechanizmów kontrolnych, oraz dokonywanie w ramach obowiązków służbowych pracowników poziomego monitorowania (monitorowania w ramach pierwszego poziomu) przestrzegania mechanizmów kontrolnych poprzez ich weryfikację bieżącą lub testowanie.</w:t>
      </w:r>
    </w:p>
    <w:p w14:paraId="0AE075AF" w14:textId="77777777" w:rsidR="003A7DD6" w:rsidRPr="00E0725E" w:rsidRDefault="003A7DD6" w:rsidP="003A7DD6">
      <w:pPr>
        <w:spacing w:after="0" w:line="276" w:lineRule="auto"/>
        <w:ind w:left="0" w:right="0" w:firstLine="0"/>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Na drugi poziom (linię obrony) składa się co najmniej:</w:t>
      </w:r>
    </w:p>
    <w:p w14:paraId="600F72EB" w14:textId="77777777" w:rsidR="003A7DD6" w:rsidRPr="00E0725E" w:rsidRDefault="003A7DD6" w:rsidP="003A7DD6">
      <w:pPr>
        <w:spacing w:after="0" w:line="276" w:lineRule="auto"/>
        <w:ind w:left="0" w:right="0" w:firstLine="0"/>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 xml:space="preserve">1) zarządzanie ryzykiem przez pracowników na specjalnie powoływanych do tego stanowiskach lub w komórkach organizacyjnych, niezależnie od </w:t>
      </w:r>
      <w:r w:rsidRPr="00E0725E">
        <w:rPr>
          <w:rFonts w:ascii="Times New Roman" w:hAnsi="Times New Roman" w:cs="Times New Roman"/>
          <w:color w:val="000000" w:themeColor="text1"/>
          <w:szCs w:val="24"/>
          <w:lang w:eastAsia="en-US"/>
        </w:rPr>
        <w:t>operacyjnego zarządzania ryzykiem na pierwszym poziomie</w:t>
      </w:r>
      <w:r w:rsidRPr="00E0725E">
        <w:rPr>
          <w:rFonts w:ascii="Times New Roman" w:eastAsia="Times New Roman" w:hAnsi="Times New Roman" w:cs="Times New Roman"/>
          <w:color w:val="000000" w:themeColor="text1"/>
          <w:szCs w:val="24"/>
        </w:rPr>
        <w:t>;</w:t>
      </w:r>
    </w:p>
    <w:p w14:paraId="4BB891FD" w14:textId="77777777" w:rsidR="003A7DD6" w:rsidRPr="00E0725E" w:rsidRDefault="003A7DD6" w:rsidP="003A7DD6">
      <w:pPr>
        <w:spacing w:after="0" w:line="276" w:lineRule="auto"/>
        <w:ind w:left="0" w:right="0" w:firstLine="0"/>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2) działalność Zespołu Zarządzania Zgodnością (ZZZ).</w:t>
      </w:r>
    </w:p>
    <w:p w14:paraId="02C570FA" w14:textId="77777777" w:rsidR="003A7DD6" w:rsidRPr="00E0725E" w:rsidRDefault="003A7DD6" w:rsidP="003A7DD6">
      <w:pPr>
        <w:spacing w:after="0" w:line="276" w:lineRule="auto"/>
        <w:ind w:left="0" w:right="0" w:firstLine="0"/>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Pracownicy komórek Banku na drugim poziomie (drugiej linii) w związku z wykonywaniem obowiązków służbowych odpowiednio stosują mechanizmy kontrolne lub niezależnie monitorują przestrzeganie mechanizmów kontrolnych poprzez monitorowanie pionowe (weryfikacja bieżąca lub testowanie pierwszego poziomu przez poziom drugi) lub monitorowanie poziome (weryfikacja bieżąca lub testowanie poziome w komórkach drugiego poziomu).</w:t>
      </w:r>
    </w:p>
    <w:p w14:paraId="6B8BE708" w14:textId="3D63A1B8" w:rsidR="003A7DD6" w:rsidRPr="00E0725E" w:rsidRDefault="003A7DD6" w:rsidP="003A7DD6">
      <w:pPr>
        <w:spacing w:after="0" w:line="276" w:lineRule="auto"/>
        <w:ind w:left="0" w:right="0" w:firstLine="0"/>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 xml:space="preserve">Na trzeci poziom (linię obrony) składa się działalność audytu wewnętrznego – Zespołu Audytu </w:t>
      </w:r>
      <w:r w:rsidR="00E0725E" w:rsidRPr="00E0725E">
        <w:rPr>
          <w:rFonts w:ascii="Times New Roman" w:eastAsia="Times New Roman" w:hAnsi="Times New Roman" w:cs="Times New Roman"/>
          <w:color w:val="000000" w:themeColor="text1"/>
          <w:szCs w:val="24"/>
        </w:rPr>
        <w:t xml:space="preserve">Wewnętrznego (ZAW), podlegającemu </w:t>
      </w:r>
      <w:r w:rsidRPr="00E0725E">
        <w:rPr>
          <w:rFonts w:ascii="Times New Roman" w:eastAsia="Times New Roman" w:hAnsi="Times New Roman" w:cs="Times New Roman"/>
          <w:color w:val="000000" w:themeColor="text1"/>
          <w:szCs w:val="24"/>
        </w:rPr>
        <w:t xml:space="preserve">bezpośrednio Prezesowi Zarządu Banku. </w:t>
      </w:r>
    </w:p>
    <w:p w14:paraId="712B114C" w14:textId="77777777" w:rsidR="003A7DD6" w:rsidRPr="00E0725E" w:rsidRDefault="003A7DD6" w:rsidP="003A7DD6">
      <w:pPr>
        <w:spacing w:after="0" w:line="276" w:lineRule="auto"/>
        <w:ind w:left="0" w:right="0" w:firstLine="360"/>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 xml:space="preserve">Rada Nadzorcza sprawuje nadzór nad wprowadzeniem i zapewnieniem adekwatnego i skutecznego systemu kontroli wewnętrznej. Rada Nadzorcza powołała zgodnie z przepisami prawa Komitet Audytu, któremu zleciła bieżące monitorowanie funkcjonowania i skuteczności systemu kontroli wewnętrznej, w tym również </w:t>
      </w:r>
      <w:r w:rsidRPr="00E0725E">
        <w:rPr>
          <w:rFonts w:ascii="Times New Roman" w:hAnsi="Times New Roman" w:cs="Times New Roman"/>
          <w:color w:val="000000" w:themeColor="text1"/>
          <w:szCs w:val="24"/>
          <w:lang w:eastAsia="en-US"/>
        </w:rPr>
        <w:t>ocenę funkcjonowania i skuteczności systemu kontroli wewnętrznej, przynajmniej raz w roku.</w:t>
      </w:r>
    </w:p>
    <w:p w14:paraId="1C43770A" w14:textId="77777777" w:rsidR="003A7DD6" w:rsidRPr="00E0725E" w:rsidRDefault="003A7DD6" w:rsidP="003A7DD6">
      <w:pPr>
        <w:spacing w:after="0" w:line="276" w:lineRule="auto"/>
        <w:ind w:left="0" w:right="0" w:firstLine="360"/>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Zarząd Banku odpowiada za zaprojektowanie, wprowadzenie oraz zapewnianie we wszystkich jednostkach organizacyjnych, komórkach organizacyjnych i stanowiskach organizacyjnych Banku, funkcjonowania adekwatnego i skutecznego systemu kontroli wewnętrznej.</w:t>
      </w:r>
    </w:p>
    <w:p w14:paraId="633A79CC" w14:textId="77777777" w:rsidR="003A7DD6" w:rsidRPr="00E0725E" w:rsidRDefault="003A7DD6" w:rsidP="003A7DD6">
      <w:pPr>
        <w:spacing w:after="0" w:line="276" w:lineRule="auto"/>
        <w:ind w:left="0" w:right="0" w:firstLine="360"/>
        <w:rPr>
          <w:rFonts w:ascii="Times New Roman" w:hAnsi="Times New Roman" w:cs="Times New Roman"/>
          <w:color w:val="000000" w:themeColor="text1"/>
          <w:szCs w:val="24"/>
          <w:lang w:eastAsia="en-US"/>
        </w:rPr>
      </w:pPr>
      <w:r w:rsidRPr="00E0725E">
        <w:rPr>
          <w:rFonts w:ascii="Times New Roman" w:hAnsi="Times New Roman" w:cs="Times New Roman"/>
          <w:color w:val="000000" w:themeColor="text1"/>
          <w:szCs w:val="24"/>
          <w:lang w:eastAsia="en-US"/>
        </w:rPr>
        <w:t>W ramach systemu kontroli wewnętrznej w Banku wyodrębnione zostały:</w:t>
      </w:r>
    </w:p>
    <w:p w14:paraId="555F65AB" w14:textId="77777777" w:rsidR="003A7DD6" w:rsidRPr="00E0725E" w:rsidRDefault="003A7DD6" w:rsidP="003A7DD6">
      <w:pPr>
        <w:spacing w:after="0" w:line="276" w:lineRule="auto"/>
        <w:ind w:left="0" w:right="0" w:firstLine="0"/>
        <w:rPr>
          <w:rFonts w:ascii="Times New Roman" w:hAnsi="Times New Roman" w:cs="Times New Roman"/>
          <w:color w:val="000000" w:themeColor="text1"/>
          <w:szCs w:val="24"/>
          <w:lang w:eastAsia="en-US"/>
        </w:rPr>
      </w:pPr>
      <w:r w:rsidRPr="00E0725E">
        <w:rPr>
          <w:rFonts w:ascii="Times New Roman" w:hAnsi="Times New Roman" w:cs="Times New Roman"/>
          <w:color w:val="000000" w:themeColor="text1"/>
          <w:szCs w:val="24"/>
          <w:lang w:eastAsia="en-US"/>
        </w:rPr>
        <w:t>1) funkcja kontroli,</w:t>
      </w:r>
    </w:p>
    <w:p w14:paraId="47CC33CD" w14:textId="77777777" w:rsidR="003A7DD6" w:rsidRPr="00E0725E" w:rsidRDefault="003A7DD6" w:rsidP="003A7DD6">
      <w:pPr>
        <w:spacing w:after="0" w:line="276" w:lineRule="auto"/>
        <w:ind w:left="0" w:right="0" w:firstLine="0"/>
        <w:rPr>
          <w:rFonts w:ascii="Times New Roman" w:hAnsi="Times New Roman" w:cs="Times New Roman"/>
          <w:color w:val="000000" w:themeColor="text1"/>
          <w:szCs w:val="24"/>
          <w:lang w:eastAsia="en-US"/>
        </w:rPr>
      </w:pPr>
      <w:r w:rsidRPr="00E0725E">
        <w:rPr>
          <w:rFonts w:ascii="Times New Roman" w:hAnsi="Times New Roman" w:cs="Times New Roman"/>
          <w:color w:val="000000" w:themeColor="text1"/>
          <w:szCs w:val="24"/>
          <w:lang w:eastAsia="en-US"/>
        </w:rPr>
        <w:t>2) Zespół Zarządzania Zgodnością,</w:t>
      </w:r>
    </w:p>
    <w:p w14:paraId="7FEC21C6" w14:textId="77777777" w:rsidR="003A7DD6" w:rsidRPr="00E0725E" w:rsidRDefault="003A7DD6" w:rsidP="003A7DD6">
      <w:pPr>
        <w:spacing w:after="0" w:line="276" w:lineRule="auto"/>
        <w:ind w:left="0" w:right="0" w:firstLine="0"/>
        <w:rPr>
          <w:rFonts w:ascii="Times New Roman" w:hAnsi="Times New Roman" w:cs="Times New Roman"/>
          <w:color w:val="000000" w:themeColor="text1"/>
          <w:szCs w:val="24"/>
          <w:lang w:eastAsia="en-US"/>
        </w:rPr>
      </w:pPr>
      <w:r w:rsidRPr="00E0725E">
        <w:rPr>
          <w:rFonts w:ascii="Times New Roman" w:hAnsi="Times New Roman" w:cs="Times New Roman"/>
          <w:color w:val="000000" w:themeColor="text1"/>
          <w:szCs w:val="24"/>
          <w:lang w:eastAsia="en-US"/>
        </w:rPr>
        <w:t>3) Zespół Audytu Wewnętrznego.</w:t>
      </w:r>
    </w:p>
    <w:p w14:paraId="20D8B51F" w14:textId="77777777" w:rsidR="003A7DD6" w:rsidRPr="00E0725E" w:rsidRDefault="003A7DD6" w:rsidP="003A7DD6">
      <w:pPr>
        <w:spacing w:after="0" w:line="276" w:lineRule="auto"/>
        <w:ind w:left="0" w:right="0" w:firstLine="0"/>
        <w:rPr>
          <w:rFonts w:ascii="Times New Roman" w:hAnsi="Times New Roman" w:cs="Times New Roman"/>
          <w:color w:val="000000" w:themeColor="text1"/>
          <w:szCs w:val="24"/>
          <w:lang w:eastAsia="en-US"/>
        </w:rPr>
      </w:pPr>
      <w:r w:rsidRPr="00E0725E">
        <w:rPr>
          <w:rFonts w:ascii="Times New Roman" w:hAnsi="Times New Roman" w:cs="Times New Roman"/>
          <w:color w:val="000000" w:themeColor="text1"/>
          <w:szCs w:val="24"/>
          <w:lang w:eastAsia="en-US"/>
        </w:rPr>
        <w:lastRenderedPageBreak/>
        <w:t>Funkcja kontroli - ma za zadanie zapewnienie przestrzegania mechanizmów kontrolnych, dotyczących w szczególności zarządzania ryzykiem w Banku, obejmuje stanowiska, grupy ludzi lub jednostki organizacyjne odpowiedzialne za realizację zadań przypisanych tej funkcji, tj. stosowanie mechanizmów kontrolnych, niezależne monitorowanie przestrzegania mechanizmów kontrolnych, raportowanie w ramach funkcji kontroli odpowiednio do powierzonych danym stanowiskom, grupom ludzi lub jednostkom organizacyjnym zadań.</w:t>
      </w:r>
    </w:p>
    <w:p w14:paraId="34A93A68" w14:textId="619D1580" w:rsidR="003A7DD6" w:rsidRPr="00E0725E" w:rsidRDefault="003A7DD6" w:rsidP="003A7DD6">
      <w:pPr>
        <w:spacing w:after="0" w:line="276" w:lineRule="auto"/>
        <w:ind w:left="0" w:right="0" w:firstLine="0"/>
        <w:rPr>
          <w:rFonts w:ascii="Times New Roman" w:hAnsi="Times New Roman" w:cs="Times New Roman"/>
          <w:color w:val="000000" w:themeColor="text1"/>
          <w:szCs w:val="24"/>
          <w:lang w:eastAsia="en-US"/>
        </w:rPr>
      </w:pPr>
      <w:r w:rsidRPr="00E0725E">
        <w:rPr>
          <w:rFonts w:ascii="Times New Roman" w:hAnsi="Times New Roman" w:cs="Times New Roman"/>
          <w:color w:val="000000" w:themeColor="text1"/>
          <w:szCs w:val="24"/>
          <w:lang w:eastAsia="en-US"/>
        </w:rPr>
        <w:t>W zakresie funkcji kontroli Zespół Zarządzania Zgodnością ma głównie za zadanie dokonywanie monitorowania przestrzegania mechanizmów kontrolnych, zwłaszcza w zakresie dokonywania testowania pionowego dotyczącego pierwszego poziomu oraz  testowania poziomego w zakresie działań drugiego poziomu, a takż</w:t>
      </w:r>
      <w:r w:rsidR="00BF614A" w:rsidRPr="00E0725E">
        <w:rPr>
          <w:rFonts w:ascii="Times New Roman" w:hAnsi="Times New Roman" w:cs="Times New Roman"/>
          <w:color w:val="000000" w:themeColor="text1"/>
          <w:szCs w:val="24"/>
          <w:lang w:eastAsia="en-US"/>
        </w:rPr>
        <w:t>e prowadzenie i aktualizowanie Matrycy Funkcji K</w:t>
      </w:r>
      <w:r w:rsidRPr="00E0725E">
        <w:rPr>
          <w:rFonts w:ascii="Times New Roman" w:hAnsi="Times New Roman" w:cs="Times New Roman"/>
          <w:color w:val="000000" w:themeColor="text1"/>
          <w:szCs w:val="24"/>
          <w:lang w:eastAsia="en-US"/>
        </w:rPr>
        <w:t>ontroli.</w:t>
      </w:r>
    </w:p>
    <w:p w14:paraId="5B3280F2" w14:textId="77777777" w:rsidR="003A7DD6" w:rsidRPr="00E0725E" w:rsidRDefault="003A7DD6" w:rsidP="003A7DD6">
      <w:pPr>
        <w:spacing w:after="0" w:line="276" w:lineRule="auto"/>
        <w:ind w:left="0" w:right="0" w:firstLine="0"/>
        <w:rPr>
          <w:rFonts w:ascii="Times New Roman" w:hAnsi="Times New Roman" w:cs="Times New Roman"/>
          <w:color w:val="000000" w:themeColor="text1"/>
          <w:szCs w:val="24"/>
          <w:lang w:eastAsia="en-US"/>
        </w:rPr>
      </w:pPr>
      <w:r w:rsidRPr="00E0725E">
        <w:rPr>
          <w:rFonts w:ascii="Times New Roman" w:hAnsi="Times New Roman" w:cs="Times New Roman"/>
          <w:color w:val="000000" w:themeColor="text1"/>
          <w:szCs w:val="24"/>
          <w:lang w:eastAsia="en-US"/>
        </w:rPr>
        <w:t>W zakresie zapewnienia zgodności Zespół Zarządzania Zgodnością ma za zadanie identyfikację, ocenę, kontrolę i monitorowanie ryzyka braku zgodności działalności Banku z przepisami prawa, regulacjami wewnętrznymi i standardami rynkowymi oraz przedstawianie raportów w tym zakresie, a także przeprowadzanie testów zgodności – działanie ZZZ uregulowane jest w odpowiednim regulaminie zatwierdzanym przez Zarząd oraz Radę Nadzorczą.</w:t>
      </w:r>
    </w:p>
    <w:p w14:paraId="3B89A399" w14:textId="77777777" w:rsidR="003A7DD6" w:rsidRPr="00E0725E" w:rsidRDefault="003A7DD6" w:rsidP="003A7DD6">
      <w:pPr>
        <w:spacing w:after="0" w:line="276" w:lineRule="auto"/>
        <w:ind w:left="0" w:right="0" w:firstLine="0"/>
        <w:rPr>
          <w:rFonts w:ascii="Times New Roman" w:hAnsi="Times New Roman" w:cs="Times New Roman"/>
          <w:color w:val="000000" w:themeColor="text1"/>
          <w:szCs w:val="24"/>
          <w:lang w:eastAsia="en-US"/>
        </w:rPr>
      </w:pPr>
      <w:r w:rsidRPr="00E0725E">
        <w:rPr>
          <w:rFonts w:ascii="Times New Roman" w:hAnsi="Times New Roman" w:cs="Times New Roman"/>
          <w:color w:val="000000" w:themeColor="text1"/>
          <w:szCs w:val="24"/>
          <w:lang w:eastAsia="en-US"/>
        </w:rPr>
        <w:t>Zespół Audytu Wewnętrznego - ma za zadanie badanie i ocenę, w sposób niezależny i obiektywny, adekwatności i skuteczności systemu zarządzania ryzykiem i systemu kontroli wewnętrznej, z wyłączeniem komórki audytu wewnętrznego – działanie ZAW jest szczegółowo uregulowane w odpowiednim regulaminie (karcie audytu) zatwierdzanym przez Zarząd oraz Radę Nadzorczą.</w:t>
      </w:r>
    </w:p>
    <w:p w14:paraId="2A55FCB3" w14:textId="77777777" w:rsidR="003A7DD6" w:rsidRPr="00E0725E" w:rsidRDefault="003A7DD6" w:rsidP="003A7DD6">
      <w:pPr>
        <w:suppressAutoHyphens/>
        <w:spacing w:after="0" w:line="276" w:lineRule="auto"/>
        <w:ind w:left="0" w:right="0" w:firstLine="360"/>
        <w:rPr>
          <w:rFonts w:ascii="Times New Roman" w:eastAsia="Times New Roman" w:hAnsi="Times New Roman" w:cs="Times New Roman"/>
          <w:b/>
          <w:color w:val="000000" w:themeColor="text1"/>
          <w:szCs w:val="24"/>
        </w:rPr>
      </w:pPr>
      <w:r w:rsidRPr="00E0725E">
        <w:rPr>
          <w:rFonts w:ascii="Times New Roman" w:eastAsia="Times New Roman" w:hAnsi="Times New Roman" w:cs="Times New Roman"/>
          <w:color w:val="000000" w:themeColor="text1"/>
          <w:szCs w:val="24"/>
        </w:rPr>
        <w:t>W Banku funkcjonują mechanizmy zapewniające niezależność Zespołu Zarządzania Zgodnością oraz Zespołu Audytu Wewnętrznego:</w:t>
      </w:r>
    </w:p>
    <w:p w14:paraId="3FCC29E2" w14:textId="77777777" w:rsidR="003A7DD6" w:rsidRPr="00E0725E" w:rsidRDefault="003A7DD6" w:rsidP="003B3DA4">
      <w:pPr>
        <w:numPr>
          <w:ilvl w:val="0"/>
          <w:numId w:val="73"/>
        </w:numPr>
        <w:suppressAutoHyphens/>
        <w:spacing w:after="0" w:line="276" w:lineRule="auto"/>
        <w:ind w:right="0"/>
        <w:rPr>
          <w:rFonts w:ascii="Times New Roman" w:eastAsia="Times New Roman" w:hAnsi="Times New Roman" w:cs="Times New Roman"/>
          <w:b/>
          <w:color w:val="000000" w:themeColor="text1"/>
          <w:szCs w:val="24"/>
        </w:rPr>
      </w:pPr>
      <w:r w:rsidRPr="00E0725E">
        <w:rPr>
          <w:rFonts w:ascii="Times New Roman" w:eastAsia="Times New Roman" w:hAnsi="Times New Roman" w:cs="Times New Roman"/>
          <w:color w:val="000000" w:themeColor="text1"/>
          <w:szCs w:val="24"/>
        </w:rPr>
        <w:t>Osoby zatrudnione w Zespole Zarządzania Zgodnością oraz Zespole Audytu Wewnętrznego mają zapewniony bezpośredni kontakt z członkami Zarządu i Rady Nadzorczej,</w:t>
      </w:r>
    </w:p>
    <w:p w14:paraId="166F8830" w14:textId="77777777" w:rsidR="003A7DD6" w:rsidRPr="00E0725E" w:rsidRDefault="003A7DD6" w:rsidP="003B3DA4">
      <w:pPr>
        <w:numPr>
          <w:ilvl w:val="0"/>
          <w:numId w:val="73"/>
        </w:numPr>
        <w:suppressAutoHyphens/>
        <w:spacing w:after="0" w:line="276" w:lineRule="auto"/>
        <w:ind w:right="0"/>
        <w:rPr>
          <w:rFonts w:ascii="Times New Roman" w:eastAsia="Times New Roman" w:hAnsi="Times New Roman" w:cs="Times New Roman"/>
          <w:b/>
          <w:color w:val="000000" w:themeColor="text1"/>
          <w:szCs w:val="24"/>
        </w:rPr>
      </w:pPr>
      <w:r w:rsidRPr="00E0725E">
        <w:rPr>
          <w:rFonts w:ascii="Times New Roman" w:eastAsia="Times New Roman" w:hAnsi="Times New Roman" w:cs="Times New Roman"/>
          <w:color w:val="000000" w:themeColor="text1"/>
          <w:szCs w:val="24"/>
        </w:rPr>
        <w:t>Osoby kierujące Zespołem Zarządzania Zgodnością oraz Zespołem Audytu Wewnętrznego lub osoby je zastępujące uczestniczą w posiedzeniach Zarządu Banku,</w:t>
      </w:r>
    </w:p>
    <w:p w14:paraId="4FC85F0C" w14:textId="77777777" w:rsidR="003A7DD6" w:rsidRPr="00E0725E" w:rsidRDefault="003A7DD6" w:rsidP="003B3DA4">
      <w:pPr>
        <w:numPr>
          <w:ilvl w:val="0"/>
          <w:numId w:val="73"/>
        </w:numPr>
        <w:suppressAutoHyphens/>
        <w:spacing w:after="0" w:line="276" w:lineRule="auto"/>
        <w:ind w:right="0"/>
        <w:rPr>
          <w:rFonts w:ascii="Times New Roman" w:eastAsia="Times New Roman" w:hAnsi="Times New Roman" w:cs="Times New Roman"/>
          <w:b/>
          <w:color w:val="000000" w:themeColor="text1"/>
          <w:szCs w:val="24"/>
        </w:rPr>
      </w:pPr>
      <w:r w:rsidRPr="00E0725E">
        <w:rPr>
          <w:rFonts w:ascii="Times New Roman" w:eastAsia="Times New Roman" w:hAnsi="Times New Roman" w:cs="Times New Roman"/>
          <w:color w:val="000000" w:themeColor="text1"/>
          <w:szCs w:val="24"/>
        </w:rPr>
        <w:t xml:space="preserve">Osoby kierujące Zespołem Zarządzania Zgodnością oraz Zespołem Audytu Wewnętrznego lub osoby je zastępujące uczestniczą w posiedzeniach Rady Nadzorczej w przypadku, gdy przedmiotem posiedzenia są zagadnienia związane z systemem kontroli wewnętrznej, w tym zapewnianiem zgodności, audytem wewnętrznym lub zarządzaniem ryzykiem, </w:t>
      </w:r>
    </w:p>
    <w:p w14:paraId="54F31F62" w14:textId="77777777" w:rsidR="003A7DD6" w:rsidRPr="00E0725E" w:rsidRDefault="003A7DD6" w:rsidP="003B3DA4">
      <w:pPr>
        <w:numPr>
          <w:ilvl w:val="0"/>
          <w:numId w:val="73"/>
        </w:numPr>
        <w:suppressAutoHyphens/>
        <w:spacing w:after="0" w:line="276" w:lineRule="auto"/>
        <w:ind w:right="0"/>
        <w:rPr>
          <w:rFonts w:ascii="Times New Roman" w:eastAsia="Times New Roman" w:hAnsi="Times New Roman" w:cs="Times New Roman"/>
          <w:b/>
          <w:color w:val="000000" w:themeColor="text1"/>
          <w:szCs w:val="24"/>
        </w:rPr>
      </w:pPr>
      <w:r w:rsidRPr="00E0725E">
        <w:rPr>
          <w:rFonts w:ascii="Times New Roman" w:eastAsia="Times New Roman" w:hAnsi="Times New Roman" w:cs="Times New Roman"/>
          <w:color w:val="000000" w:themeColor="text1"/>
          <w:szCs w:val="24"/>
        </w:rPr>
        <w:t>Powoływanie osoby kierującej Zespołem Zarządzania Zgodnością oraz Zespołem Audytu Wewnętrznego odbywa się za zgodą Rady Nadzorczej,</w:t>
      </w:r>
    </w:p>
    <w:p w14:paraId="0E07CC25" w14:textId="77777777" w:rsidR="003A7DD6" w:rsidRPr="00E0725E" w:rsidRDefault="003A7DD6" w:rsidP="003B3DA4">
      <w:pPr>
        <w:numPr>
          <w:ilvl w:val="0"/>
          <w:numId w:val="73"/>
        </w:numPr>
        <w:suppressAutoHyphens/>
        <w:spacing w:after="0" w:line="276" w:lineRule="auto"/>
        <w:ind w:right="0"/>
        <w:rPr>
          <w:rFonts w:ascii="Times New Roman" w:eastAsia="Times New Roman" w:hAnsi="Times New Roman" w:cs="Times New Roman"/>
          <w:b/>
          <w:color w:val="000000" w:themeColor="text1"/>
          <w:szCs w:val="24"/>
        </w:rPr>
      </w:pPr>
      <w:r w:rsidRPr="00E0725E">
        <w:rPr>
          <w:rFonts w:ascii="Times New Roman" w:eastAsia="Times New Roman" w:hAnsi="Times New Roman" w:cs="Times New Roman"/>
          <w:color w:val="000000" w:themeColor="text1"/>
          <w:szCs w:val="24"/>
        </w:rPr>
        <w:t>Odwołanie osoby ze stanowiska kierującego Zespołem Zarządzania Zgodnością oraz Zespołem Audytu Wewnętrznego odbywa się za zgodą Rady Nadzorczej, po uprzednim wysłuchaniu tych osób przez Radę Nadzorczą,</w:t>
      </w:r>
    </w:p>
    <w:p w14:paraId="5C2F5D3D" w14:textId="77777777" w:rsidR="003A7DD6" w:rsidRPr="00E0725E" w:rsidRDefault="003A7DD6" w:rsidP="003B3DA4">
      <w:pPr>
        <w:numPr>
          <w:ilvl w:val="0"/>
          <w:numId w:val="73"/>
        </w:numPr>
        <w:suppressAutoHyphens/>
        <w:spacing w:after="0" w:line="276" w:lineRule="auto"/>
        <w:ind w:right="0"/>
        <w:rPr>
          <w:rFonts w:ascii="Times New Roman" w:eastAsia="Times New Roman" w:hAnsi="Times New Roman" w:cs="Times New Roman"/>
          <w:b/>
          <w:color w:val="000000" w:themeColor="text1"/>
          <w:szCs w:val="24"/>
        </w:rPr>
      </w:pPr>
      <w:r w:rsidRPr="00E0725E">
        <w:rPr>
          <w:rFonts w:ascii="Times New Roman" w:eastAsia="Times New Roman" w:hAnsi="Times New Roman" w:cs="Times New Roman"/>
          <w:color w:val="000000" w:themeColor="text1"/>
          <w:szCs w:val="24"/>
        </w:rPr>
        <w:t>W Banku funkcjonuje szczegółowy tryb kontroli wynagrodzeń pracowników zatrudnionych w Zespole Audytu Wewnętrznego oraz Zespole Zarządzania Zgodnością, zapewniający niezależność i obiektywizm wypełniania przez nich zadań oraz umożliwiający zatrudnianie osób o odpowiednich kwalifikacjach, doświadczeniu i umiejętnościach,</w:t>
      </w:r>
    </w:p>
    <w:p w14:paraId="2018D709" w14:textId="77777777" w:rsidR="003A7DD6" w:rsidRPr="00E0725E" w:rsidRDefault="003A7DD6" w:rsidP="003B3DA4">
      <w:pPr>
        <w:numPr>
          <w:ilvl w:val="0"/>
          <w:numId w:val="73"/>
        </w:numPr>
        <w:suppressAutoHyphens/>
        <w:spacing w:after="0" w:line="276" w:lineRule="auto"/>
        <w:ind w:right="0"/>
        <w:rPr>
          <w:rFonts w:ascii="Times New Roman" w:eastAsia="Times New Roman" w:hAnsi="Times New Roman" w:cs="Times New Roman"/>
          <w:b/>
          <w:color w:val="000000" w:themeColor="text1"/>
          <w:szCs w:val="24"/>
        </w:rPr>
      </w:pPr>
      <w:r w:rsidRPr="00E0725E">
        <w:rPr>
          <w:rFonts w:ascii="Times New Roman" w:eastAsia="Times New Roman" w:hAnsi="Times New Roman" w:cs="Times New Roman"/>
          <w:color w:val="000000" w:themeColor="text1"/>
          <w:szCs w:val="24"/>
        </w:rPr>
        <w:lastRenderedPageBreak/>
        <w:t>W Banku istnieją mechanizmy chroniące pracowników Zespołu Zarządzania Zgodnością i Zespołu Audytu Wewnętrznego przed nieuzasadnionym wypowiedzeniem umowy o pracę,</w:t>
      </w:r>
    </w:p>
    <w:p w14:paraId="73FE40FE" w14:textId="77777777" w:rsidR="003A7DD6" w:rsidRPr="00E0725E" w:rsidRDefault="003A7DD6" w:rsidP="003B3DA4">
      <w:pPr>
        <w:numPr>
          <w:ilvl w:val="0"/>
          <w:numId w:val="73"/>
        </w:numPr>
        <w:suppressAutoHyphens/>
        <w:spacing w:after="0" w:line="276" w:lineRule="auto"/>
        <w:ind w:right="0"/>
        <w:rPr>
          <w:rFonts w:ascii="Times New Roman" w:eastAsia="Times New Roman" w:hAnsi="Times New Roman" w:cs="Times New Roman"/>
          <w:b/>
          <w:color w:val="000000" w:themeColor="text1"/>
          <w:szCs w:val="24"/>
        </w:rPr>
      </w:pPr>
      <w:r w:rsidRPr="00E0725E">
        <w:rPr>
          <w:rFonts w:ascii="Times New Roman" w:eastAsia="Times New Roman" w:hAnsi="Times New Roman" w:cs="Times New Roman"/>
          <w:color w:val="000000" w:themeColor="text1"/>
          <w:szCs w:val="24"/>
        </w:rPr>
        <w:t>Zespół Zarządzania Zgodnością nie mo</w:t>
      </w:r>
      <w:r w:rsidRPr="00E0725E">
        <w:rPr>
          <w:rFonts w:ascii="Times New Roman" w:eastAsia="Times New Roman" w:hAnsi="Times New Roman" w:cs="Times New Roman" w:hint="eastAsia"/>
          <w:color w:val="000000" w:themeColor="text1"/>
          <w:szCs w:val="24"/>
        </w:rPr>
        <w:t>ż</w:t>
      </w:r>
      <w:r w:rsidRPr="00E0725E">
        <w:rPr>
          <w:rFonts w:ascii="Times New Roman" w:eastAsia="Times New Roman" w:hAnsi="Times New Roman" w:cs="Times New Roman"/>
          <w:color w:val="000000" w:themeColor="text1"/>
          <w:szCs w:val="24"/>
        </w:rPr>
        <w:t>e by</w:t>
      </w:r>
      <w:r w:rsidRPr="00E0725E">
        <w:rPr>
          <w:rFonts w:ascii="Times New Roman" w:eastAsia="Times New Roman" w:hAnsi="Times New Roman" w:cs="Times New Roman" w:hint="eastAsia"/>
          <w:color w:val="000000" w:themeColor="text1"/>
          <w:szCs w:val="24"/>
        </w:rPr>
        <w:t>ć</w:t>
      </w:r>
      <w:r w:rsidRPr="00E0725E">
        <w:rPr>
          <w:rFonts w:ascii="Times New Roman" w:eastAsia="Times New Roman" w:hAnsi="Times New Roman" w:cs="Times New Roman"/>
          <w:color w:val="000000" w:themeColor="text1"/>
          <w:szCs w:val="24"/>
        </w:rPr>
        <w:t xml:space="preserve"> </w:t>
      </w:r>
      <w:r w:rsidRPr="00E0725E">
        <w:rPr>
          <w:rFonts w:ascii="Times New Roman" w:eastAsia="Times New Roman" w:hAnsi="Times New Roman" w:cs="Times New Roman" w:hint="eastAsia"/>
          <w:color w:val="000000" w:themeColor="text1"/>
          <w:szCs w:val="24"/>
        </w:rPr>
        <w:t>łą</w:t>
      </w:r>
      <w:r w:rsidRPr="00E0725E">
        <w:rPr>
          <w:rFonts w:ascii="Times New Roman" w:eastAsia="Times New Roman" w:hAnsi="Times New Roman" w:cs="Times New Roman"/>
          <w:color w:val="000000" w:themeColor="text1"/>
          <w:szCs w:val="24"/>
        </w:rPr>
        <w:t>czony z innymi komórkami organizacyjnymi, funkcjami i stanowiskami w Banku. Pracownicy ZZZ nie mogą wykonywa</w:t>
      </w:r>
      <w:r w:rsidRPr="00E0725E">
        <w:rPr>
          <w:rFonts w:ascii="Times New Roman" w:eastAsia="Times New Roman" w:hAnsi="Times New Roman" w:cs="Times New Roman" w:hint="eastAsia"/>
          <w:color w:val="000000" w:themeColor="text1"/>
          <w:szCs w:val="24"/>
        </w:rPr>
        <w:t>ć</w:t>
      </w:r>
      <w:r w:rsidRPr="00E0725E">
        <w:rPr>
          <w:rFonts w:ascii="Times New Roman" w:eastAsia="Times New Roman" w:hAnsi="Times New Roman" w:cs="Times New Roman"/>
          <w:color w:val="000000" w:themeColor="text1"/>
          <w:szCs w:val="24"/>
        </w:rPr>
        <w:t xml:space="preserve"> innych obowi</w:t>
      </w:r>
      <w:r w:rsidRPr="00E0725E">
        <w:rPr>
          <w:rFonts w:ascii="Times New Roman" w:eastAsia="Times New Roman" w:hAnsi="Times New Roman" w:cs="Times New Roman" w:hint="eastAsia"/>
          <w:color w:val="000000" w:themeColor="text1"/>
          <w:szCs w:val="24"/>
        </w:rPr>
        <w:t>ą</w:t>
      </w:r>
      <w:r w:rsidRPr="00E0725E">
        <w:rPr>
          <w:rFonts w:ascii="Times New Roman" w:eastAsia="Times New Roman" w:hAnsi="Times New Roman" w:cs="Times New Roman"/>
          <w:color w:val="000000" w:themeColor="text1"/>
          <w:szCs w:val="24"/>
        </w:rPr>
        <w:t>zków ni</w:t>
      </w:r>
      <w:r w:rsidRPr="00E0725E">
        <w:rPr>
          <w:rFonts w:ascii="Times New Roman" w:eastAsia="Times New Roman" w:hAnsi="Times New Roman" w:cs="Times New Roman" w:hint="eastAsia"/>
          <w:color w:val="000000" w:themeColor="text1"/>
          <w:szCs w:val="24"/>
        </w:rPr>
        <w:t>ż</w:t>
      </w:r>
      <w:r w:rsidRPr="00E0725E">
        <w:rPr>
          <w:rFonts w:ascii="Times New Roman" w:eastAsia="Times New Roman" w:hAnsi="Times New Roman" w:cs="Times New Roman"/>
          <w:color w:val="000000" w:themeColor="text1"/>
          <w:szCs w:val="24"/>
        </w:rPr>
        <w:t xml:space="preserve"> wynikaj</w:t>
      </w:r>
      <w:r w:rsidRPr="00E0725E">
        <w:rPr>
          <w:rFonts w:ascii="Times New Roman" w:eastAsia="Times New Roman" w:hAnsi="Times New Roman" w:cs="Times New Roman" w:hint="eastAsia"/>
          <w:color w:val="000000" w:themeColor="text1"/>
          <w:szCs w:val="24"/>
        </w:rPr>
        <w:t>ą</w:t>
      </w:r>
      <w:r w:rsidRPr="00E0725E">
        <w:rPr>
          <w:rFonts w:ascii="Times New Roman" w:eastAsia="Times New Roman" w:hAnsi="Times New Roman" w:cs="Times New Roman"/>
          <w:color w:val="000000" w:themeColor="text1"/>
          <w:szCs w:val="24"/>
        </w:rPr>
        <w:t>ce z zada</w:t>
      </w:r>
      <w:r w:rsidRPr="00E0725E">
        <w:rPr>
          <w:rFonts w:ascii="Times New Roman" w:eastAsia="Times New Roman" w:hAnsi="Times New Roman" w:cs="Times New Roman" w:hint="eastAsia"/>
          <w:color w:val="000000" w:themeColor="text1"/>
          <w:szCs w:val="24"/>
        </w:rPr>
        <w:t>ń</w:t>
      </w:r>
      <w:r w:rsidRPr="00E0725E">
        <w:rPr>
          <w:rFonts w:ascii="Times New Roman" w:eastAsia="Times New Roman" w:hAnsi="Times New Roman" w:cs="Times New Roman"/>
          <w:color w:val="000000" w:themeColor="text1"/>
          <w:szCs w:val="24"/>
        </w:rPr>
        <w:t xml:space="preserve"> tego Zespołu,</w:t>
      </w:r>
    </w:p>
    <w:p w14:paraId="7C105079" w14:textId="77777777" w:rsidR="003A7DD6" w:rsidRPr="00E0725E" w:rsidRDefault="003A7DD6" w:rsidP="003B3DA4">
      <w:pPr>
        <w:numPr>
          <w:ilvl w:val="0"/>
          <w:numId w:val="73"/>
        </w:numPr>
        <w:suppressAutoHyphens/>
        <w:spacing w:after="0" w:line="276" w:lineRule="auto"/>
        <w:ind w:right="0"/>
        <w:rPr>
          <w:rFonts w:ascii="Times New Roman" w:eastAsia="Times New Roman" w:hAnsi="Times New Roman" w:cs="Times New Roman"/>
          <w:b/>
          <w:color w:val="000000" w:themeColor="text1"/>
          <w:szCs w:val="24"/>
        </w:rPr>
      </w:pPr>
      <w:r w:rsidRPr="00E0725E">
        <w:rPr>
          <w:rFonts w:ascii="Times New Roman" w:eastAsia="Times New Roman" w:hAnsi="Times New Roman" w:cs="Times New Roman"/>
          <w:color w:val="000000" w:themeColor="text1"/>
          <w:szCs w:val="24"/>
        </w:rPr>
        <w:t>Zespół Audytu Wewnętrznego nie może być łączony z innymi komórkami organizacyjnymi, funkcjami i stanowiskami w Banku. Pracownicy ZAW nie mogą wykonywa</w:t>
      </w:r>
      <w:r w:rsidRPr="00E0725E">
        <w:rPr>
          <w:rFonts w:ascii="Times New Roman" w:eastAsia="Times New Roman" w:hAnsi="Times New Roman" w:cs="Times New Roman" w:hint="eastAsia"/>
          <w:color w:val="000000" w:themeColor="text1"/>
          <w:szCs w:val="24"/>
        </w:rPr>
        <w:t>ć</w:t>
      </w:r>
      <w:r w:rsidRPr="00E0725E">
        <w:rPr>
          <w:rFonts w:ascii="Times New Roman" w:eastAsia="Times New Roman" w:hAnsi="Times New Roman" w:cs="Times New Roman"/>
          <w:color w:val="000000" w:themeColor="text1"/>
          <w:szCs w:val="24"/>
        </w:rPr>
        <w:t xml:space="preserve"> innych obowi</w:t>
      </w:r>
      <w:r w:rsidRPr="00E0725E">
        <w:rPr>
          <w:rFonts w:ascii="Times New Roman" w:eastAsia="Times New Roman" w:hAnsi="Times New Roman" w:cs="Times New Roman" w:hint="eastAsia"/>
          <w:color w:val="000000" w:themeColor="text1"/>
          <w:szCs w:val="24"/>
        </w:rPr>
        <w:t>ą</w:t>
      </w:r>
      <w:r w:rsidRPr="00E0725E">
        <w:rPr>
          <w:rFonts w:ascii="Times New Roman" w:eastAsia="Times New Roman" w:hAnsi="Times New Roman" w:cs="Times New Roman"/>
          <w:color w:val="000000" w:themeColor="text1"/>
          <w:szCs w:val="24"/>
        </w:rPr>
        <w:t>zków ni</w:t>
      </w:r>
      <w:r w:rsidRPr="00E0725E">
        <w:rPr>
          <w:rFonts w:ascii="Times New Roman" w:eastAsia="Times New Roman" w:hAnsi="Times New Roman" w:cs="Times New Roman" w:hint="eastAsia"/>
          <w:color w:val="000000" w:themeColor="text1"/>
          <w:szCs w:val="24"/>
        </w:rPr>
        <w:t>ż</w:t>
      </w:r>
      <w:r w:rsidRPr="00E0725E">
        <w:rPr>
          <w:rFonts w:ascii="Times New Roman" w:eastAsia="Times New Roman" w:hAnsi="Times New Roman" w:cs="Times New Roman"/>
          <w:color w:val="000000" w:themeColor="text1"/>
          <w:szCs w:val="24"/>
        </w:rPr>
        <w:t xml:space="preserve"> wynikaj</w:t>
      </w:r>
      <w:r w:rsidRPr="00E0725E">
        <w:rPr>
          <w:rFonts w:ascii="Times New Roman" w:eastAsia="Times New Roman" w:hAnsi="Times New Roman" w:cs="Times New Roman" w:hint="eastAsia"/>
          <w:color w:val="000000" w:themeColor="text1"/>
          <w:szCs w:val="24"/>
        </w:rPr>
        <w:t>ą</w:t>
      </w:r>
      <w:r w:rsidRPr="00E0725E">
        <w:rPr>
          <w:rFonts w:ascii="Times New Roman" w:eastAsia="Times New Roman" w:hAnsi="Times New Roman" w:cs="Times New Roman"/>
          <w:color w:val="000000" w:themeColor="text1"/>
          <w:szCs w:val="24"/>
        </w:rPr>
        <w:t>ce z zada</w:t>
      </w:r>
      <w:r w:rsidRPr="00E0725E">
        <w:rPr>
          <w:rFonts w:ascii="Times New Roman" w:eastAsia="Times New Roman" w:hAnsi="Times New Roman" w:cs="Times New Roman" w:hint="eastAsia"/>
          <w:color w:val="000000" w:themeColor="text1"/>
          <w:szCs w:val="24"/>
        </w:rPr>
        <w:t>ń</w:t>
      </w:r>
      <w:r w:rsidRPr="00E0725E">
        <w:rPr>
          <w:rFonts w:ascii="Times New Roman" w:eastAsia="Times New Roman" w:hAnsi="Times New Roman" w:cs="Times New Roman"/>
          <w:color w:val="000000" w:themeColor="text1"/>
          <w:szCs w:val="24"/>
        </w:rPr>
        <w:t xml:space="preserve"> tego Zespołu.</w:t>
      </w:r>
    </w:p>
    <w:p w14:paraId="18EC2A12" w14:textId="77777777" w:rsidR="003A7DD6" w:rsidRPr="00E0725E" w:rsidRDefault="003A7DD6" w:rsidP="003A7DD6">
      <w:pPr>
        <w:spacing w:after="0" w:line="276" w:lineRule="auto"/>
        <w:ind w:left="0" w:right="0" w:firstLine="360"/>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 xml:space="preserve">Zarząd Banku ustanawia odpowiednie zasady projektowania, zatwierdzania </w:t>
      </w:r>
      <w:r w:rsidRPr="00E0725E">
        <w:rPr>
          <w:rFonts w:ascii="Times New Roman" w:eastAsia="Times New Roman" w:hAnsi="Times New Roman" w:cs="Times New Roman"/>
          <w:color w:val="000000" w:themeColor="text1"/>
          <w:szCs w:val="24"/>
        </w:rPr>
        <w:br/>
        <w:t>i wdrażania mechanizmów kontrolnych we wszystkich procesach funkcjonujących w Banku, w tym określa rolę komórek odpowiedzialnych za opracowanie projektu mechanizmu kontrolnego, jego zatwierdzenie oraz wdrożenie.</w:t>
      </w:r>
    </w:p>
    <w:p w14:paraId="3716AE9C" w14:textId="77777777" w:rsidR="003A7DD6" w:rsidRPr="00E0725E" w:rsidRDefault="003A7DD6" w:rsidP="003A7DD6">
      <w:pPr>
        <w:spacing w:after="0" w:line="276" w:lineRule="auto"/>
        <w:ind w:left="0" w:right="0" w:firstLine="0"/>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Zarząd Banku ustanawia odpowiedni zakres i kryteria niezależnego monitorowania przestrzegania mechanizmów kontrolnych, obejmującego weryfikację bieżącą i testowanie.</w:t>
      </w:r>
    </w:p>
    <w:p w14:paraId="7C3567BE" w14:textId="77777777" w:rsidR="003A7DD6" w:rsidRPr="00E0725E" w:rsidRDefault="003A7DD6" w:rsidP="003A7DD6">
      <w:pPr>
        <w:suppressAutoHyphens/>
        <w:autoSpaceDE w:val="0"/>
        <w:spacing w:after="0" w:line="276" w:lineRule="auto"/>
        <w:ind w:left="0" w:right="0" w:firstLine="0"/>
        <w:rPr>
          <w:rFonts w:ascii="Times New Roman" w:hAnsi="Times New Roman" w:cs="Times New Roman"/>
          <w:b/>
          <w:color w:val="000000" w:themeColor="text1"/>
          <w:szCs w:val="24"/>
          <w:lang w:eastAsia="en-US"/>
        </w:rPr>
      </w:pPr>
      <w:r w:rsidRPr="00E0725E">
        <w:rPr>
          <w:rFonts w:ascii="Times New Roman" w:hAnsi="Times New Roman" w:cs="Times New Roman"/>
          <w:color w:val="000000" w:themeColor="text1"/>
          <w:szCs w:val="24"/>
          <w:lang w:eastAsia="en-US"/>
        </w:rPr>
        <w:t xml:space="preserve">Mechanizmy kontrolne przyjęte w Banku wbudowane są w funkcjonujące procesy, czynności, w codzienną działalność operacyjną Banku. Proces projektowania, zatwierdzania i wprowadzania w Banku mechanizmów kontrolnych jest odpowiednio udokumentowany i umożliwia przypisanie komórkom organizacyjnym odpowiedzialności za realizację zadań w poszczególnych etapach tego procesu. </w:t>
      </w:r>
    </w:p>
    <w:p w14:paraId="27D9D265" w14:textId="77777777" w:rsidR="003A7DD6" w:rsidRPr="00E0725E" w:rsidRDefault="003A7DD6" w:rsidP="003A7DD6">
      <w:pPr>
        <w:suppressAutoHyphens/>
        <w:autoSpaceDE w:val="0"/>
        <w:spacing w:after="0" w:line="276" w:lineRule="auto"/>
        <w:ind w:left="0" w:right="0" w:firstLine="360"/>
        <w:rPr>
          <w:rFonts w:ascii="Times New Roman" w:hAnsi="Times New Roman" w:cs="Times New Roman"/>
          <w:b/>
          <w:bCs/>
          <w:color w:val="000000" w:themeColor="text1"/>
          <w:szCs w:val="24"/>
          <w:lang w:eastAsia="en-US"/>
        </w:rPr>
      </w:pPr>
      <w:r w:rsidRPr="00E0725E">
        <w:rPr>
          <w:rFonts w:ascii="Times New Roman" w:hAnsi="Times New Roman" w:cs="Times New Roman"/>
          <w:color w:val="000000" w:themeColor="text1"/>
          <w:szCs w:val="24"/>
          <w:lang w:eastAsia="en-US"/>
        </w:rPr>
        <w:t>W Banku zapewniona jest niezależność monitorowania pionowego poprzez jednoznaczne wyodrębnienie linii obrony oraz poziomego poprzez rozdzielenie zadań dotyczących stosowania danego mechanizmu kontrolnego i niezależnego monitorowania jego przestrzegania w ramach danej linii. Za monitorowanie odpowiednio: poziome (weryfikacja bieżąca, testowanie) w ramach danej linii odpowiedzialni są kierownicy jednostek/komórek organizacyjnych oraz pionowe pierwszej linii obrony przez drugą linię obrony odpowiadają pracownicy wyodrębnionych komórek organizacyjnych drugiej linii obrony oraz pracownicy Zespołu Zarządzania Zgodnością.</w:t>
      </w:r>
    </w:p>
    <w:p w14:paraId="6A693598" w14:textId="6372F14E" w:rsidR="003A7DD6" w:rsidRPr="00E0725E" w:rsidRDefault="003A7DD6" w:rsidP="003A7DD6">
      <w:pPr>
        <w:suppressAutoHyphens/>
        <w:autoSpaceDE w:val="0"/>
        <w:spacing w:after="0" w:line="276" w:lineRule="auto"/>
        <w:ind w:left="0" w:right="0" w:firstLine="360"/>
        <w:rPr>
          <w:rFonts w:ascii="Times New Roman" w:hAnsi="Times New Roman" w:cs="Times New Roman"/>
          <w:b/>
          <w:bCs/>
          <w:color w:val="000000" w:themeColor="text1"/>
          <w:szCs w:val="24"/>
          <w:lang w:eastAsia="en-US"/>
        </w:rPr>
      </w:pPr>
      <w:r w:rsidRPr="00E0725E">
        <w:rPr>
          <w:rFonts w:ascii="Times New Roman" w:hAnsi="Times New Roman" w:cs="Times New Roman"/>
          <w:color w:val="000000" w:themeColor="text1"/>
          <w:szCs w:val="24"/>
          <w:lang w:eastAsia="en-US"/>
        </w:rPr>
        <w:t xml:space="preserve">Podstawowym narzędziem do operacyjnego zarządzania </w:t>
      </w:r>
      <w:r w:rsidR="00D45AF3" w:rsidRPr="00E0725E">
        <w:rPr>
          <w:rFonts w:ascii="Times New Roman" w:hAnsi="Times New Roman" w:cs="Times New Roman"/>
          <w:color w:val="000000" w:themeColor="text1"/>
          <w:szCs w:val="24"/>
          <w:lang w:eastAsia="en-US"/>
        </w:rPr>
        <w:t>systemem kontroli w Banku jest Matryca Funkcji K</w:t>
      </w:r>
      <w:r w:rsidRPr="00E0725E">
        <w:rPr>
          <w:rFonts w:ascii="Times New Roman" w:hAnsi="Times New Roman" w:cs="Times New Roman"/>
          <w:color w:val="000000" w:themeColor="text1"/>
          <w:szCs w:val="24"/>
          <w:lang w:eastAsia="en-US"/>
        </w:rPr>
        <w:t>ontroli, w której powiązano cele ogólne systemu kontroli wewnętrznej i wyodrębnione w ich ramach cele szczegółowe z procesami istotnymi wraz z wpisanymi w te procesy kluczowymi mechanizmami kontrolnymi i niezależnym monitorowaniem tych mechanizmów.</w:t>
      </w:r>
    </w:p>
    <w:p w14:paraId="6139FE4E" w14:textId="77777777" w:rsidR="003A7DD6" w:rsidRPr="00E0725E" w:rsidRDefault="003A7DD6" w:rsidP="003A7DD6">
      <w:pPr>
        <w:spacing w:after="0" w:line="276" w:lineRule="auto"/>
        <w:ind w:left="0" w:right="0" w:firstLine="360"/>
        <w:rPr>
          <w:rFonts w:ascii="Times New Roman" w:hAnsi="Times New Roman" w:cs="Times New Roman"/>
          <w:b/>
          <w:color w:val="000000" w:themeColor="text1"/>
          <w:szCs w:val="24"/>
          <w:lang w:eastAsia="en-US"/>
        </w:rPr>
      </w:pPr>
      <w:r w:rsidRPr="00E0725E">
        <w:rPr>
          <w:rFonts w:ascii="Times New Roman" w:hAnsi="Times New Roman" w:cs="Times New Roman"/>
          <w:color w:val="000000" w:themeColor="text1"/>
          <w:szCs w:val="24"/>
          <w:lang w:eastAsia="en-US"/>
        </w:rPr>
        <w:t>Bank określił kategorie nieprawidłowości (krytyczne, znaczące, średnio znaczące, mało znaczące</w:t>
      </w:r>
      <w:r w:rsidRPr="00E0725E">
        <w:rPr>
          <w:rFonts w:ascii="Times New Roman" w:hAnsi="Times New Roman" w:cs="Times New Roman"/>
          <w:strike/>
          <w:color w:val="000000" w:themeColor="text1"/>
          <w:szCs w:val="24"/>
          <w:lang w:eastAsia="en-US"/>
        </w:rPr>
        <w:t>)</w:t>
      </w:r>
      <w:r w:rsidRPr="00E0725E">
        <w:rPr>
          <w:rFonts w:ascii="Times New Roman" w:hAnsi="Times New Roman" w:cs="Times New Roman"/>
          <w:color w:val="000000" w:themeColor="text1"/>
          <w:szCs w:val="24"/>
          <w:lang w:eastAsia="en-US"/>
        </w:rPr>
        <w:t xml:space="preserve"> wykrytych przez system kontroli wewnętrznej, biorąc pod uwagę ich negatywny wpływ na zapewnienie osiągania określonych celów systemu kontroli wewnętrznej, a także procedury ich raportowania. W Banku prowadzony jest rejestr wszystkich nieprawidłowości znaczących i krytycznych. </w:t>
      </w:r>
    </w:p>
    <w:p w14:paraId="08DDDA5E" w14:textId="77777777" w:rsidR="003A7DD6" w:rsidRPr="00E0725E" w:rsidRDefault="003A7DD6" w:rsidP="003A7DD6">
      <w:pPr>
        <w:spacing w:after="0" w:line="276" w:lineRule="auto"/>
        <w:ind w:left="0" w:right="0" w:firstLine="360"/>
        <w:rPr>
          <w:rFonts w:ascii="Times New Roman" w:hAnsi="Times New Roman" w:cs="Times New Roman"/>
          <w:b/>
          <w:color w:val="000000" w:themeColor="text1"/>
          <w:szCs w:val="24"/>
          <w:lang w:eastAsia="en-US"/>
        </w:rPr>
      </w:pPr>
      <w:r w:rsidRPr="00E0725E">
        <w:rPr>
          <w:rFonts w:ascii="Times New Roman" w:hAnsi="Times New Roman" w:cs="Times New Roman"/>
          <w:color w:val="000000" w:themeColor="text1"/>
          <w:szCs w:val="24"/>
          <w:lang w:eastAsia="en-US"/>
        </w:rPr>
        <w:t xml:space="preserve">Zarząd i Rada Nadzorcza otrzymują w okresach kwartalnych informacje o wynikach testowania pionowego i poziomego przestrzegania kluczowych mechanizmów kontrolnych </w:t>
      </w:r>
      <w:r w:rsidRPr="00E0725E">
        <w:rPr>
          <w:rFonts w:ascii="Times New Roman" w:hAnsi="Times New Roman" w:cs="Times New Roman"/>
          <w:color w:val="000000" w:themeColor="text1"/>
          <w:szCs w:val="24"/>
          <w:lang w:eastAsia="en-US"/>
        </w:rPr>
        <w:br/>
        <w:t xml:space="preserve">z uwzględnieniem m. in. zestawienia wykrytych nieprawidłowości znaczących i krytycznych oraz </w:t>
      </w:r>
      <w:r w:rsidRPr="00E0725E">
        <w:rPr>
          <w:rFonts w:ascii="Times New Roman" w:hAnsi="Times New Roman" w:cs="Times New Roman"/>
          <w:color w:val="000000" w:themeColor="text1"/>
          <w:szCs w:val="24"/>
          <w:lang w:eastAsia="en-US"/>
        </w:rPr>
        <w:lastRenderedPageBreak/>
        <w:t xml:space="preserve">informacji dotyczących efektów działań podjętych w celu usunięcia tych nieprawidłowości. Ponadto kwartalnie sprawozdawane jest wykonanie planu badań audytowych, w tym status realizacji zaleceń </w:t>
      </w:r>
      <w:proofErr w:type="spellStart"/>
      <w:r w:rsidRPr="00E0725E">
        <w:rPr>
          <w:rFonts w:ascii="Times New Roman" w:hAnsi="Times New Roman" w:cs="Times New Roman"/>
          <w:color w:val="000000" w:themeColor="text1"/>
          <w:szCs w:val="24"/>
          <w:lang w:eastAsia="en-US"/>
        </w:rPr>
        <w:t>poaudytowych</w:t>
      </w:r>
      <w:proofErr w:type="spellEnd"/>
      <w:r w:rsidRPr="00E0725E">
        <w:rPr>
          <w:rFonts w:ascii="Times New Roman" w:hAnsi="Times New Roman" w:cs="Times New Roman"/>
          <w:color w:val="000000" w:themeColor="text1"/>
          <w:szCs w:val="24"/>
          <w:lang w:eastAsia="en-US"/>
        </w:rPr>
        <w:t xml:space="preserve"> oraz zestawienie wyników przeprowadzonych badań audytowych w danym okresie wraz ze wskazaniem nieprawidłowości znaczących i krytycznych.</w:t>
      </w:r>
    </w:p>
    <w:p w14:paraId="420F0E6E" w14:textId="77777777" w:rsidR="003A7DD6" w:rsidRPr="00E0725E" w:rsidRDefault="003A7DD6" w:rsidP="003A7DD6">
      <w:pPr>
        <w:spacing w:after="0" w:line="276" w:lineRule="auto"/>
        <w:ind w:left="0" w:right="0" w:firstLine="0"/>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Zarząd Banku, nie rzadziej niż raz w roku, informuje Radę Nadzorczą o sposobie wypełnienia zadań w ramach systemu kontroli wewnętrznej, w  tym ze szczególnym uwzględnieniem:</w:t>
      </w:r>
    </w:p>
    <w:p w14:paraId="56A97A56" w14:textId="77777777" w:rsidR="003A7DD6" w:rsidRPr="00E0725E" w:rsidRDefault="003A7DD6" w:rsidP="003B3DA4">
      <w:pPr>
        <w:numPr>
          <w:ilvl w:val="0"/>
          <w:numId w:val="72"/>
        </w:numPr>
        <w:spacing w:after="0" w:line="276" w:lineRule="auto"/>
        <w:ind w:right="0"/>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adekwatno</w:t>
      </w:r>
      <w:r w:rsidRPr="00E0725E">
        <w:rPr>
          <w:rFonts w:ascii="Times New Roman" w:eastAsia="Times New Roman" w:hAnsi="Times New Roman" w:cs="Times New Roman" w:hint="eastAsia"/>
          <w:color w:val="000000" w:themeColor="text1"/>
          <w:szCs w:val="24"/>
        </w:rPr>
        <w:t>ś</w:t>
      </w:r>
      <w:r w:rsidRPr="00E0725E">
        <w:rPr>
          <w:rFonts w:ascii="Times New Roman" w:eastAsia="Times New Roman" w:hAnsi="Times New Roman" w:cs="Times New Roman"/>
          <w:color w:val="000000" w:themeColor="text1"/>
          <w:szCs w:val="24"/>
        </w:rPr>
        <w:t>ci i skuteczno</w:t>
      </w:r>
      <w:r w:rsidRPr="00E0725E">
        <w:rPr>
          <w:rFonts w:ascii="Times New Roman" w:eastAsia="Times New Roman" w:hAnsi="Times New Roman" w:cs="Times New Roman" w:hint="eastAsia"/>
          <w:color w:val="000000" w:themeColor="text1"/>
          <w:szCs w:val="24"/>
        </w:rPr>
        <w:t>ś</w:t>
      </w:r>
      <w:r w:rsidRPr="00E0725E">
        <w:rPr>
          <w:rFonts w:ascii="Times New Roman" w:eastAsia="Times New Roman" w:hAnsi="Times New Roman" w:cs="Times New Roman"/>
          <w:color w:val="000000" w:themeColor="text1"/>
          <w:szCs w:val="24"/>
        </w:rPr>
        <w:t>ci systemu kontroli wewn</w:t>
      </w:r>
      <w:r w:rsidRPr="00E0725E">
        <w:rPr>
          <w:rFonts w:ascii="Times New Roman" w:eastAsia="Times New Roman" w:hAnsi="Times New Roman" w:cs="Times New Roman" w:hint="eastAsia"/>
          <w:color w:val="000000" w:themeColor="text1"/>
          <w:szCs w:val="24"/>
        </w:rPr>
        <w:t>ę</w:t>
      </w:r>
      <w:r w:rsidRPr="00E0725E">
        <w:rPr>
          <w:rFonts w:ascii="Times New Roman" w:eastAsia="Times New Roman" w:hAnsi="Times New Roman" w:cs="Times New Roman"/>
          <w:color w:val="000000" w:themeColor="text1"/>
          <w:szCs w:val="24"/>
        </w:rPr>
        <w:t>trznej w zapewnianiu osi</w:t>
      </w:r>
      <w:r w:rsidRPr="00E0725E">
        <w:rPr>
          <w:rFonts w:ascii="Times New Roman" w:eastAsia="Times New Roman" w:hAnsi="Times New Roman" w:cs="Times New Roman" w:hint="eastAsia"/>
          <w:color w:val="000000" w:themeColor="text1"/>
          <w:szCs w:val="24"/>
        </w:rPr>
        <w:t>ą</w:t>
      </w:r>
      <w:r w:rsidRPr="00E0725E">
        <w:rPr>
          <w:rFonts w:ascii="Times New Roman" w:eastAsia="Times New Roman" w:hAnsi="Times New Roman" w:cs="Times New Roman"/>
          <w:color w:val="000000" w:themeColor="text1"/>
          <w:szCs w:val="24"/>
        </w:rPr>
        <w:t>gania celów systemu kontroli wewn</w:t>
      </w:r>
      <w:r w:rsidRPr="00E0725E">
        <w:rPr>
          <w:rFonts w:ascii="Times New Roman" w:eastAsia="Times New Roman" w:hAnsi="Times New Roman" w:cs="Times New Roman" w:hint="eastAsia"/>
          <w:color w:val="000000" w:themeColor="text1"/>
          <w:szCs w:val="24"/>
        </w:rPr>
        <w:t>ę</w:t>
      </w:r>
      <w:r w:rsidRPr="00E0725E">
        <w:rPr>
          <w:rFonts w:ascii="Times New Roman" w:eastAsia="Times New Roman" w:hAnsi="Times New Roman" w:cs="Times New Roman"/>
          <w:color w:val="000000" w:themeColor="text1"/>
          <w:szCs w:val="24"/>
        </w:rPr>
        <w:t>trznej,</w:t>
      </w:r>
    </w:p>
    <w:p w14:paraId="3EC7100E" w14:textId="77777777" w:rsidR="003A7DD6" w:rsidRPr="00E0725E" w:rsidRDefault="003A7DD6" w:rsidP="003B3DA4">
      <w:pPr>
        <w:numPr>
          <w:ilvl w:val="0"/>
          <w:numId w:val="72"/>
        </w:numPr>
        <w:spacing w:after="0" w:line="276" w:lineRule="auto"/>
        <w:ind w:right="0"/>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skali i charakteru nieprawid</w:t>
      </w:r>
      <w:r w:rsidRPr="00E0725E">
        <w:rPr>
          <w:rFonts w:ascii="Times New Roman" w:eastAsia="Times New Roman" w:hAnsi="Times New Roman" w:cs="Times New Roman" w:hint="eastAsia"/>
          <w:color w:val="000000" w:themeColor="text1"/>
          <w:szCs w:val="24"/>
        </w:rPr>
        <w:t>ł</w:t>
      </w:r>
      <w:r w:rsidRPr="00E0725E">
        <w:rPr>
          <w:rFonts w:ascii="Times New Roman" w:eastAsia="Times New Roman" w:hAnsi="Times New Roman" w:cs="Times New Roman"/>
          <w:color w:val="000000" w:themeColor="text1"/>
          <w:szCs w:val="24"/>
        </w:rPr>
        <w:t>owo</w:t>
      </w:r>
      <w:r w:rsidRPr="00E0725E">
        <w:rPr>
          <w:rFonts w:ascii="Times New Roman" w:eastAsia="Times New Roman" w:hAnsi="Times New Roman" w:cs="Times New Roman" w:hint="eastAsia"/>
          <w:color w:val="000000" w:themeColor="text1"/>
          <w:szCs w:val="24"/>
        </w:rPr>
        <w:t>ś</w:t>
      </w:r>
      <w:r w:rsidRPr="00E0725E">
        <w:rPr>
          <w:rFonts w:ascii="Times New Roman" w:eastAsia="Times New Roman" w:hAnsi="Times New Roman" w:cs="Times New Roman"/>
          <w:color w:val="000000" w:themeColor="text1"/>
          <w:szCs w:val="24"/>
        </w:rPr>
        <w:t>ci znacz</w:t>
      </w:r>
      <w:r w:rsidRPr="00E0725E">
        <w:rPr>
          <w:rFonts w:ascii="Times New Roman" w:eastAsia="Times New Roman" w:hAnsi="Times New Roman" w:cs="Times New Roman" w:hint="eastAsia"/>
          <w:color w:val="000000" w:themeColor="text1"/>
          <w:szCs w:val="24"/>
        </w:rPr>
        <w:t>ą</w:t>
      </w:r>
      <w:r w:rsidRPr="00E0725E">
        <w:rPr>
          <w:rFonts w:ascii="Times New Roman" w:eastAsia="Times New Roman" w:hAnsi="Times New Roman" w:cs="Times New Roman"/>
          <w:color w:val="000000" w:themeColor="text1"/>
          <w:szCs w:val="24"/>
        </w:rPr>
        <w:t>cych i krytycznych oraz najwa</w:t>
      </w:r>
      <w:r w:rsidRPr="00E0725E">
        <w:rPr>
          <w:rFonts w:ascii="Times New Roman" w:eastAsia="Times New Roman" w:hAnsi="Times New Roman" w:cs="Times New Roman" w:hint="eastAsia"/>
          <w:color w:val="000000" w:themeColor="text1"/>
          <w:szCs w:val="24"/>
        </w:rPr>
        <w:t>ż</w:t>
      </w:r>
      <w:r w:rsidRPr="00E0725E">
        <w:rPr>
          <w:rFonts w:ascii="Times New Roman" w:eastAsia="Times New Roman" w:hAnsi="Times New Roman" w:cs="Times New Roman"/>
          <w:color w:val="000000" w:themeColor="text1"/>
          <w:szCs w:val="24"/>
        </w:rPr>
        <w:t>niejszych dzia</w:t>
      </w:r>
      <w:r w:rsidRPr="00E0725E">
        <w:rPr>
          <w:rFonts w:ascii="Times New Roman" w:eastAsia="Times New Roman" w:hAnsi="Times New Roman" w:cs="Times New Roman" w:hint="eastAsia"/>
          <w:color w:val="000000" w:themeColor="text1"/>
          <w:szCs w:val="24"/>
        </w:rPr>
        <w:t>ł</w:t>
      </w:r>
      <w:r w:rsidRPr="00E0725E">
        <w:rPr>
          <w:rFonts w:ascii="Times New Roman" w:eastAsia="Times New Roman" w:hAnsi="Times New Roman" w:cs="Times New Roman"/>
          <w:color w:val="000000" w:themeColor="text1"/>
          <w:szCs w:val="24"/>
        </w:rPr>
        <w:t>a</w:t>
      </w:r>
      <w:r w:rsidRPr="00E0725E">
        <w:rPr>
          <w:rFonts w:ascii="Times New Roman" w:eastAsia="Times New Roman" w:hAnsi="Times New Roman" w:cs="Times New Roman" w:hint="eastAsia"/>
          <w:color w:val="000000" w:themeColor="text1"/>
          <w:szCs w:val="24"/>
        </w:rPr>
        <w:t>ń</w:t>
      </w:r>
      <w:r w:rsidRPr="00E0725E">
        <w:rPr>
          <w:rFonts w:ascii="Times New Roman" w:eastAsia="Times New Roman" w:hAnsi="Times New Roman" w:cs="Times New Roman"/>
          <w:color w:val="000000" w:themeColor="text1"/>
          <w:szCs w:val="24"/>
        </w:rPr>
        <w:t xml:space="preserve"> zmierzaj</w:t>
      </w:r>
      <w:r w:rsidRPr="00E0725E">
        <w:rPr>
          <w:rFonts w:ascii="Times New Roman" w:eastAsia="Times New Roman" w:hAnsi="Times New Roman" w:cs="Times New Roman" w:hint="eastAsia"/>
          <w:color w:val="000000" w:themeColor="text1"/>
          <w:szCs w:val="24"/>
        </w:rPr>
        <w:t>ą</w:t>
      </w:r>
      <w:r w:rsidRPr="00E0725E">
        <w:rPr>
          <w:rFonts w:ascii="Times New Roman" w:eastAsia="Times New Roman" w:hAnsi="Times New Roman" w:cs="Times New Roman"/>
          <w:color w:val="000000" w:themeColor="text1"/>
          <w:szCs w:val="24"/>
        </w:rPr>
        <w:t>cych do usuni</w:t>
      </w:r>
      <w:r w:rsidRPr="00E0725E">
        <w:rPr>
          <w:rFonts w:ascii="Times New Roman" w:eastAsia="Times New Roman" w:hAnsi="Times New Roman" w:cs="Times New Roman" w:hint="eastAsia"/>
          <w:color w:val="000000" w:themeColor="text1"/>
          <w:szCs w:val="24"/>
        </w:rPr>
        <w:t>ę</w:t>
      </w:r>
      <w:r w:rsidRPr="00E0725E">
        <w:rPr>
          <w:rFonts w:ascii="Times New Roman" w:eastAsia="Times New Roman" w:hAnsi="Times New Roman" w:cs="Times New Roman"/>
          <w:color w:val="000000" w:themeColor="text1"/>
          <w:szCs w:val="24"/>
        </w:rPr>
        <w:t>cia tych nieprawid</w:t>
      </w:r>
      <w:r w:rsidRPr="00E0725E">
        <w:rPr>
          <w:rFonts w:ascii="Times New Roman" w:eastAsia="Times New Roman" w:hAnsi="Times New Roman" w:cs="Times New Roman" w:hint="eastAsia"/>
          <w:color w:val="000000" w:themeColor="text1"/>
          <w:szCs w:val="24"/>
        </w:rPr>
        <w:t>ł</w:t>
      </w:r>
      <w:r w:rsidRPr="00E0725E">
        <w:rPr>
          <w:rFonts w:ascii="Times New Roman" w:eastAsia="Times New Roman" w:hAnsi="Times New Roman" w:cs="Times New Roman"/>
          <w:color w:val="000000" w:themeColor="text1"/>
          <w:szCs w:val="24"/>
        </w:rPr>
        <w:t>owo</w:t>
      </w:r>
      <w:r w:rsidRPr="00E0725E">
        <w:rPr>
          <w:rFonts w:ascii="Times New Roman" w:eastAsia="Times New Roman" w:hAnsi="Times New Roman" w:cs="Times New Roman" w:hint="eastAsia"/>
          <w:color w:val="000000" w:themeColor="text1"/>
          <w:szCs w:val="24"/>
        </w:rPr>
        <w:t>ś</w:t>
      </w:r>
      <w:r w:rsidRPr="00E0725E">
        <w:rPr>
          <w:rFonts w:ascii="Times New Roman" w:eastAsia="Times New Roman" w:hAnsi="Times New Roman" w:cs="Times New Roman"/>
          <w:color w:val="000000" w:themeColor="text1"/>
          <w:szCs w:val="24"/>
        </w:rPr>
        <w:t>ci, w tym podj</w:t>
      </w:r>
      <w:r w:rsidRPr="00E0725E">
        <w:rPr>
          <w:rFonts w:ascii="Times New Roman" w:eastAsia="Times New Roman" w:hAnsi="Times New Roman" w:cs="Times New Roman" w:hint="eastAsia"/>
          <w:color w:val="000000" w:themeColor="text1"/>
          <w:szCs w:val="24"/>
        </w:rPr>
        <w:t>ę</w:t>
      </w:r>
      <w:r w:rsidRPr="00E0725E">
        <w:rPr>
          <w:rFonts w:ascii="Times New Roman" w:eastAsia="Times New Roman" w:hAnsi="Times New Roman" w:cs="Times New Roman"/>
          <w:color w:val="000000" w:themeColor="text1"/>
          <w:szCs w:val="24"/>
        </w:rPr>
        <w:t xml:space="preserve">tych </w:t>
      </w:r>
      <w:r w:rsidRPr="00E0725E">
        <w:rPr>
          <w:rFonts w:ascii="Times New Roman" w:eastAsia="Times New Roman" w:hAnsi="Times New Roman" w:cs="Times New Roman" w:hint="eastAsia"/>
          <w:color w:val="000000" w:themeColor="text1"/>
          <w:szCs w:val="24"/>
        </w:rPr>
        <w:t>ś</w:t>
      </w:r>
      <w:r w:rsidRPr="00E0725E">
        <w:rPr>
          <w:rFonts w:ascii="Times New Roman" w:eastAsia="Times New Roman" w:hAnsi="Times New Roman" w:cs="Times New Roman"/>
          <w:color w:val="000000" w:themeColor="text1"/>
          <w:szCs w:val="24"/>
        </w:rPr>
        <w:t>rodkach naprawczych i dyscyplinuj</w:t>
      </w:r>
      <w:r w:rsidRPr="00E0725E">
        <w:rPr>
          <w:rFonts w:ascii="Times New Roman" w:eastAsia="Times New Roman" w:hAnsi="Times New Roman" w:cs="Times New Roman" w:hint="eastAsia"/>
          <w:color w:val="000000" w:themeColor="text1"/>
          <w:szCs w:val="24"/>
        </w:rPr>
        <w:t>ą</w:t>
      </w:r>
      <w:r w:rsidRPr="00E0725E">
        <w:rPr>
          <w:rFonts w:ascii="Times New Roman" w:eastAsia="Times New Roman" w:hAnsi="Times New Roman" w:cs="Times New Roman"/>
          <w:color w:val="000000" w:themeColor="text1"/>
          <w:szCs w:val="24"/>
        </w:rPr>
        <w:t>cych,</w:t>
      </w:r>
    </w:p>
    <w:p w14:paraId="75BFC89E" w14:textId="77777777" w:rsidR="003A7DD6" w:rsidRPr="00E0725E" w:rsidRDefault="003A7DD6" w:rsidP="003B3DA4">
      <w:pPr>
        <w:numPr>
          <w:ilvl w:val="0"/>
          <w:numId w:val="72"/>
        </w:numPr>
        <w:spacing w:after="0" w:line="276" w:lineRule="auto"/>
        <w:ind w:right="0"/>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zapewniania niezale</w:t>
      </w:r>
      <w:r w:rsidRPr="00E0725E">
        <w:rPr>
          <w:rFonts w:ascii="Times New Roman" w:eastAsia="Times New Roman" w:hAnsi="Times New Roman" w:cs="Times New Roman" w:hint="eastAsia"/>
          <w:color w:val="000000" w:themeColor="text1"/>
          <w:szCs w:val="24"/>
        </w:rPr>
        <w:t>ż</w:t>
      </w:r>
      <w:r w:rsidRPr="00E0725E">
        <w:rPr>
          <w:rFonts w:ascii="Times New Roman" w:eastAsia="Times New Roman" w:hAnsi="Times New Roman" w:cs="Times New Roman"/>
          <w:color w:val="000000" w:themeColor="text1"/>
          <w:szCs w:val="24"/>
        </w:rPr>
        <w:t>no</w:t>
      </w:r>
      <w:r w:rsidRPr="00E0725E">
        <w:rPr>
          <w:rFonts w:ascii="Times New Roman" w:eastAsia="Times New Roman" w:hAnsi="Times New Roman" w:cs="Times New Roman" w:hint="eastAsia"/>
          <w:color w:val="000000" w:themeColor="text1"/>
          <w:szCs w:val="24"/>
        </w:rPr>
        <w:t>ś</w:t>
      </w:r>
      <w:r w:rsidRPr="00E0725E">
        <w:rPr>
          <w:rFonts w:ascii="Times New Roman" w:eastAsia="Times New Roman" w:hAnsi="Times New Roman" w:cs="Times New Roman"/>
          <w:color w:val="000000" w:themeColor="text1"/>
          <w:szCs w:val="24"/>
        </w:rPr>
        <w:t>ci Zespołu Zarządzania Zgodnością i Zespołu Audytu Wewnętrznego,</w:t>
      </w:r>
    </w:p>
    <w:p w14:paraId="598045F1" w14:textId="77777777" w:rsidR="003A7DD6" w:rsidRPr="00E0725E" w:rsidRDefault="003A7DD6" w:rsidP="003B3DA4">
      <w:pPr>
        <w:numPr>
          <w:ilvl w:val="0"/>
          <w:numId w:val="72"/>
        </w:numPr>
        <w:spacing w:after="0" w:line="276" w:lineRule="auto"/>
        <w:ind w:right="0"/>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zapewniania odpowiednich zasobów kadrowych niezb</w:t>
      </w:r>
      <w:r w:rsidRPr="00E0725E">
        <w:rPr>
          <w:rFonts w:ascii="Times New Roman" w:eastAsia="Times New Roman" w:hAnsi="Times New Roman" w:cs="Times New Roman" w:hint="eastAsia"/>
          <w:color w:val="000000" w:themeColor="text1"/>
          <w:szCs w:val="24"/>
        </w:rPr>
        <w:t>ę</w:t>
      </w:r>
      <w:r w:rsidRPr="00E0725E">
        <w:rPr>
          <w:rFonts w:ascii="Times New Roman" w:eastAsia="Times New Roman" w:hAnsi="Times New Roman" w:cs="Times New Roman"/>
          <w:color w:val="000000" w:themeColor="text1"/>
          <w:szCs w:val="24"/>
        </w:rPr>
        <w:t>dnych do skutecznego wykonywania zada</w:t>
      </w:r>
      <w:r w:rsidRPr="00E0725E">
        <w:rPr>
          <w:rFonts w:ascii="Times New Roman" w:eastAsia="Times New Roman" w:hAnsi="Times New Roman" w:cs="Times New Roman" w:hint="eastAsia"/>
          <w:color w:val="000000" w:themeColor="text1"/>
          <w:szCs w:val="24"/>
        </w:rPr>
        <w:t>ń</w:t>
      </w:r>
      <w:r w:rsidRPr="00E0725E">
        <w:rPr>
          <w:rFonts w:ascii="Times New Roman" w:eastAsia="Times New Roman" w:hAnsi="Times New Roman" w:cs="Times New Roman"/>
          <w:color w:val="000000" w:themeColor="text1"/>
          <w:szCs w:val="24"/>
        </w:rPr>
        <w:t xml:space="preserve"> oraz koniecznych </w:t>
      </w:r>
      <w:r w:rsidRPr="00E0725E">
        <w:rPr>
          <w:rFonts w:ascii="Times New Roman" w:eastAsia="Times New Roman" w:hAnsi="Times New Roman" w:cs="Times New Roman" w:hint="eastAsia"/>
          <w:color w:val="000000" w:themeColor="text1"/>
          <w:szCs w:val="24"/>
        </w:rPr>
        <w:t>ś</w:t>
      </w:r>
      <w:r w:rsidRPr="00E0725E">
        <w:rPr>
          <w:rFonts w:ascii="Times New Roman" w:eastAsia="Times New Roman" w:hAnsi="Times New Roman" w:cs="Times New Roman"/>
          <w:color w:val="000000" w:themeColor="text1"/>
          <w:szCs w:val="24"/>
        </w:rPr>
        <w:t>rodków finansowych do systematycznego podnoszenia kwalifikacji, zdobywania do</w:t>
      </w:r>
      <w:r w:rsidRPr="00E0725E">
        <w:rPr>
          <w:rFonts w:ascii="Times New Roman" w:eastAsia="Times New Roman" w:hAnsi="Times New Roman" w:cs="Times New Roman" w:hint="eastAsia"/>
          <w:color w:val="000000" w:themeColor="text1"/>
          <w:szCs w:val="24"/>
        </w:rPr>
        <w:t>ś</w:t>
      </w:r>
      <w:r w:rsidRPr="00E0725E">
        <w:rPr>
          <w:rFonts w:ascii="Times New Roman" w:eastAsia="Times New Roman" w:hAnsi="Times New Roman" w:cs="Times New Roman"/>
          <w:color w:val="000000" w:themeColor="text1"/>
          <w:szCs w:val="24"/>
        </w:rPr>
        <w:t>wiadczenia i umiej</w:t>
      </w:r>
      <w:r w:rsidRPr="00E0725E">
        <w:rPr>
          <w:rFonts w:ascii="Times New Roman" w:eastAsia="Times New Roman" w:hAnsi="Times New Roman" w:cs="Times New Roman" w:hint="eastAsia"/>
          <w:color w:val="000000" w:themeColor="text1"/>
          <w:szCs w:val="24"/>
        </w:rPr>
        <w:t>ę</w:t>
      </w:r>
      <w:r w:rsidRPr="00E0725E">
        <w:rPr>
          <w:rFonts w:ascii="Times New Roman" w:eastAsia="Times New Roman" w:hAnsi="Times New Roman" w:cs="Times New Roman"/>
          <w:color w:val="000000" w:themeColor="text1"/>
          <w:szCs w:val="24"/>
        </w:rPr>
        <w:t>tno</w:t>
      </w:r>
      <w:r w:rsidRPr="00E0725E">
        <w:rPr>
          <w:rFonts w:ascii="Times New Roman" w:eastAsia="Times New Roman" w:hAnsi="Times New Roman" w:cs="Times New Roman" w:hint="eastAsia"/>
          <w:color w:val="000000" w:themeColor="text1"/>
          <w:szCs w:val="24"/>
        </w:rPr>
        <w:t>ś</w:t>
      </w:r>
      <w:r w:rsidRPr="00E0725E">
        <w:rPr>
          <w:rFonts w:ascii="Times New Roman" w:eastAsia="Times New Roman" w:hAnsi="Times New Roman" w:cs="Times New Roman"/>
          <w:color w:val="000000" w:themeColor="text1"/>
          <w:szCs w:val="24"/>
        </w:rPr>
        <w:t>ci przez pracowników Zespołu Zarządzania Zgodnością i Zespołu Audytu Wewnętrznego.</w:t>
      </w:r>
    </w:p>
    <w:p w14:paraId="290801CC" w14:textId="77777777" w:rsidR="003A7DD6" w:rsidRPr="00E0725E" w:rsidRDefault="003A7DD6" w:rsidP="003A7DD6">
      <w:pPr>
        <w:spacing w:after="0" w:line="276" w:lineRule="auto"/>
        <w:ind w:left="0" w:right="0" w:firstLine="0"/>
        <w:rPr>
          <w:rFonts w:ascii="Times New Roman" w:eastAsia="Times New Roman" w:hAnsi="Times New Roman" w:cs="Times New Roman"/>
          <w:color w:val="000000" w:themeColor="text1"/>
          <w:szCs w:val="24"/>
        </w:rPr>
      </w:pPr>
      <w:r w:rsidRPr="00E0725E">
        <w:rPr>
          <w:rFonts w:ascii="Times New Roman" w:eastAsia="Times New Roman" w:hAnsi="Times New Roman" w:cs="Times New Roman"/>
          <w:color w:val="000000" w:themeColor="text1"/>
          <w:szCs w:val="24"/>
        </w:rPr>
        <w:t>Rada Nadzorcza zatwierdza kryteria oceny adekwatno</w:t>
      </w:r>
      <w:r w:rsidRPr="00E0725E">
        <w:rPr>
          <w:rFonts w:ascii="Times New Roman" w:eastAsia="Times New Roman" w:hAnsi="Times New Roman" w:cs="Times New Roman" w:hint="eastAsia"/>
          <w:color w:val="000000" w:themeColor="text1"/>
          <w:szCs w:val="24"/>
        </w:rPr>
        <w:t>ś</w:t>
      </w:r>
      <w:r w:rsidRPr="00E0725E">
        <w:rPr>
          <w:rFonts w:ascii="Times New Roman" w:eastAsia="Times New Roman" w:hAnsi="Times New Roman" w:cs="Times New Roman"/>
          <w:color w:val="000000" w:themeColor="text1"/>
          <w:szCs w:val="24"/>
        </w:rPr>
        <w:t>ci i skuteczno</w:t>
      </w:r>
      <w:r w:rsidRPr="00E0725E">
        <w:rPr>
          <w:rFonts w:ascii="Times New Roman" w:eastAsia="Times New Roman" w:hAnsi="Times New Roman" w:cs="Times New Roman" w:hint="eastAsia"/>
          <w:color w:val="000000" w:themeColor="text1"/>
          <w:szCs w:val="24"/>
        </w:rPr>
        <w:t>ś</w:t>
      </w:r>
      <w:r w:rsidRPr="00E0725E">
        <w:rPr>
          <w:rFonts w:ascii="Times New Roman" w:eastAsia="Times New Roman" w:hAnsi="Times New Roman" w:cs="Times New Roman"/>
          <w:color w:val="000000" w:themeColor="text1"/>
          <w:szCs w:val="24"/>
        </w:rPr>
        <w:t>ci systemu kontroli wewn</w:t>
      </w:r>
      <w:r w:rsidRPr="00E0725E">
        <w:rPr>
          <w:rFonts w:ascii="Times New Roman" w:eastAsia="Times New Roman" w:hAnsi="Times New Roman" w:cs="Times New Roman" w:hint="eastAsia"/>
          <w:color w:val="000000" w:themeColor="text1"/>
          <w:szCs w:val="24"/>
        </w:rPr>
        <w:t>ę</w:t>
      </w:r>
      <w:r w:rsidRPr="00E0725E">
        <w:rPr>
          <w:rFonts w:ascii="Times New Roman" w:eastAsia="Times New Roman" w:hAnsi="Times New Roman" w:cs="Times New Roman"/>
          <w:color w:val="000000" w:themeColor="text1"/>
          <w:szCs w:val="24"/>
        </w:rPr>
        <w:t>trznej ustanowi</w:t>
      </w:r>
      <w:r w:rsidRPr="00E0725E">
        <w:rPr>
          <w:rFonts w:ascii="Times New Roman" w:eastAsia="Times New Roman" w:hAnsi="Times New Roman" w:cs="Times New Roman" w:hint="eastAsia"/>
          <w:color w:val="000000" w:themeColor="text1"/>
          <w:szCs w:val="24"/>
        </w:rPr>
        <w:t>one przez Zarząd.</w:t>
      </w:r>
      <w:r w:rsidRPr="00E0725E">
        <w:rPr>
          <w:rFonts w:ascii="Times New Roman" w:eastAsia="Times New Roman" w:hAnsi="Times New Roman" w:cs="Times New Roman"/>
          <w:color w:val="000000" w:themeColor="text1"/>
          <w:szCs w:val="24"/>
        </w:rPr>
        <w:t xml:space="preserve"> </w:t>
      </w:r>
    </w:p>
    <w:p w14:paraId="3339C162" w14:textId="77777777" w:rsidR="003A7DD6" w:rsidRPr="00E0725E" w:rsidRDefault="003A7DD6" w:rsidP="003A7DD6">
      <w:pPr>
        <w:widowControl w:val="0"/>
        <w:tabs>
          <w:tab w:val="left" w:pos="0"/>
        </w:tabs>
        <w:spacing w:after="0" w:line="276" w:lineRule="auto"/>
        <w:ind w:left="0" w:right="0" w:firstLine="0"/>
        <w:rPr>
          <w:rFonts w:ascii="Times New Roman" w:hAnsi="Times New Roman" w:cs="Times New Roman"/>
          <w:color w:val="000000" w:themeColor="text1"/>
          <w:szCs w:val="24"/>
          <w:lang w:eastAsia="en-US"/>
        </w:rPr>
      </w:pPr>
      <w:r w:rsidRPr="00E0725E">
        <w:rPr>
          <w:rFonts w:ascii="Times New Roman" w:eastAsia="Times New Roman" w:hAnsi="Times New Roman" w:cs="Times New Roman"/>
          <w:color w:val="000000" w:themeColor="text1"/>
          <w:szCs w:val="24"/>
        </w:rPr>
        <w:t>Rada Nadzorcza dokonuje corocznej oceny adekwatności i skuteczności systemu kontroli wewnętrznej, w tym oceny adekwatno</w:t>
      </w:r>
      <w:r w:rsidRPr="00E0725E">
        <w:rPr>
          <w:rFonts w:ascii="Times New Roman" w:eastAsia="Times New Roman" w:hAnsi="Times New Roman" w:cs="Times New Roman" w:hint="eastAsia"/>
          <w:color w:val="000000" w:themeColor="text1"/>
          <w:szCs w:val="24"/>
        </w:rPr>
        <w:t>ś</w:t>
      </w:r>
      <w:r w:rsidRPr="00E0725E">
        <w:rPr>
          <w:rFonts w:ascii="Times New Roman" w:eastAsia="Times New Roman" w:hAnsi="Times New Roman" w:cs="Times New Roman"/>
          <w:color w:val="000000" w:themeColor="text1"/>
          <w:szCs w:val="24"/>
        </w:rPr>
        <w:t>ci i skuteczno</w:t>
      </w:r>
      <w:r w:rsidRPr="00E0725E">
        <w:rPr>
          <w:rFonts w:ascii="Times New Roman" w:eastAsia="Times New Roman" w:hAnsi="Times New Roman" w:cs="Times New Roman" w:hint="eastAsia"/>
          <w:color w:val="000000" w:themeColor="text1"/>
          <w:szCs w:val="24"/>
        </w:rPr>
        <w:t>ś</w:t>
      </w:r>
      <w:r w:rsidRPr="00E0725E">
        <w:rPr>
          <w:rFonts w:ascii="Times New Roman" w:eastAsia="Times New Roman" w:hAnsi="Times New Roman" w:cs="Times New Roman"/>
          <w:color w:val="000000" w:themeColor="text1"/>
          <w:szCs w:val="24"/>
        </w:rPr>
        <w:t xml:space="preserve">ci funkcji kontroli, Zespołu Zarządzania Zgodnością oraz Zespołu Audytu Wewnętrznego </w:t>
      </w:r>
      <w:r w:rsidRPr="00E0725E">
        <w:rPr>
          <w:rFonts w:ascii="Times New Roman" w:hAnsi="Times New Roman" w:cs="Times New Roman"/>
          <w:color w:val="000000" w:themeColor="text1"/>
          <w:szCs w:val="24"/>
          <w:lang w:eastAsia="en-US"/>
        </w:rPr>
        <w:t>na podstawie:</w:t>
      </w:r>
    </w:p>
    <w:p w14:paraId="49BC9103" w14:textId="77777777" w:rsidR="003A7DD6" w:rsidRPr="00E0725E" w:rsidRDefault="003A7DD6" w:rsidP="003B3DA4">
      <w:pPr>
        <w:numPr>
          <w:ilvl w:val="0"/>
          <w:numId w:val="74"/>
        </w:numPr>
        <w:spacing w:after="0" w:line="276" w:lineRule="auto"/>
        <w:ind w:right="0"/>
        <w:jc w:val="left"/>
        <w:rPr>
          <w:rFonts w:ascii="Times New Roman" w:hAnsi="Times New Roman" w:cs="Times New Roman"/>
          <w:color w:val="000000" w:themeColor="text1"/>
          <w:szCs w:val="24"/>
          <w:lang w:eastAsia="ko-KR"/>
        </w:rPr>
      </w:pPr>
      <w:r w:rsidRPr="00E0725E">
        <w:rPr>
          <w:rFonts w:ascii="Times New Roman" w:hAnsi="Times New Roman" w:cs="Times New Roman"/>
          <w:color w:val="000000" w:themeColor="text1"/>
          <w:szCs w:val="24"/>
          <w:lang w:eastAsia="ko-KR"/>
        </w:rPr>
        <w:t>opini</w:t>
      </w:r>
      <w:r w:rsidRPr="00E0725E">
        <w:rPr>
          <w:rFonts w:ascii="Times New Roman" w:hAnsi="Times New Roman" w:cs="Times New Roman" w:hint="eastAsia"/>
          <w:color w:val="000000" w:themeColor="text1"/>
          <w:szCs w:val="24"/>
          <w:lang w:eastAsia="ko-KR"/>
        </w:rPr>
        <w:t>i</w:t>
      </w:r>
      <w:r w:rsidRPr="00E0725E">
        <w:rPr>
          <w:rFonts w:ascii="Times New Roman" w:hAnsi="Times New Roman" w:cs="Times New Roman"/>
          <w:color w:val="000000" w:themeColor="text1"/>
          <w:szCs w:val="24"/>
          <w:lang w:eastAsia="ko-KR"/>
        </w:rPr>
        <w:t xml:space="preserve"> Komitetu Audytu,</w:t>
      </w:r>
    </w:p>
    <w:p w14:paraId="6213F3B5" w14:textId="77777777" w:rsidR="003A7DD6" w:rsidRPr="00E0725E" w:rsidRDefault="003A7DD6" w:rsidP="003B3DA4">
      <w:pPr>
        <w:widowControl w:val="0"/>
        <w:numPr>
          <w:ilvl w:val="0"/>
          <w:numId w:val="74"/>
        </w:numPr>
        <w:tabs>
          <w:tab w:val="left" w:pos="0"/>
        </w:tabs>
        <w:spacing w:after="0" w:line="276" w:lineRule="auto"/>
        <w:ind w:right="0"/>
        <w:jc w:val="left"/>
        <w:rPr>
          <w:rFonts w:ascii="Times New Roman" w:hAnsi="Times New Roman" w:cs="Times New Roman"/>
          <w:color w:val="000000" w:themeColor="text1"/>
          <w:szCs w:val="24"/>
          <w:lang w:eastAsia="en-US"/>
        </w:rPr>
      </w:pPr>
      <w:r w:rsidRPr="00E0725E">
        <w:rPr>
          <w:rFonts w:ascii="Times New Roman" w:hAnsi="Times New Roman" w:cs="Times New Roman"/>
          <w:color w:val="000000" w:themeColor="text1"/>
          <w:szCs w:val="24"/>
          <w:lang w:eastAsia="en-US"/>
        </w:rPr>
        <w:t>informacj</w:t>
      </w:r>
      <w:r w:rsidRPr="00E0725E">
        <w:rPr>
          <w:rFonts w:ascii="Times New Roman" w:hAnsi="Times New Roman" w:cs="Times New Roman" w:hint="eastAsia"/>
          <w:color w:val="000000" w:themeColor="text1"/>
          <w:szCs w:val="24"/>
          <w:lang w:eastAsia="en-US"/>
        </w:rPr>
        <w:t>i</w:t>
      </w:r>
      <w:r w:rsidRPr="00E0725E">
        <w:rPr>
          <w:rFonts w:ascii="Times New Roman" w:hAnsi="Times New Roman" w:cs="Times New Roman"/>
          <w:color w:val="000000" w:themeColor="text1"/>
          <w:szCs w:val="24"/>
          <w:lang w:eastAsia="en-US"/>
        </w:rPr>
        <w:t xml:space="preserve"> Zarz</w:t>
      </w:r>
      <w:r w:rsidRPr="00E0725E">
        <w:rPr>
          <w:rFonts w:ascii="Times New Roman" w:hAnsi="Times New Roman" w:cs="Times New Roman" w:hint="eastAsia"/>
          <w:color w:val="000000" w:themeColor="text1"/>
          <w:szCs w:val="24"/>
          <w:lang w:eastAsia="en-US"/>
        </w:rPr>
        <w:t>ą</w:t>
      </w:r>
      <w:r w:rsidRPr="00E0725E">
        <w:rPr>
          <w:rFonts w:ascii="Times New Roman" w:hAnsi="Times New Roman" w:cs="Times New Roman"/>
          <w:color w:val="000000" w:themeColor="text1"/>
          <w:szCs w:val="24"/>
          <w:lang w:eastAsia="en-US"/>
        </w:rPr>
        <w:t>du o funkcjonowaniu systemu kontroli wewnętrznej,</w:t>
      </w:r>
    </w:p>
    <w:p w14:paraId="32795BDE" w14:textId="77777777" w:rsidR="003A7DD6" w:rsidRPr="00E0725E" w:rsidRDefault="003A7DD6" w:rsidP="003B3DA4">
      <w:pPr>
        <w:widowControl w:val="0"/>
        <w:numPr>
          <w:ilvl w:val="0"/>
          <w:numId w:val="74"/>
        </w:numPr>
        <w:tabs>
          <w:tab w:val="left" w:pos="0"/>
        </w:tabs>
        <w:spacing w:after="0" w:line="276" w:lineRule="auto"/>
        <w:ind w:right="0"/>
        <w:rPr>
          <w:rFonts w:ascii="Times New Roman" w:hAnsi="Times New Roman" w:cs="Times New Roman"/>
          <w:color w:val="000000" w:themeColor="text1"/>
          <w:szCs w:val="24"/>
          <w:lang w:eastAsia="en-US"/>
        </w:rPr>
      </w:pPr>
      <w:r w:rsidRPr="00E0725E">
        <w:rPr>
          <w:rFonts w:ascii="Times New Roman" w:hAnsi="Times New Roman" w:cs="Times New Roman"/>
          <w:color w:val="000000" w:themeColor="text1"/>
          <w:szCs w:val="24"/>
          <w:lang w:eastAsia="en-US"/>
        </w:rPr>
        <w:t>okresowych raportów Zespołu Zarządzania Zgodnością oraz Zespołu Audytu Wewnętrznego,</w:t>
      </w:r>
    </w:p>
    <w:p w14:paraId="74C629D0" w14:textId="77777777" w:rsidR="003A7DD6" w:rsidRPr="00E0725E" w:rsidRDefault="003A7DD6" w:rsidP="003B3DA4">
      <w:pPr>
        <w:widowControl w:val="0"/>
        <w:numPr>
          <w:ilvl w:val="0"/>
          <w:numId w:val="74"/>
        </w:numPr>
        <w:tabs>
          <w:tab w:val="left" w:pos="0"/>
        </w:tabs>
        <w:spacing w:after="0" w:line="276" w:lineRule="auto"/>
        <w:ind w:right="0"/>
        <w:rPr>
          <w:rFonts w:ascii="Times New Roman" w:hAnsi="Times New Roman" w:cs="Times New Roman"/>
          <w:color w:val="000000" w:themeColor="text1"/>
          <w:szCs w:val="24"/>
          <w:lang w:eastAsia="en-US"/>
        </w:rPr>
      </w:pPr>
      <w:r w:rsidRPr="00E0725E">
        <w:rPr>
          <w:rFonts w:ascii="Times New Roman" w:hAnsi="Times New Roman" w:cs="Times New Roman"/>
          <w:color w:val="000000" w:themeColor="text1"/>
          <w:szCs w:val="24"/>
          <w:lang w:eastAsia="en-US"/>
        </w:rPr>
        <w:t>informacji o adekwatności i skuteczności funkcji kontroli sporządzanej przez Zespół Zarządzania Zgodnością, a także raportu z oceny skuteczności systemu kontroli wewnętrznej i systemu zarządzania ryzykiem – Zespołu Audytu Wewnętrznego,</w:t>
      </w:r>
    </w:p>
    <w:p w14:paraId="713F0C6B" w14:textId="77777777" w:rsidR="003A7DD6" w:rsidRPr="00E0725E" w:rsidRDefault="003A7DD6" w:rsidP="003B3DA4">
      <w:pPr>
        <w:widowControl w:val="0"/>
        <w:numPr>
          <w:ilvl w:val="0"/>
          <w:numId w:val="74"/>
        </w:numPr>
        <w:tabs>
          <w:tab w:val="left" w:pos="0"/>
        </w:tabs>
        <w:spacing w:after="0" w:line="276" w:lineRule="auto"/>
        <w:ind w:right="0"/>
        <w:rPr>
          <w:rFonts w:ascii="Times New Roman" w:hAnsi="Times New Roman" w:cs="Times New Roman"/>
          <w:color w:val="000000" w:themeColor="text1"/>
          <w:szCs w:val="24"/>
          <w:lang w:eastAsia="en-US"/>
        </w:rPr>
      </w:pPr>
      <w:r w:rsidRPr="00E0725E">
        <w:rPr>
          <w:rFonts w:ascii="Times New Roman" w:hAnsi="Times New Roman" w:cs="Times New Roman"/>
          <w:color w:val="000000" w:themeColor="text1"/>
          <w:szCs w:val="24"/>
          <w:lang w:eastAsia="en-US"/>
        </w:rPr>
        <w:t>ustaleń dokonanych przez bieg</w:t>
      </w:r>
      <w:r w:rsidRPr="00E0725E">
        <w:rPr>
          <w:rFonts w:ascii="Times New Roman" w:hAnsi="Times New Roman" w:cs="Times New Roman" w:hint="eastAsia"/>
          <w:color w:val="000000" w:themeColor="text1"/>
          <w:szCs w:val="24"/>
          <w:lang w:eastAsia="en-US"/>
        </w:rPr>
        <w:t>ł</w:t>
      </w:r>
      <w:r w:rsidRPr="00E0725E">
        <w:rPr>
          <w:rFonts w:ascii="Times New Roman" w:hAnsi="Times New Roman" w:cs="Times New Roman"/>
          <w:color w:val="000000" w:themeColor="text1"/>
          <w:szCs w:val="24"/>
          <w:lang w:eastAsia="en-US"/>
        </w:rPr>
        <w:t>ego rewidenta,</w:t>
      </w:r>
    </w:p>
    <w:p w14:paraId="1ACC4874" w14:textId="77777777" w:rsidR="003A7DD6" w:rsidRPr="00E0725E" w:rsidRDefault="003A7DD6" w:rsidP="003B3DA4">
      <w:pPr>
        <w:widowControl w:val="0"/>
        <w:numPr>
          <w:ilvl w:val="0"/>
          <w:numId w:val="74"/>
        </w:numPr>
        <w:tabs>
          <w:tab w:val="left" w:pos="0"/>
        </w:tabs>
        <w:spacing w:after="0" w:line="276" w:lineRule="auto"/>
        <w:ind w:right="0"/>
        <w:rPr>
          <w:rFonts w:ascii="Times New Roman" w:hAnsi="Times New Roman" w:cs="Times New Roman"/>
          <w:color w:val="000000" w:themeColor="text1"/>
          <w:szCs w:val="24"/>
          <w:lang w:eastAsia="en-US"/>
        </w:rPr>
      </w:pPr>
      <w:r w:rsidRPr="00E0725E">
        <w:rPr>
          <w:rFonts w:ascii="Times New Roman" w:hAnsi="Times New Roman" w:cs="Times New Roman"/>
          <w:color w:val="000000" w:themeColor="text1"/>
          <w:szCs w:val="24"/>
          <w:lang w:eastAsia="en-US"/>
        </w:rPr>
        <w:t>ustaleń wynikaj</w:t>
      </w:r>
      <w:r w:rsidRPr="00E0725E">
        <w:rPr>
          <w:rFonts w:ascii="Times New Roman" w:hAnsi="Times New Roman" w:cs="Times New Roman" w:hint="eastAsia"/>
          <w:color w:val="000000" w:themeColor="text1"/>
          <w:szCs w:val="24"/>
          <w:lang w:eastAsia="en-US"/>
        </w:rPr>
        <w:t>ą</w:t>
      </w:r>
      <w:r w:rsidRPr="00E0725E">
        <w:rPr>
          <w:rFonts w:ascii="Times New Roman" w:hAnsi="Times New Roman" w:cs="Times New Roman"/>
          <w:color w:val="000000" w:themeColor="text1"/>
          <w:szCs w:val="24"/>
          <w:lang w:eastAsia="en-US"/>
        </w:rPr>
        <w:t>cych z czynno</w:t>
      </w:r>
      <w:r w:rsidRPr="00E0725E">
        <w:rPr>
          <w:rFonts w:ascii="Times New Roman" w:hAnsi="Times New Roman" w:cs="Times New Roman" w:hint="eastAsia"/>
          <w:color w:val="000000" w:themeColor="text1"/>
          <w:szCs w:val="24"/>
          <w:lang w:eastAsia="en-US"/>
        </w:rPr>
        <w:t>ś</w:t>
      </w:r>
      <w:r w:rsidRPr="00E0725E">
        <w:rPr>
          <w:rFonts w:ascii="Times New Roman" w:hAnsi="Times New Roman" w:cs="Times New Roman"/>
          <w:color w:val="000000" w:themeColor="text1"/>
          <w:szCs w:val="24"/>
          <w:lang w:eastAsia="en-US"/>
        </w:rPr>
        <w:t>ci nadzorczych wykonywanych przez uprawnione do tego instytucje (np. KNF, UOKIK),</w:t>
      </w:r>
    </w:p>
    <w:p w14:paraId="2A044D0E" w14:textId="77777777" w:rsidR="003A7DD6" w:rsidRPr="00E0725E" w:rsidRDefault="003A7DD6" w:rsidP="003B3DA4">
      <w:pPr>
        <w:widowControl w:val="0"/>
        <w:numPr>
          <w:ilvl w:val="0"/>
          <w:numId w:val="74"/>
        </w:numPr>
        <w:tabs>
          <w:tab w:val="left" w:pos="0"/>
        </w:tabs>
        <w:spacing w:after="0" w:line="276" w:lineRule="auto"/>
        <w:ind w:right="0"/>
        <w:rPr>
          <w:rFonts w:ascii="Times New Roman" w:hAnsi="Times New Roman" w:cs="Times New Roman"/>
          <w:color w:val="000000" w:themeColor="text1"/>
          <w:szCs w:val="24"/>
          <w:lang w:eastAsia="en-US"/>
        </w:rPr>
      </w:pPr>
      <w:r w:rsidRPr="00E0725E">
        <w:rPr>
          <w:rFonts w:ascii="Times New Roman" w:hAnsi="Times New Roman" w:cs="Times New Roman"/>
          <w:color w:val="000000" w:themeColor="text1"/>
          <w:szCs w:val="24"/>
          <w:lang w:eastAsia="en-US"/>
        </w:rPr>
        <w:t>innych istotnych z punktu widzenia adekwatno</w:t>
      </w:r>
      <w:r w:rsidRPr="00E0725E">
        <w:rPr>
          <w:rFonts w:ascii="Times New Roman" w:hAnsi="Times New Roman" w:cs="Times New Roman" w:hint="eastAsia"/>
          <w:color w:val="000000" w:themeColor="text1"/>
          <w:szCs w:val="24"/>
          <w:lang w:eastAsia="en-US"/>
        </w:rPr>
        <w:t>ś</w:t>
      </w:r>
      <w:r w:rsidRPr="00E0725E">
        <w:rPr>
          <w:rFonts w:ascii="Times New Roman" w:hAnsi="Times New Roman" w:cs="Times New Roman"/>
          <w:color w:val="000000" w:themeColor="text1"/>
          <w:szCs w:val="24"/>
          <w:lang w:eastAsia="en-US"/>
        </w:rPr>
        <w:t>ci i skuteczno</w:t>
      </w:r>
      <w:r w:rsidRPr="00E0725E">
        <w:rPr>
          <w:rFonts w:ascii="Times New Roman" w:hAnsi="Times New Roman" w:cs="Times New Roman" w:hint="eastAsia"/>
          <w:color w:val="000000" w:themeColor="text1"/>
          <w:szCs w:val="24"/>
          <w:lang w:eastAsia="en-US"/>
        </w:rPr>
        <w:t>ś</w:t>
      </w:r>
      <w:r w:rsidRPr="00E0725E">
        <w:rPr>
          <w:rFonts w:ascii="Times New Roman" w:hAnsi="Times New Roman" w:cs="Times New Roman"/>
          <w:color w:val="000000" w:themeColor="text1"/>
          <w:szCs w:val="24"/>
          <w:lang w:eastAsia="en-US"/>
        </w:rPr>
        <w:t>ci sytemu kontroli wewn</w:t>
      </w:r>
      <w:r w:rsidRPr="00E0725E">
        <w:rPr>
          <w:rFonts w:ascii="Times New Roman" w:hAnsi="Times New Roman" w:cs="Times New Roman" w:hint="eastAsia"/>
          <w:color w:val="000000" w:themeColor="text1"/>
          <w:szCs w:val="24"/>
          <w:lang w:eastAsia="en-US"/>
        </w:rPr>
        <w:t>ę</w:t>
      </w:r>
      <w:r w:rsidRPr="00E0725E">
        <w:rPr>
          <w:rFonts w:ascii="Times New Roman" w:hAnsi="Times New Roman" w:cs="Times New Roman"/>
          <w:color w:val="000000" w:themeColor="text1"/>
          <w:szCs w:val="24"/>
          <w:lang w:eastAsia="en-US"/>
        </w:rPr>
        <w:t>trznej, ocen i opinii dokonywanych przez podmioty zewn</w:t>
      </w:r>
      <w:r w:rsidRPr="00E0725E">
        <w:rPr>
          <w:rFonts w:ascii="Times New Roman" w:hAnsi="Times New Roman" w:cs="Times New Roman" w:hint="eastAsia"/>
          <w:color w:val="000000" w:themeColor="text1"/>
          <w:szCs w:val="24"/>
          <w:lang w:eastAsia="en-US"/>
        </w:rPr>
        <w:t>ę</w:t>
      </w:r>
      <w:r w:rsidRPr="00E0725E">
        <w:rPr>
          <w:rFonts w:ascii="Times New Roman" w:hAnsi="Times New Roman" w:cs="Times New Roman"/>
          <w:color w:val="000000" w:themeColor="text1"/>
          <w:szCs w:val="24"/>
          <w:lang w:eastAsia="en-US"/>
        </w:rPr>
        <w:t>trzne, je</w:t>
      </w:r>
      <w:r w:rsidRPr="00E0725E">
        <w:rPr>
          <w:rFonts w:ascii="Times New Roman" w:hAnsi="Times New Roman" w:cs="Times New Roman" w:hint="eastAsia"/>
          <w:color w:val="000000" w:themeColor="text1"/>
          <w:szCs w:val="24"/>
          <w:lang w:eastAsia="en-US"/>
        </w:rPr>
        <w:t>ż</w:t>
      </w:r>
      <w:r w:rsidRPr="00E0725E">
        <w:rPr>
          <w:rFonts w:ascii="Times New Roman" w:hAnsi="Times New Roman" w:cs="Times New Roman"/>
          <w:color w:val="000000" w:themeColor="text1"/>
          <w:szCs w:val="24"/>
          <w:lang w:eastAsia="en-US"/>
        </w:rPr>
        <w:t>eli by</w:t>
      </w:r>
      <w:r w:rsidRPr="00E0725E">
        <w:rPr>
          <w:rFonts w:ascii="Times New Roman" w:hAnsi="Times New Roman" w:cs="Times New Roman" w:hint="eastAsia"/>
          <w:color w:val="000000" w:themeColor="text1"/>
          <w:szCs w:val="24"/>
          <w:lang w:eastAsia="en-US"/>
        </w:rPr>
        <w:t>ł</w:t>
      </w:r>
      <w:r w:rsidRPr="00E0725E">
        <w:rPr>
          <w:rFonts w:ascii="Times New Roman" w:hAnsi="Times New Roman" w:cs="Times New Roman"/>
          <w:color w:val="000000" w:themeColor="text1"/>
          <w:szCs w:val="24"/>
          <w:lang w:eastAsia="en-US"/>
        </w:rPr>
        <w:t>y wydawane.</w:t>
      </w:r>
    </w:p>
    <w:p w14:paraId="020CCD6F" w14:textId="77777777" w:rsidR="003A7DD6" w:rsidRPr="00065790" w:rsidRDefault="003A7DD6" w:rsidP="003A7DD6">
      <w:pPr>
        <w:widowControl w:val="0"/>
        <w:tabs>
          <w:tab w:val="left" w:pos="0"/>
        </w:tabs>
        <w:spacing w:after="0" w:line="276" w:lineRule="auto"/>
        <w:ind w:left="720" w:right="0" w:firstLine="0"/>
        <w:rPr>
          <w:rFonts w:ascii="Times New Roman" w:hAnsi="Times New Roman" w:cs="Times New Roman"/>
          <w:color w:val="FF0000"/>
          <w:szCs w:val="24"/>
          <w:lang w:eastAsia="en-US"/>
        </w:rPr>
      </w:pPr>
    </w:p>
    <w:p w14:paraId="4803DD96" w14:textId="77777777" w:rsidR="002C50F6" w:rsidRPr="00D56DB6" w:rsidRDefault="00E81BF6">
      <w:pPr>
        <w:pStyle w:val="Nagwek2"/>
        <w:ind w:left="-5" w:right="7"/>
        <w:rPr>
          <w:rFonts w:ascii="Times New Roman" w:hAnsi="Times New Roman" w:cs="Times New Roman"/>
          <w:color w:val="auto"/>
        </w:rPr>
      </w:pPr>
      <w:bookmarkStart w:id="99" w:name="_Toc75336327"/>
      <w:r w:rsidRPr="00D56DB6">
        <w:rPr>
          <w:rFonts w:ascii="Times New Roman" w:hAnsi="Times New Roman" w:cs="Times New Roman"/>
          <w:color w:val="auto"/>
        </w:rPr>
        <w:t>24.3. Informacje dotyczące polityki wynagrodzeń</w:t>
      </w:r>
      <w:bookmarkEnd w:id="99"/>
    </w:p>
    <w:p w14:paraId="5758AE1D" w14:textId="77777777" w:rsidR="002C50F6" w:rsidRPr="00D56DB6" w:rsidRDefault="00E81BF6" w:rsidP="00942B14">
      <w:pPr>
        <w:spacing w:after="0" w:line="276" w:lineRule="auto"/>
        <w:ind w:left="-6" w:right="6" w:hanging="11"/>
        <w:rPr>
          <w:rFonts w:ascii="Times New Roman" w:hAnsi="Times New Roman" w:cs="Times New Roman"/>
          <w:color w:val="auto"/>
        </w:rPr>
      </w:pPr>
      <w:r w:rsidRPr="00D56DB6">
        <w:rPr>
          <w:rFonts w:ascii="Times New Roman" w:hAnsi="Times New Roman" w:cs="Times New Roman"/>
          <w:color w:val="auto"/>
        </w:rPr>
        <w:t xml:space="preserve">Informacje dotyczące </w:t>
      </w:r>
      <w:r w:rsidR="00B3776B" w:rsidRPr="00D56DB6">
        <w:rPr>
          <w:rFonts w:ascii="Times New Roman" w:hAnsi="Times New Roman" w:cs="Times New Roman"/>
          <w:color w:val="auto"/>
        </w:rPr>
        <w:t xml:space="preserve">polityki wynagrodzeń zawarto w </w:t>
      </w:r>
      <w:r w:rsidRPr="00D56DB6">
        <w:rPr>
          <w:rFonts w:ascii="Times New Roman" w:hAnsi="Times New Roman" w:cs="Times New Roman"/>
          <w:color w:val="auto"/>
        </w:rPr>
        <w:t xml:space="preserve">części </w:t>
      </w:r>
      <w:r w:rsidRPr="00D56DB6">
        <w:rPr>
          <w:rFonts w:ascii="Times New Roman" w:hAnsi="Times New Roman" w:cs="Times New Roman"/>
          <w:i/>
          <w:color w:val="auto"/>
        </w:rPr>
        <w:t>17. Polityka w zakresie wynagrodzeń</w:t>
      </w:r>
      <w:r w:rsidRPr="00D56DB6">
        <w:rPr>
          <w:rFonts w:ascii="Times New Roman" w:hAnsi="Times New Roman" w:cs="Times New Roman"/>
          <w:color w:val="auto"/>
        </w:rPr>
        <w:t xml:space="preserve"> niniejszego </w:t>
      </w:r>
      <w:r w:rsidRPr="00D56DB6">
        <w:rPr>
          <w:rFonts w:ascii="Times New Roman" w:hAnsi="Times New Roman" w:cs="Times New Roman"/>
          <w:i/>
          <w:color w:val="auto"/>
        </w:rPr>
        <w:t>Ujawnienia</w:t>
      </w:r>
      <w:r w:rsidRPr="00D56DB6">
        <w:rPr>
          <w:rFonts w:ascii="Times New Roman" w:hAnsi="Times New Roman" w:cs="Times New Roman"/>
          <w:color w:val="auto"/>
        </w:rPr>
        <w:t>.</w:t>
      </w:r>
    </w:p>
    <w:p w14:paraId="001C7A96" w14:textId="77777777" w:rsidR="00942B14" w:rsidRPr="00D56DB6" w:rsidRDefault="00942B14" w:rsidP="00942B14">
      <w:pPr>
        <w:spacing w:after="0" w:line="276" w:lineRule="auto"/>
        <w:ind w:left="-6" w:right="6" w:hanging="11"/>
        <w:rPr>
          <w:rFonts w:ascii="Times New Roman" w:hAnsi="Times New Roman" w:cs="Times New Roman"/>
          <w:color w:val="auto"/>
        </w:rPr>
      </w:pPr>
    </w:p>
    <w:p w14:paraId="5F977D1E" w14:textId="77777777" w:rsidR="002C50F6" w:rsidRPr="00D56DB6" w:rsidRDefault="00E81BF6">
      <w:pPr>
        <w:pStyle w:val="Nagwek2"/>
        <w:spacing w:after="14"/>
        <w:ind w:left="-5" w:right="7"/>
        <w:rPr>
          <w:rFonts w:ascii="Times New Roman" w:hAnsi="Times New Roman" w:cs="Times New Roman"/>
          <w:color w:val="auto"/>
        </w:rPr>
      </w:pPr>
      <w:bookmarkStart w:id="100" w:name="_Toc75336328"/>
      <w:r w:rsidRPr="00D56DB6">
        <w:rPr>
          <w:rFonts w:ascii="Times New Roman" w:hAnsi="Times New Roman" w:cs="Times New Roman"/>
          <w:color w:val="auto"/>
        </w:rPr>
        <w:t>24.4. Informacje o spełnianiu przez członków Rady Nadzorczej Banku i Zarządu Banku wymogów określonych w art. 22aa ustawy Prawo bankowe</w:t>
      </w:r>
      <w:bookmarkEnd w:id="100"/>
    </w:p>
    <w:p w14:paraId="51A7E3AE" w14:textId="77777777" w:rsidR="00942B14" w:rsidRPr="00D56DB6" w:rsidRDefault="00942B14">
      <w:pPr>
        <w:spacing w:after="48"/>
        <w:ind w:left="-5" w:right="8"/>
        <w:rPr>
          <w:rFonts w:ascii="Times New Roman" w:hAnsi="Times New Roman" w:cs="Times New Roman"/>
          <w:color w:val="auto"/>
        </w:rPr>
      </w:pPr>
    </w:p>
    <w:p w14:paraId="7DB46B4F" w14:textId="77777777" w:rsidR="00D56DB6" w:rsidRPr="007F17A2" w:rsidRDefault="00D56DB6" w:rsidP="00D56DB6">
      <w:pPr>
        <w:spacing w:after="48" w:line="276" w:lineRule="auto"/>
        <w:ind w:left="-6" w:right="6" w:hanging="11"/>
        <w:rPr>
          <w:rFonts w:ascii="Times New Roman" w:hAnsi="Times New Roman" w:cs="Times New Roman"/>
          <w:color w:val="auto"/>
        </w:rPr>
      </w:pPr>
      <w:r w:rsidRPr="00D56DB6">
        <w:rPr>
          <w:rFonts w:ascii="Times New Roman" w:hAnsi="Times New Roman" w:cs="Times New Roman"/>
          <w:color w:val="auto"/>
        </w:rPr>
        <w:t>Członkowie Zarządu Banku i Rady Nadzorczej Banku są objęci oceną w zakresie wiedzy, umiejętności i doświadczenia, odpowiedniego do pełnionych przez nich funkcji i powierzonych im obowiązków, a także rękojmi należytego wykonywania tych obowiązków, dokonywaną odpowiednio przez Walne Zgromadzenie w zakresie oceny członków Rady Nadzorc</w:t>
      </w:r>
      <w:r w:rsidRPr="007F17A2">
        <w:rPr>
          <w:rFonts w:ascii="Times New Roman" w:hAnsi="Times New Roman" w:cs="Times New Roman"/>
          <w:color w:val="auto"/>
        </w:rPr>
        <w:t xml:space="preserve">zej Banku oraz Radę Nadzorczą Banku w zakresie członków Zarządu Banku. Ocena ma charakter uprzedni przed powołaniem oraz następczy w trakcie pełnienia funkcji. </w:t>
      </w:r>
    </w:p>
    <w:p w14:paraId="0D85B382" w14:textId="77777777" w:rsidR="00D56DB6" w:rsidRPr="007F17A2" w:rsidRDefault="00D56DB6" w:rsidP="00D56DB6">
      <w:pPr>
        <w:spacing w:after="272" w:line="276" w:lineRule="auto"/>
        <w:ind w:left="-6" w:right="6" w:hanging="11"/>
        <w:rPr>
          <w:rFonts w:ascii="Times New Roman" w:hAnsi="Times New Roman" w:cs="Times New Roman"/>
          <w:color w:val="auto"/>
        </w:rPr>
      </w:pPr>
      <w:r w:rsidRPr="007F17A2">
        <w:rPr>
          <w:rFonts w:ascii="Times New Roman" w:hAnsi="Times New Roman" w:cs="Times New Roman"/>
          <w:color w:val="auto"/>
        </w:rPr>
        <w:t xml:space="preserve">Wszyscy członkowie Zarządu Banku oraz Rady Nadzorczej Banku, zgodnie z dokonaną za 2020 rok oceną, spełniają wymagania art. 22aa ustawy Prawo bankowe. </w:t>
      </w:r>
    </w:p>
    <w:p w14:paraId="51605F22" w14:textId="3AC26FBD" w:rsidR="006E14F0" w:rsidRPr="00E0725E" w:rsidRDefault="006E14F0" w:rsidP="006E14F0">
      <w:pPr>
        <w:pStyle w:val="Nagwek1"/>
        <w:ind w:left="-5" w:right="7"/>
        <w:rPr>
          <w:rFonts w:ascii="Times New Roman" w:hAnsi="Times New Roman" w:cs="Times New Roman"/>
          <w:color w:val="000000" w:themeColor="text1"/>
        </w:rPr>
      </w:pPr>
      <w:bookmarkStart w:id="101" w:name="_Toc75336329"/>
      <w:r w:rsidRPr="00E0725E">
        <w:rPr>
          <w:rFonts w:ascii="Times New Roman" w:hAnsi="Times New Roman" w:cs="Times New Roman"/>
          <w:color w:val="000000" w:themeColor="text1"/>
        </w:rPr>
        <w:t>24. Informacja o należnościach nieobsługiwanych i restrukturyzowanych zgodnie z rozporządzeniem wykonawczym Komisji (EU) Nr 680/2014</w:t>
      </w:r>
      <w:bookmarkEnd w:id="101"/>
      <w:r w:rsidRPr="00E0725E">
        <w:rPr>
          <w:rFonts w:ascii="Times New Roman" w:hAnsi="Times New Roman" w:cs="Times New Roman"/>
          <w:color w:val="000000" w:themeColor="text1"/>
        </w:rPr>
        <w:t xml:space="preserve"> </w:t>
      </w:r>
    </w:p>
    <w:p w14:paraId="7A66B5FB" w14:textId="71FE9E44" w:rsidR="006E14F0" w:rsidRPr="00E0725E" w:rsidRDefault="006E14F0" w:rsidP="00BC2CBA">
      <w:pPr>
        <w:spacing w:after="272" w:line="276" w:lineRule="auto"/>
        <w:ind w:left="-6" w:right="6" w:hanging="11"/>
        <w:rPr>
          <w:rFonts w:ascii="Times New Roman" w:hAnsi="Times New Roman" w:cs="Times New Roman"/>
          <w:color w:val="000000" w:themeColor="text1"/>
        </w:rPr>
      </w:pPr>
      <w:r w:rsidRPr="00E0725E">
        <w:rPr>
          <w:rFonts w:ascii="Times New Roman" w:hAnsi="Times New Roman" w:cs="Times New Roman"/>
          <w:color w:val="000000" w:themeColor="text1"/>
          <w:szCs w:val="24"/>
        </w:rPr>
        <w:t>Stosownie do wytycznych EUNB dotyczących ujawnienia w zakresie ekspozycji nieobsługiwanych i restrukturyzowanych Bank zaprezentował dane w załączniku nr 3 do Ujawnień.</w:t>
      </w:r>
    </w:p>
    <w:p w14:paraId="13700328" w14:textId="77777777" w:rsidR="002C50F6" w:rsidRPr="00935B7B" w:rsidRDefault="00E81BF6" w:rsidP="00D164E9">
      <w:pPr>
        <w:pStyle w:val="Nagwek1"/>
        <w:ind w:left="-5" w:right="7"/>
        <w:rPr>
          <w:rFonts w:ascii="Times New Roman" w:hAnsi="Times New Roman" w:cs="Times New Roman"/>
          <w:color w:val="000000" w:themeColor="text1"/>
        </w:rPr>
      </w:pPr>
      <w:bookmarkStart w:id="102" w:name="_Toc75336330"/>
      <w:r w:rsidRPr="00935B7B">
        <w:rPr>
          <w:rFonts w:ascii="Times New Roman" w:hAnsi="Times New Roman" w:cs="Times New Roman"/>
          <w:color w:val="000000" w:themeColor="text1"/>
        </w:rPr>
        <w:t>25. Informacja o wynikach oceny adekwatności za</w:t>
      </w:r>
      <w:r w:rsidR="00E51AB3" w:rsidRPr="00935B7B">
        <w:rPr>
          <w:rFonts w:ascii="Times New Roman" w:hAnsi="Times New Roman" w:cs="Times New Roman"/>
          <w:color w:val="000000" w:themeColor="text1"/>
        </w:rPr>
        <w:t>kresu ogłaszanych informacji do </w:t>
      </w:r>
      <w:r w:rsidRPr="00935B7B">
        <w:rPr>
          <w:rFonts w:ascii="Times New Roman" w:hAnsi="Times New Roman" w:cs="Times New Roman"/>
          <w:color w:val="000000" w:themeColor="text1"/>
        </w:rPr>
        <w:t>skali i profilu ryzyka Banku</w:t>
      </w:r>
      <w:bookmarkEnd w:id="102"/>
    </w:p>
    <w:p w14:paraId="4B35C616" w14:textId="77777777" w:rsidR="002C50F6" w:rsidRPr="00935B7B" w:rsidRDefault="00E81BF6" w:rsidP="00942B14">
      <w:pPr>
        <w:spacing w:after="0" w:line="276" w:lineRule="auto"/>
        <w:ind w:left="-5" w:right="8"/>
        <w:rPr>
          <w:rFonts w:ascii="Times New Roman" w:hAnsi="Times New Roman" w:cs="Times New Roman"/>
          <w:color w:val="000000" w:themeColor="text1"/>
          <w:szCs w:val="24"/>
        </w:rPr>
      </w:pPr>
      <w:r w:rsidRPr="00935B7B">
        <w:rPr>
          <w:rFonts w:ascii="Times New Roman" w:hAnsi="Times New Roman" w:cs="Times New Roman"/>
          <w:color w:val="000000" w:themeColor="text1"/>
          <w:szCs w:val="24"/>
        </w:rPr>
        <w:t>Na podstawie przeprowadzonej analizy adekwatności zakresu ogłaszanych informacji do sk</w:t>
      </w:r>
      <w:r w:rsidR="00E51AB3" w:rsidRPr="00935B7B">
        <w:rPr>
          <w:rFonts w:ascii="Times New Roman" w:hAnsi="Times New Roman" w:cs="Times New Roman"/>
          <w:color w:val="000000" w:themeColor="text1"/>
          <w:szCs w:val="24"/>
        </w:rPr>
        <w:t>ali i </w:t>
      </w:r>
      <w:r w:rsidRPr="00935B7B">
        <w:rPr>
          <w:rFonts w:ascii="Times New Roman" w:hAnsi="Times New Roman" w:cs="Times New Roman"/>
          <w:color w:val="000000" w:themeColor="text1"/>
          <w:szCs w:val="24"/>
        </w:rPr>
        <w:t xml:space="preserve">profilu ryzyka ponoszonego przez </w:t>
      </w:r>
      <w:r w:rsidR="009807DF" w:rsidRPr="00935B7B">
        <w:rPr>
          <w:rFonts w:ascii="Times New Roman" w:hAnsi="Times New Roman" w:cs="Times New Roman"/>
          <w:color w:val="000000" w:themeColor="text1"/>
          <w:szCs w:val="24"/>
        </w:rPr>
        <w:t>Warmińsko-Mazurski</w:t>
      </w:r>
      <w:r w:rsidRPr="00935B7B">
        <w:rPr>
          <w:rFonts w:ascii="Times New Roman" w:hAnsi="Times New Roman" w:cs="Times New Roman"/>
          <w:color w:val="000000" w:themeColor="text1"/>
          <w:szCs w:val="24"/>
        </w:rPr>
        <w:t xml:space="preserve"> Bank Spółdzielczy stwierdzono, że nie zaistniały przesłanki do ogłaszania informacji dodatkowych, które nie zostały objęte zakresem niniejszego </w:t>
      </w:r>
      <w:r w:rsidRPr="00935B7B">
        <w:rPr>
          <w:rFonts w:ascii="Times New Roman" w:hAnsi="Times New Roman" w:cs="Times New Roman"/>
          <w:i/>
          <w:color w:val="000000" w:themeColor="text1"/>
          <w:szCs w:val="24"/>
        </w:rPr>
        <w:t>Ujawnienia</w:t>
      </w:r>
      <w:r w:rsidRPr="00935B7B">
        <w:rPr>
          <w:rFonts w:ascii="Times New Roman" w:hAnsi="Times New Roman" w:cs="Times New Roman"/>
          <w:color w:val="000000" w:themeColor="text1"/>
          <w:szCs w:val="24"/>
        </w:rPr>
        <w:t>.</w:t>
      </w:r>
    </w:p>
    <w:p w14:paraId="68FD0871" w14:textId="77777777" w:rsidR="00F722E1" w:rsidRPr="00935B7B" w:rsidRDefault="00E81BF6" w:rsidP="00BC2CBA">
      <w:pPr>
        <w:spacing w:after="0" w:line="276" w:lineRule="auto"/>
        <w:ind w:left="-5" w:right="8"/>
        <w:rPr>
          <w:rFonts w:ascii="Times New Roman" w:hAnsi="Times New Roman" w:cs="Times New Roman"/>
          <w:color w:val="000000" w:themeColor="text1"/>
          <w:szCs w:val="24"/>
        </w:rPr>
      </w:pPr>
      <w:r w:rsidRPr="00935B7B">
        <w:rPr>
          <w:rFonts w:ascii="Times New Roman" w:hAnsi="Times New Roman" w:cs="Times New Roman"/>
          <w:color w:val="000000" w:themeColor="text1"/>
          <w:szCs w:val="24"/>
        </w:rPr>
        <w:t>Stosując kryteria oceny, określone w Polityce informacyjnej</w:t>
      </w:r>
      <w:r w:rsidR="00F722E1" w:rsidRPr="00935B7B">
        <w:rPr>
          <w:rFonts w:ascii="Times New Roman" w:hAnsi="Times New Roman" w:cs="Times New Roman"/>
          <w:color w:val="000000" w:themeColor="text1"/>
          <w:szCs w:val="24"/>
        </w:rPr>
        <w:t xml:space="preserve"> Warmińsko-Mazurskiego Banku Spółdzielczego dotyczącej adekwatności kapitałowej udostępnionej na stronie i</w:t>
      </w:r>
      <w:r w:rsidR="00E51AB3" w:rsidRPr="00935B7B">
        <w:rPr>
          <w:rFonts w:ascii="Times New Roman" w:hAnsi="Times New Roman" w:cs="Times New Roman"/>
          <w:color w:val="000000" w:themeColor="text1"/>
          <w:szCs w:val="24"/>
        </w:rPr>
        <w:t>nternetowej Banku (www.wmbs.pl)</w:t>
      </w:r>
      <w:r w:rsidRPr="00935B7B">
        <w:rPr>
          <w:rFonts w:ascii="Times New Roman" w:hAnsi="Times New Roman" w:cs="Times New Roman"/>
          <w:color w:val="000000" w:themeColor="text1"/>
          <w:szCs w:val="24"/>
        </w:rPr>
        <w:t>, stwierdzono co następuje:</w:t>
      </w:r>
    </w:p>
    <w:p w14:paraId="4E39B7B5" w14:textId="659F6F55" w:rsidR="002C50F6" w:rsidRPr="00935B7B" w:rsidRDefault="00F722E1" w:rsidP="00E51AB3">
      <w:pPr>
        <w:pStyle w:val="Akapitzlist"/>
        <w:numPr>
          <w:ilvl w:val="0"/>
          <w:numId w:val="32"/>
        </w:numPr>
        <w:spacing w:line="276" w:lineRule="auto"/>
        <w:ind w:left="426" w:right="8" w:hanging="284"/>
        <w:jc w:val="both"/>
        <w:rPr>
          <w:color w:val="000000" w:themeColor="text1"/>
          <w:sz w:val="24"/>
          <w:szCs w:val="24"/>
        </w:rPr>
      </w:pPr>
      <w:r w:rsidRPr="00935B7B">
        <w:rPr>
          <w:color w:val="000000" w:themeColor="text1"/>
          <w:sz w:val="24"/>
          <w:szCs w:val="24"/>
        </w:rPr>
        <w:t xml:space="preserve"> </w:t>
      </w:r>
      <w:r w:rsidR="00BC2CBA" w:rsidRPr="00935B7B">
        <w:rPr>
          <w:color w:val="000000" w:themeColor="text1"/>
          <w:sz w:val="24"/>
          <w:szCs w:val="24"/>
        </w:rPr>
        <w:t>na przestrzeni 20</w:t>
      </w:r>
      <w:r w:rsidR="00935B7B" w:rsidRPr="00935B7B">
        <w:rPr>
          <w:color w:val="000000" w:themeColor="text1"/>
          <w:sz w:val="24"/>
          <w:szCs w:val="24"/>
        </w:rPr>
        <w:t>20</w:t>
      </w:r>
      <w:r w:rsidR="00E81BF6" w:rsidRPr="00935B7B">
        <w:rPr>
          <w:color w:val="000000" w:themeColor="text1"/>
          <w:sz w:val="24"/>
          <w:szCs w:val="24"/>
        </w:rPr>
        <w:t xml:space="preserve"> roku nie od</w:t>
      </w:r>
      <w:r w:rsidR="00E51AB3" w:rsidRPr="00935B7B">
        <w:rPr>
          <w:color w:val="000000" w:themeColor="text1"/>
          <w:sz w:val="24"/>
          <w:szCs w:val="24"/>
        </w:rPr>
        <w:t>notowano uwag uczestników rynku</w:t>
      </w:r>
      <w:r w:rsidR="00E81BF6" w:rsidRPr="00935B7B">
        <w:rPr>
          <w:color w:val="000000" w:themeColor="text1"/>
          <w:sz w:val="24"/>
          <w:szCs w:val="24"/>
        </w:rPr>
        <w:t xml:space="preserve"> ani też innych podmiotów bądź osób zainteresowanych zakresem ogłaszanych informacji, w celu oceny działalności Banku w obszarze: metod szacowania kapitału, technik i</w:t>
      </w:r>
      <w:r w:rsidR="00846C42" w:rsidRPr="00935B7B">
        <w:rPr>
          <w:color w:val="000000" w:themeColor="text1"/>
          <w:sz w:val="24"/>
          <w:szCs w:val="24"/>
        </w:rPr>
        <w:t xml:space="preserve"> metod stosowanych przez Bank w </w:t>
      </w:r>
      <w:r w:rsidR="00E81BF6" w:rsidRPr="00935B7B">
        <w:rPr>
          <w:color w:val="000000" w:themeColor="text1"/>
          <w:sz w:val="24"/>
          <w:szCs w:val="24"/>
        </w:rPr>
        <w:t>celu identyfikacji, pomiaru, monitorowania i kontroli pos</w:t>
      </w:r>
      <w:r w:rsidR="00846C42" w:rsidRPr="00935B7B">
        <w:rPr>
          <w:color w:val="000000" w:themeColor="text1"/>
          <w:sz w:val="24"/>
          <w:szCs w:val="24"/>
        </w:rPr>
        <w:t>zczególnych rodzajów ryzyka.</w:t>
      </w:r>
    </w:p>
    <w:p w14:paraId="174980BC" w14:textId="7D5F61DE" w:rsidR="00780B26" w:rsidRPr="00935B7B" w:rsidRDefault="00E81BF6" w:rsidP="00835FDB">
      <w:pPr>
        <w:numPr>
          <w:ilvl w:val="0"/>
          <w:numId w:val="32"/>
        </w:numPr>
        <w:spacing w:after="0" w:line="276" w:lineRule="auto"/>
        <w:ind w:left="426" w:right="8" w:hanging="284"/>
        <w:rPr>
          <w:rFonts w:ascii="Times New Roman" w:hAnsi="Times New Roman" w:cs="Times New Roman"/>
          <w:color w:val="000000" w:themeColor="text1"/>
          <w:szCs w:val="24"/>
        </w:rPr>
      </w:pPr>
      <w:r w:rsidRPr="00935B7B">
        <w:rPr>
          <w:rFonts w:ascii="Times New Roman" w:hAnsi="Times New Roman" w:cs="Times New Roman"/>
          <w:color w:val="000000" w:themeColor="text1"/>
          <w:szCs w:val="24"/>
        </w:rPr>
        <w:t xml:space="preserve">Bank </w:t>
      </w:r>
      <w:r w:rsidR="00835FDB" w:rsidRPr="00935B7B">
        <w:rPr>
          <w:rFonts w:ascii="Times New Roman" w:hAnsi="Times New Roman" w:cs="Times New Roman"/>
          <w:color w:val="000000" w:themeColor="text1"/>
          <w:szCs w:val="24"/>
        </w:rPr>
        <w:t xml:space="preserve">nie odnotował uwag w obszarze polityki informacyjnej </w:t>
      </w:r>
      <w:r w:rsidR="00D96241" w:rsidRPr="00935B7B">
        <w:rPr>
          <w:rFonts w:ascii="Times New Roman" w:hAnsi="Times New Roman" w:cs="Times New Roman"/>
          <w:color w:val="000000" w:themeColor="text1"/>
          <w:szCs w:val="24"/>
        </w:rPr>
        <w:t>podczas</w:t>
      </w:r>
      <w:r w:rsidR="001A1A8D" w:rsidRPr="00935B7B">
        <w:rPr>
          <w:rFonts w:ascii="Times New Roman" w:hAnsi="Times New Roman" w:cs="Times New Roman"/>
          <w:color w:val="000000" w:themeColor="text1"/>
          <w:szCs w:val="24"/>
        </w:rPr>
        <w:t xml:space="preserve"> </w:t>
      </w:r>
      <w:r w:rsidR="00A9270D" w:rsidRPr="00935B7B">
        <w:rPr>
          <w:rFonts w:ascii="Times New Roman" w:hAnsi="Times New Roman" w:cs="Times New Roman"/>
          <w:color w:val="000000" w:themeColor="text1"/>
          <w:szCs w:val="24"/>
        </w:rPr>
        <w:t xml:space="preserve">inspekcji </w:t>
      </w:r>
      <w:r w:rsidR="00D96241" w:rsidRPr="00935B7B">
        <w:rPr>
          <w:rFonts w:ascii="Times New Roman" w:hAnsi="Times New Roman" w:cs="Times New Roman"/>
          <w:color w:val="000000" w:themeColor="text1"/>
          <w:szCs w:val="24"/>
        </w:rPr>
        <w:t xml:space="preserve">Komisji Nadzoru Finansowego </w:t>
      </w:r>
      <w:r w:rsidR="00A9270D" w:rsidRPr="00935B7B">
        <w:rPr>
          <w:rFonts w:ascii="Times New Roman" w:hAnsi="Times New Roman" w:cs="Times New Roman"/>
          <w:color w:val="000000" w:themeColor="text1"/>
          <w:szCs w:val="24"/>
        </w:rPr>
        <w:t xml:space="preserve">przeprowadzonej </w:t>
      </w:r>
      <w:r w:rsidR="00836467" w:rsidRPr="00935B7B">
        <w:rPr>
          <w:rFonts w:ascii="Times New Roman" w:hAnsi="Times New Roman" w:cs="Times New Roman"/>
          <w:color w:val="000000" w:themeColor="text1"/>
          <w:szCs w:val="24"/>
        </w:rPr>
        <w:t>w 2018</w:t>
      </w:r>
      <w:r w:rsidR="00D96241" w:rsidRPr="00935B7B">
        <w:rPr>
          <w:rFonts w:ascii="Times New Roman" w:hAnsi="Times New Roman" w:cs="Times New Roman"/>
          <w:color w:val="000000" w:themeColor="text1"/>
          <w:szCs w:val="24"/>
        </w:rPr>
        <w:t xml:space="preserve"> r</w:t>
      </w:r>
      <w:r w:rsidR="006177FF" w:rsidRPr="00935B7B">
        <w:rPr>
          <w:rFonts w:ascii="Times New Roman" w:hAnsi="Times New Roman" w:cs="Times New Roman"/>
          <w:color w:val="000000" w:themeColor="text1"/>
          <w:szCs w:val="24"/>
        </w:rPr>
        <w:t>.</w:t>
      </w:r>
    </w:p>
    <w:sectPr w:rsidR="00780B26" w:rsidRPr="00935B7B" w:rsidSect="00196F23">
      <w:headerReference w:type="even" r:id="rId9"/>
      <w:headerReference w:type="default" r:id="rId10"/>
      <w:footerReference w:type="even" r:id="rId11"/>
      <w:footerReference w:type="default" r:id="rId12"/>
      <w:pgSz w:w="11900" w:h="16840"/>
      <w:pgMar w:top="1418" w:right="1125" w:bottom="1702" w:left="1418" w:header="1440" w:footer="113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031E2" w14:textId="77777777" w:rsidR="00220A30" w:rsidRDefault="00220A30">
      <w:pPr>
        <w:spacing w:after="0" w:line="240" w:lineRule="auto"/>
      </w:pPr>
      <w:r>
        <w:separator/>
      </w:r>
    </w:p>
  </w:endnote>
  <w:endnote w:type="continuationSeparator" w:id="0">
    <w:p w14:paraId="000B9568" w14:textId="77777777" w:rsidR="00220A30" w:rsidRDefault="00220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eiryo UI">
    <w:charset w:val="80"/>
    <w:family w:val="swiss"/>
    <w:pitch w:val="variable"/>
    <w:sig w:usb0="E00002FF" w:usb1="6AC7FFFF"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17378" w14:textId="77777777" w:rsidR="006F0D80" w:rsidRDefault="006F0D80">
    <w:pPr>
      <w:spacing w:after="0" w:line="259" w:lineRule="auto"/>
      <w:ind w:left="0" w:right="-1" w:firstLine="0"/>
      <w:jc w:val="right"/>
    </w:pPr>
    <w:r>
      <w:rPr>
        <w:noProof/>
        <w:sz w:val="22"/>
      </w:rPr>
      <mc:AlternateContent>
        <mc:Choice Requires="wpg">
          <w:drawing>
            <wp:anchor distT="0" distB="0" distL="114300" distR="114300" simplePos="0" relativeHeight="251665408" behindDoc="0" locked="0" layoutInCell="1" allowOverlap="1" wp14:anchorId="035CF035" wp14:editId="1F77C3F3">
              <wp:simplePos x="0" y="0"/>
              <wp:positionH relativeFrom="page">
                <wp:posOffset>720090</wp:posOffset>
              </wp:positionH>
              <wp:positionV relativeFrom="page">
                <wp:posOffset>9794240</wp:posOffset>
              </wp:positionV>
              <wp:extent cx="6118860" cy="1270"/>
              <wp:effectExtent l="0" t="0" r="0" b="0"/>
              <wp:wrapSquare wrapText="bothSides"/>
              <wp:docPr id="99028" name="Group 99028"/>
              <wp:cNvGraphicFramePr/>
              <a:graphic xmlns:a="http://schemas.openxmlformats.org/drawingml/2006/main">
                <a:graphicData uri="http://schemas.microsoft.com/office/word/2010/wordprocessingGroup">
                  <wpg:wgp>
                    <wpg:cNvGrpSpPr/>
                    <wpg:grpSpPr>
                      <a:xfrm>
                        <a:off x="0" y="0"/>
                        <a:ext cx="6118860" cy="1270"/>
                        <a:chOff x="0" y="0"/>
                        <a:chExt cx="6118860" cy="1270"/>
                      </a:xfrm>
                    </wpg:grpSpPr>
                    <wps:wsp>
                      <wps:cNvPr id="99029" name="Shape 99029"/>
                      <wps:cNvSpPr/>
                      <wps:spPr>
                        <a:xfrm>
                          <a:off x="0" y="0"/>
                          <a:ext cx="6118860" cy="0"/>
                        </a:xfrm>
                        <a:custGeom>
                          <a:avLst/>
                          <a:gdLst/>
                          <a:ahLst/>
                          <a:cxnLst/>
                          <a:rect l="0" t="0" r="0" b="0"/>
                          <a:pathLst>
                            <a:path w="6118860">
                              <a:moveTo>
                                <a:pt x="0" y="0"/>
                              </a:moveTo>
                              <a:lnTo>
                                <a:pt x="6118860" y="0"/>
                              </a:lnTo>
                            </a:path>
                          </a:pathLst>
                        </a:custGeom>
                        <a:ln w="127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8693362" id="Group 99028" o:spid="_x0000_s1026" style="position:absolute;margin-left:56.7pt;margin-top:771.2pt;width:481.8pt;height:.1pt;z-index:251665408;mso-position-horizontal-relative:page;mso-position-vertical-relative:page" coordsize="611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">
              <v:shape id="Shape 99029" o:spid="_x0000_s1027" style="position:absolute;width:61188;height:0;visibility:visible;mso-wrap-style:square;v-text-anchor:top" coordsize="6118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vOcEA&#10;AADeAAAADwAAAGRycy9kb3ducmV2LnhtbESPzarCMBSE98J9h3AEdzbVhdheo6gguPUHxN2hObct&#10;Nic1ya317Y0guBxm5htmsepNIzpyvrasYJKkIIgLq2suFZxPu/EchA/IGhvLpOBJHlbLn8ECc20f&#10;fKDuGEoRIexzVFCF0OZS+qIigz6xLXH0/qwzGKJ0pdQOHxFuGjlN05k0WHNcqLClbUXF7fhvFDgn&#10;+1u3Pmw3JTNerSnuF5wrNRr2618QgfrwDX/ae60gy9JpBu878Qr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DLznBAAAA3gAAAA8AAAAAAAAAAAAAAAAAmAIAAGRycy9kb3du&#10;cmV2LnhtbFBLBQYAAAAABAAEAPUAAACGAwAAAAA=&#10;" path="m,l6118860,e" filled="f" strokeweight=".1pt">
                <v:stroke miterlimit="83231f" joinstyle="miter"/>
                <v:path arrowok="t" textboxrect="0,0,6118860,0"/>
              </v:shape>
              <w10:wrap type="square" anchorx="page" anchory="page"/>
            </v:group>
          </w:pict>
        </mc:Fallback>
      </mc:AlternateContent>
    </w:r>
    <w:r>
      <w:rPr>
        <w:sz w:val="20"/>
      </w:rPr>
      <w:t xml:space="preserve">STRONA </w:t>
    </w:r>
    <w:r>
      <w:fldChar w:fldCharType="begin"/>
    </w:r>
    <w:r>
      <w:instrText xml:space="preserve"> PAGE   \* MERGEFORMAT </w:instrText>
    </w:r>
    <w:r>
      <w:fldChar w:fldCharType="separate"/>
    </w:r>
    <w:r>
      <w:rPr>
        <w:sz w:val="20"/>
      </w:rPr>
      <w:t>10</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136EE" w14:textId="77777777" w:rsidR="006F0D80" w:rsidRPr="00196F23" w:rsidRDefault="006F0D80">
    <w:pPr>
      <w:spacing w:after="0" w:line="259" w:lineRule="auto"/>
      <w:ind w:left="0" w:right="-1" w:firstLine="0"/>
      <w:jc w:val="right"/>
      <w:rPr>
        <w:rFonts w:ascii="Times New Roman" w:hAnsi="Times New Roman" w:cs="Times New Roman"/>
      </w:rPr>
    </w:pPr>
    <w:r w:rsidRPr="00196F23">
      <w:rPr>
        <w:rFonts w:ascii="Times New Roman" w:hAnsi="Times New Roman" w:cs="Times New Roman"/>
        <w:noProof/>
        <w:sz w:val="22"/>
      </w:rPr>
      <mc:AlternateContent>
        <mc:Choice Requires="wpg">
          <w:drawing>
            <wp:anchor distT="0" distB="0" distL="114300" distR="114300" simplePos="0" relativeHeight="251666432" behindDoc="0" locked="0" layoutInCell="1" allowOverlap="1" wp14:anchorId="50A4F893" wp14:editId="63E0FB30">
              <wp:simplePos x="0" y="0"/>
              <wp:positionH relativeFrom="page">
                <wp:posOffset>720090</wp:posOffset>
              </wp:positionH>
              <wp:positionV relativeFrom="page">
                <wp:posOffset>9794240</wp:posOffset>
              </wp:positionV>
              <wp:extent cx="6118860" cy="1270"/>
              <wp:effectExtent l="0" t="0" r="0" b="0"/>
              <wp:wrapSquare wrapText="bothSides"/>
              <wp:docPr id="99009" name="Group 99009"/>
              <wp:cNvGraphicFramePr/>
              <a:graphic xmlns:a="http://schemas.openxmlformats.org/drawingml/2006/main">
                <a:graphicData uri="http://schemas.microsoft.com/office/word/2010/wordprocessingGroup">
                  <wpg:wgp>
                    <wpg:cNvGrpSpPr/>
                    <wpg:grpSpPr>
                      <a:xfrm>
                        <a:off x="0" y="0"/>
                        <a:ext cx="6118860" cy="1270"/>
                        <a:chOff x="0" y="0"/>
                        <a:chExt cx="6118860" cy="1270"/>
                      </a:xfrm>
                    </wpg:grpSpPr>
                    <wps:wsp>
                      <wps:cNvPr id="99010" name="Shape 99010"/>
                      <wps:cNvSpPr/>
                      <wps:spPr>
                        <a:xfrm>
                          <a:off x="0" y="0"/>
                          <a:ext cx="6118860" cy="0"/>
                        </a:xfrm>
                        <a:custGeom>
                          <a:avLst/>
                          <a:gdLst/>
                          <a:ahLst/>
                          <a:cxnLst/>
                          <a:rect l="0" t="0" r="0" b="0"/>
                          <a:pathLst>
                            <a:path w="6118860">
                              <a:moveTo>
                                <a:pt x="0" y="0"/>
                              </a:moveTo>
                              <a:lnTo>
                                <a:pt x="6118860" y="0"/>
                              </a:lnTo>
                            </a:path>
                          </a:pathLst>
                        </a:custGeom>
                        <a:ln w="127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598F435" id="Group 99009" o:spid="_x0000_s1026" style="position:absolute;margin-left:56.7pt;margin-top:771.2pt;width:481.8pt;height:.1pt;z-index:251666432;mso-position-horizontal-relative:page;mso-position-vertical-relative:page" coordsize="611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">
              <v:shape id="Shape 99010" o:spid="_x0000_s1027" style="position:absolute;width:61188;height:0;visibility:visible;mso-wrap-style:square;v-text-anchor:top" coordsize="6118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MGb4A&#10;AADeAAAADwAAAGRycy9kb3ducmV2LnhtbESPywrCMBBF94L/EEZwZ1NdiFajqCC49QHibmjGtthM&#10;ahJr/XuzEFxe7ouzXHemFi05X1lWME5SEMS51RUXCi7n/WgGwgdkjbVlUvAhD+tVv7fETNs3H6k9&#10;hULEEfYZKihDaDIpfV6SQZ/Yhjh6d+sMhihdIbXDdxw3tZyk6VQarDg+lNjQrqT8cXoZBc7J7tFu&#10;jrttwYw3a/LnFWdKDQfdZgEiUBf+4V/7oBXM5+k4AkSciAJy9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VTBm+AAAA3gAAAA8AAAAAAAAAAAAAAAAAmAIAAGRycy9kb3ducmV2&#10;LnhtbFBLBQYAAAAABAAEAPUAAACDAwAAAAA=&#10;" path="m,l6118860,e" filled="f" strokeweight=".1pt">
                <v:stroke miterlimit="83231f" joinstyle="miter"/>
                <v:path arrowok="t" textboxrect="0,0,6118860,0"/>
              </v:shape>
              <w10:wrap type="square" anchorx="page" anchory="page"/>
            </v:group>
          </w:pict>
        </mc:Fallback>
      </mc:AlternateContent>
    </w:r>
    <w:r w:rsidRPr="00196F23">
      <w:rPr>
        <w:rFonts w:ascii="Times New Roman" w:hAnsi="Times New Roman" w:cs="Times New Roman"/>
        <w:sz w:val="20"/>
      </w:rPr>
      <w:t xml:space="preserve">STRONA </w:t>
    </w:r>
    <w:r w:rsidRPr="00196F23">
      <w:rPr>
        <w:rFonts w:ascii="Times New Roman" w:hAnsi="Times New Roman" w:cs="Times New Roman"/>
      </w:rPr>
      <w:fldChar w:fldCharType="begin"/>
    </w:r>
    <w:r w:rsidRPr="00196F23">
      <w:rPr>
        <w:rFonts w:ascii="Times New Roman" w:hAnsi="Times New Roman" w:cs="Times New Roman"/>
      </w:rPr>
      <w:instrText xml:space="preserve"> PAGE   \* MERGEFORMAT </w:instrText>
    </w:r>
    <w:r w:rsidRPr="00196F23">
      <w:rPr>
        <w:rFonts w:ascii="Times New Roman" w:hAnsi="Times New Roman" w:cs="Times New Roman"/>
      </w:rPr>
      <w:fldChar w:fldCharType="separate"/>
    </w:r>
    <w:r w:rsidR="00732346" w:rsidRPr="00732346">
      <w:rPr>
        <w:rFonts w:ascii="Times New Roman" w:hAnsi="Times New Roman" w:cs="Times New Roman"/>
        <w:noProof/>
        <w:sz w:val="20"/>
      </w:rPr>
      <w:t>2</w:t>
    </w:r>
    <w:r w:rsidRPr="00196F23">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FE7C4" w14:textId="77777777" w:rsidR="00220A30" w:rsidRDefault="00220A30">
      <w:pPr>
        <w:spacing w:after="0" w:line="240" w:lineRule="auto"/>
      </w:pPr>
      <w:r>
        <w:separator/>
      </w:r>
    </w:p>
  </w:footnote>
  <w:footnote w:type="continuationSeparator" w:id="0">
    <w:p w14:paraId="778996EF" w14:textId="77777777" w:rsidR="00220A30" w:rsidRDefault="00220A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319C2" w14:textId="77777777" w:rsidR="006F0D80" w:rsidRDefault="006F0D80">
    <w:pPr>
      <w:spacing w:after="0" w:line="275" w:lineRule="auto"/>
      <w:ind w:left="0" w:right="0" w:firstLine="0"/>
    </w:pPr>
    <w:r>
      <w:rPr>
        <w:noProof/>
        <w:sz w:val="22"/>
      </w:rPr>
      <mc:AlternateContent>
        <mc:Choice Requires="wpg">
          <w:drawing>
            <wp:anchor distT="0" distB="0" distL="114300" distR="114300" simplePos="0" relativeHeight="251662336" behindDoc="0" locked="0" layoutInCell="1" allowOverlap="1" wp14:anchorId="0DAFFA02" wp14:editId="3316E77C">
              <wp:simplePos x="0" y="0"/>
              <wp:positionH relativeFrom="page">
                <wp:posOffset>720090</wp:posOffset>
              </wp:positionH>
              <wp:positionV relativeFrom="page">
                <wp:posOffset>1158240</wp:posOffset>
              </wp:positionV>
              <wp:extent cx="6118860" cy="1270"/>
              <wp:effectExtent l="0" t="0" r="0" b="0"/>
              <wp:wrapNone/>
              <wp:docPr id="99019" name="Group 99019"/>
              <wp:cNvGraphicFramePr/>
              <a:graphic xmlns:a="http://schemas.openxmlformats.org/drawingml/2006/main">
                <a:graphicData uri="http://schemas.microsoft.com/office/word/2010/wordprocessingGroup">
                  <wpg:wgp>
                    <wpg:cNvGrpSpPr/>
                    <wpg:grpSpPr>
                      <a:xfrm>
                        <a:off x="0" y="0"/>
                        <a:ext cx="6118860" cy="1270"/>
                        <a:chOff x="0" y="0"/>
                        <a:chExt cx="6118860" cy="1270"/>
                      </a:xfrm>
                    </wpg:grpSpPr>
                    <wps:wsp>
                      <wps:cNvPr id="99020" name="Shape 99020"/>
                      <wps:cNvSpPr/>
                      <wps:spPr>
                        <a:xfrm>
                          <a:off x="0" y="0"/>
                          <a:ext cx="6118860" cy="0"/>
                        </a:xfrm>
                        <a:custGeom>
                          <a:avLst/>
                          <a:gdLst/>
                          <a:ahLst/>
                          <a:cxnLst/>
                          <a:rect l="0" t="0" r="0" b="0"/>
                          <a:pathLst>
                            <a:path w="6118860">
                              <a:moveTo>
                                <a:pt x="0" y="0"/>
                              </a:moveTo>
                              <a:lnTo>
                                <a:pt x="6118860" y="0"/>
                              </a:lnTo>
                            </a:path>
                          </a:pathLst>
                        </a:custGeom>
                        <a:ln w="127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E742718" id="Group 99019" o:spid="_x0000_s1026" style="position:absolute;margin-left:56.7pt;margin-top:91.2pt;width:481.8pt;height:.1pt;z-index:251662336;mso-position-horizontal-relative:page;mso-position-vertical-relative:page" coordsize="611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">
              <v:shape id="Shape 99020" o:spid="_x0000_s1027" style="position:absolute;width:61188;height:0;visibility:visible;mso-wrap-style:square;v-text-anchor:top" coordsize="6118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pL4A&#10;AADeAAAADwAAAGRycy9kb3ducmV2LnhtbESPywrCMBBF94L/EEZwZ1NdiFajqCC49QHibmjGtthM&#10;ahJr/XuzEFxe7ouzXHemFi05X1lWME5SEMS51RUXCi7n/WgGwgdkjbVlUvAhD+tVv7fETNs3H6k9&#10;hULEEfYZKihDaDIpfV6SQZ/Yhjh6d+sMhihdIbXDdxw3tZyk6VQarDg+lNjQrqT8cXoZBc7J7tFu&#10;jrttwYw3a/LnFWdKDQfdZgEiUBf+4V/7oBXM5+kkAkSciAJy9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5hqS+AAAA3gAAAA8AAAAAAAAAAAAAAAAAmAIAAGRycy9kb3ducmV2&#10;LnhtbFBLBQYAAAAABAAEAPUAAACDAwAAAAA=&#10;" path="m,l6118860,e" filled="f" strokeweight=".1pt">
                <v:stroke miterlimit="83231f" joinstyle="miter"/>
                <v:path arrowok="t" textboxrect="0,0,6118860,0"/>
              </v:shape>
              <w10:wrap anchorx="page" anchory="page"/>
            </v:group>
          </w:pict>
        </mc:Fallback>
      </mc:AlternateContent>
    </w:r>
    <w:r>
      <w:rPr>
        <w:i/>
        <w:sz w:val="16"/>
      </w:rPr>
      <w:t>Ujawnienie informacji o charakterze jakościowym i ilościowym dotyczących profilu ryzyka Banku, funduszy własnych, wymogów kapitałowych, polityki w zakresie wynagrodzeń oraz innych informacji podlegających obowiązkowym ujawnieniom – stan na 31.12.2016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10972" w14:textId="68730CFF" w:rsidR="006F0D80" w:rsidRPr="00196F23" w:rsidRDefault="006F0D80">
    <w:pPr>
      <w:spacing w:after="0" w:line="275" w:lineRule="auto"/>
      <w:ind w:left="0" w:right="0" w:firstLine="0"/>
      <w:rPr>
        <w:rFonts w:ascii="Times New Roman" w:hAnsi="Times New Roman" w:cs="Times New Roman"/>
        <w:sz w:val="20"/>
        <w:szCs w:val="20"/>
      </w:rPr>
    </w:pPr>
    <w:r w:rsidRPr="00196F23">
      <w:rPr>
        <w:rFonts w:ascii="Times New Roman" w:hAnsi="Times New Roman" w:cs="Times New Roman"/>
        <w:noProof/>
        <w:sz w:val="20"/>
        <w:szCs w:val="20"/>
      </w:rPr>
      <mc:AlternateContent>
        <mc:Choice Requires="wpg">
          <w:drawing>
            <wp:anchor distT="0" distB="0" distL="114300" distR="114300" simplePos="0" relativeHeight="251663360" behindDoc="0" locked="0" layoutInCell="1" allowOverlap="1" wp14:anchorId="10BB41D6" wp14:editId="47273365">
              <wp:simplePos x="0" y="0"/>
              <wp:positionH relativeFrom="margin">
                <wp:posOffset>-290830</wp:posOffset>
              </wp:positionH>
              <wp:positionV relativeFrom="page">
                <wp:posOffset>1419224</wp:posOffset>
              </wp:positionV>
              <wp:extent cx="6118860" cy="0"/>
              <wp:effectExtent l="0" t="0" r="15240" b="19050"/>
              <wp:wrapNone/>
              <wp:docPr id="99000" name="Group 99000"/>
              <wp:cNvGraphicFramePr/>
              <a:graphic xmlns:a="http://schemas.openxmlformats.org/drawingml/2006/main">
                <a:graphicData uri="http://schemas.microsoft.com/office/word/2010/wordprocessingGroup">
                  <wpg:wgp>
                    <wpg:cNvGrpSpPr/>
                    <wpg:grpSpPr>
                      <a:xfrm>
                        <a:off x="0" y="0"/>
                        <a:ext cx="6118860" cy="0"/>
                        <a:chOff x="76200" y="0"/>
                        <a:chExt cx="6118860" cy="0"/>
                      </a:xfrm>
                    </wpg:grpSpPr>
                    <wps:wsp>
                      <wps:cNvPr id="99001" name="Shape 99001"/>
                      <wps:cNvSpPr/>
                      <wps:spPr>
                        <a:xfrm>
                          <a:off x="76200" y="0"/>
                          <a:ext cx="6118860" cy="0"/>
                        </a:xfrm>
                        <a:custGeom>
                          <a:avLst/>
                          <a:gdLst/>
                          <a:ahLst/>
                          <a:cxnLst/>
                          <a:rect l="0" t="0" r="0" b="0"/>
                          <a:pathLst>
                            <a:path w="6118860">
                              <a:moveTo>
                                <a:pt x="0" y="0"/>
                              </a:moveTo>
                              <a:lnTo>
                                <a:pt x="6118860" y="0"/>
                              </a:lnTo>
                            </a:path>
                          </a:pathLst>
                        </a:custGeom>
                        <a:ln w="127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02E0E75" id="Group 99000" o:spid="_x0000_s1026" style="position:absolute;margin-left:-22.9pt;margin-top:111.75pt;width:481.8pt;height:0;z-index:251663360;mso-position-horizontal-relative:margin;mso-position-vertical-relative:page" coordorigin="762" coordsize="6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">
              <v:shape id="Shape 99001" o:spid="_x0000_s1027" style="position:absolute;left:762;width:61188;height:0;visibility:visible;mso-wrap-style:square;v-text-anchor:top" coordsize="6118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B/X8IA&#10;AADeAAAADwAAAGRycy9kb3ducmV2LnhtbESPT4vCMBTE78J+h/AWvGmiB9GuqbjCglf/gHh7NG/b&#10;0ualm2Rr/fZGEDwOM/MbZr0ZbCt68qF2rGE2VSCIC2dqLjWcTz+TJYgQkQ22jknDnQJs8o/RGjPj&#10;bnyg/hhLkSAcMtRQxdhlUoaiIoth6jri5P06bzEm6UtpPN4S3LZyrtRCWqw5LVTY0a6iojn+Ww3e&#10;y6Hpt4fdd8mMV2eLvwsutR5/DtsvEJGG+A6/2nujYbVSagbPO+kK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H9fwgAAAN4AAAAPAAAAAAAAAAAAAAAAAJgCAABkcnMvZG93&#10;bnJldi54bWxQSwUGAAAAAAQABAD1AAAAhwMAAAAA&#10;" path="m,l6118860,e" filled="f" strokeweight=".1pt">
                <v:stroke miterlimit="83231f" joinstyle="miter"/>
                <v:path arrowok="t" textboxrect="0,0,6118860,0"/>
              </v:shape>
              <w10:wrap anchorx="margin" anchory="page"/>
            </v:group>
          </w:pict>
        </mc:Fallback>
      </mc:AlternateContent>
    </w:r>
    <w:r w:rsidRPr="00196F23">
      <w:rPr>
        <w:rFonts w:ascii="Times New Roman" w:hAnsi="Times New Roman" w:cs="Times New Roman"/>
        <w:i/>
        <w:sz w:val="20"/>
        <w:szCs w:val="20"/>
      </w:rPr>
      <w:t>Ujawnienie informacji o charakterze jakościowym i ilościowym dotyczących profilu ryzyka Banku, funduszy własnych, wymogów kapitałowych, polityki w zakresie wynagrodzeń oraz innych informacji podlegających obowiązkowym ujawnieniom – stan na 31.12.2020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87"/>
    <w:multiLevelType w:val="singleLevel"/>
    <w:tmpl w:val="00000087"/>
    <w:name w:val="WW8Num137"/>
    <w:lvl w:ilvl="0">
      <w:start w:val="1"/>
      <w:numFmt w:val="decimal"/>
      <w:lvlText w:val="%1)"/>
      <w:lvlJc w:val="left"/>
      <w:pPr>
        <w:tabs>
          <w:tab w:val="num" w:pos="750"/>
        </w:tabs>
        <w:ind w:left="750" w:hanging="390"/>
      </w:pPr>
    </w:lvl>
  </w:abstractNum>
  <w:abstractNum w:abstractNumId="1" w15:restartNumberingAfterBreak="0">
    <w:nsid w:val="01E00D1A"/>
    <w:multiLevelType w:val="hybridMultilevel"/>
    <w:tmpl w:val="9C6419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F0149D"/>
    <w:multiLevelType w:val="hybridMultilevel"/>
    <w:tmpl w:val="A4A03A34"/>
    <w:lvl w:ilvl="0" w:tplc="A50EAE42">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5C20FEA"/>
    <w:multiLevelType w:val="multilevel"/>
    <w:tmpl w:val="43E06DC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211"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AE1F2A"/>
    <w:multiLevelType w:val="hybridMultilevel"/>
    <w:tmpl w:val="E9309062"/>
    <w:lvl w:ilvl="0" w:tplc="61FC8AA0">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6B4D95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C04C9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5E802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D87C7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2E128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0A86E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2C6D0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FE6A5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897B1C"/>
    <w:multiLevelType w:val="hybridMultilevel"/>
    <w:tmpl w:val="BDB2F644"/>
    <w:lvl w:ilvl="0" w:tplc="04F2125A">
      <w:start w:val="3"/>
      <w:numFmt w:val="lowerLetter"/>
      <w:lvlText w:val="%1)"/>
      <w:lvlJc w:val="left"/>
      <w:pPr>
        <w:ind w:left="10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9ACCEA">
      <w:start w:val="1"/>
      <w:numFmt w:val="lowerRoman"/>
      <w:lvlText w:val="%2."/>
      <w:lvlJc w:val="left"/>
      <w:pPr>
        <w:ind w:left="109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E7AE7CA4">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F010D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589C8A">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5E01A4">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549C7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5ABDFA">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DC778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0A5711"/>
    <w:multiLevelType w:val="hybridMultilevel"/>
    <w:tmpl w:val="DB7CBC8A"/>
    <w:lvl w:ilvl="0" w:tplc="A17EFCF0">
      <w:start w:val="3"/>
      <w:numFmt w:val="decimal"/>
      <w:lvlText w:val="%1)"/>
      <w:lvlJc w:val="left"/>
      <w:pPr>
        <w:ind w:left="48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0055"/>
    <w:multiLevelType w:val="hybridMultilevel"/>
    <w:tmpl w:val="64B6001E"/>
    <w:lvl w:ilvl="0" w:tplc="DB9EB8D4">
      <w:start w:val="1"/>
      <w:numFmt w:val="decimal"/>
      <w:lvlText w:val="%1)"/>
      <w:lvlJc w:val="left"/>
      <w:pPr>
        <w:tabs>
          <w:tab w:val="num" w:pos="540"/>
        </w:tabs>
        <w:ind w:left="54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581DD6"/>
    <w:multiLevelType w:val="hybridMultilevel"/>
    <w:tmpl w:val="7D7A29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3F02F7"/>
    <w:multiLevelType w:val="hybridMultilevel"/>
    <w:tmpl w:val="62FA9D68"/>
    <w:lvl w:ilvl="0" w:tplc="0415000F">
      <w:start w:val="1"/>
      <w:numFmt w:val="decimal"/>
      <w:lvlText w:val="%1."/>
      <w:lvlJc w:val="left"/>
      <w:pPr>
        <w:ind w:left="720" w:hanging="360"/>
      </w:pPr>
    </w:lvl>
    <w:lvl w:ilvl="1" w:tplc="22A4648A">
      <w:start w:val="1"/>
      <w:numFmt w:val="decimal"/>
      <w:lvlText w:val="%2)"/>
      <w:lvlJc w:val="left"/>
      <w:pPr>
        <w:ind w:left="1440" w:hanging="360"/>
      </w:pPr>
      <w:rPr>
        <w:rFonts w:ascii="Times New Roman" w:eastAsia="Times New Roman" w:hAnsi="Times New Roman" w:cs="Times New Roman"/>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EB50D5"/>
    <w:multiLevelType w:val="hybridMultilevel"/>
    <w:tmpl w:val="9788E86C"/>
    <w:lvl w:ilvl="0" w:tplc="3586C38A">
      <w:start w:val="1"/>
      <w:numFmt w:val="lowerLetter"/>
      <w:lvlText w:val="%1)"/>
      <w:lvlJc w:val="left"/>
      <w:pPr>
        <w:ind w:left="706" w:hanging="360"/>
      </w:pPr>
      <w:rPr>
        <w:rFonts w:hint="default"/>
        <w:sz w:val="20"/>
        <w:szCs w:val="20"/>
      </w:rPr>
    </w:lvl>
    <w:lvl w:ilvl="1" w:tplc="04150019" w:tentative="1">
      <w:start w:val="1"/>
      <w:numFmt w:val="lowerLetter"/>
      <w:lvlText w:val="%2."/>
      <w:lvlJc w:val="left"/>
      <w:pPr>
        <w:ind w:left="1426" w:hanging="360"/>
      </w:pPr>
    </w:lvl>
    <w:lvl w:ilvl="2" w:tplc="0415001B">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11" w15:restartNumberingAfterBreak="0">
    <w:nsid w:val="14025312"/>
    <w:multiLevelType w:val="hybridMultilevel"/>
    <w:tmpl w:val="0256F440"/>
    <w:lvl w:ilvl="0" w:tplc="4156F1AA">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CECB4C6">
      <w:start w:val="1"/>
      <w:numFmt w:val="lowerLetter"/>
      <w:lvlText w:val="%2)"/>
      <w:lvlJc w:val="left"/>
      <w:pPr>
        <w:ind w:left="10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4D005A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0449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76773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26222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18A44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086F0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40D3D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6C819A3"/>
    <w:multiLevelType w:val="hybridMultilevel"/>
    <w:tmpl w:val="541C50DC"/>
    <w:lvl w:ilvl="0" w:tplc="74A20630">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1EC7F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CCA7A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D631B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668AB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98F3C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BE98E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B6BC8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A8AE3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8867A59"/>
    <w:multiLevelType w:val="hybridMultilevel"/>
    <w:tmpl w:val="EA8A5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B67A77"/>
    <w:multiLevelType w:val="hybridMultilevel"/>
    <w:tmpl w:val="3FE8F496"/>
    <w:lvl w:ilvl="0" w:tplc="BA0A94A8">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5B4F090">
      <w:start w:val="1"/>
      <w:numFmt w:val="lowerLetter"/>
      <w:lvlText w:val="%2)"/>
      <w:lvlJc w:val="left"/>
      <w:pPr>
        <w:ind w:left="10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2C072F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FA0E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9A68D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EABE1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66DB5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226AD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0418E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B71651F"/>
    <w:multiLevelType w:val="hybridMultilevel"/>
    <w:tmpl w:val="CD943676"/>
    <w:lvl w:ilvl="0" w:tplc="F8209006">
      <w:start w:val="1"/>
      <w:numFmt w:val="decimal"/>
      <w:lvlText w:val="%1)"/>
      <w:lvlJc w:val="left"/>
      <w:pPr>
        <w:tabs>
          <w:tab w:val="num" w:pos="720"/>
        </w:tabs>
        <w:ind w:left="720" w:hanging="360"/>
      </w:pPr>
      <w:rPr>
        <w:rFonts w:ascii="Times New Roman" w:hAnsi="Times New Roman" w:hint="default"/>
        <w:b w:val="0"/>
        <w:i w:val="0"/>
        <w:sz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3A7679E"/>
    <w:multiLevelType w:val="hybridMultilevel"/>
    <w:tmpl w:val="AFBC7438"/>
    <w:lvl w:ilvl="0" w:tplc="9E90A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810EBF"/>
    <w:multiLevelType w:val="hybridMultilevel"/>
    <w:tmpl w:val="20C229AA"/>
    <w:lvl w:ilvl="0" w:tplc="E294D20E">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AA3F5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902C6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949C0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108CC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50928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5CCCE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660E4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5EB65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5F02B83"/>
    <w:multiLevelType w:val="hybridMultilevel"/>
    <w:tmpl w:val="2DF8E57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6A11B8A"/>
    <w:multiLevelType w:val="hybridMultilevel"/>
    <w:tmpl w:val="6866747E"/>
    <w:lvl w:ilvl="0" w:tplc="9E90AB84">
      <w:start w:val="1"/>
      <w:numFmt w:val="bullet"/>
      <w:lvlText w:val=""/>
      <w:lvlJc w:val="left"/>
      <w:pPr>
        <w:ind w:left="720" w:hanging="360"/>
      </w:pPr>
      <w:rPr>
        <w:rFonts w:ascii="Symbol" w:hAnsi="Symbol" w:hint="default"/>
      </w:rPr>
    </w:lvl>
    <w:lvl w:ilvl="1" w:tplc="9E90AB8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6D2ED4"/>
    <w:multiLevelType w:val="hybridMultilevel"/>
    <w:tmpl w:val="BE6CE7B0"/>
    <w:lvl w:ilvl="0" w:tplc="288044C6">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7FF0CAB"/>
    <w:multiLevelType w:val="hybridMultilevel"/>
    <w:tmpl w:val="63EE3F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8144DE2"/>
    <w:multiLevelType w:val="hybridMultilevel"/>
    <w:tmpl w:val="5198AAFC"/>
    <w:lvl w:ilvl="0" w:tplc="348A1B1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BF095F"/>
    <w:multiLevelType w:val="hybridMultilevel"/>
    <w:tmpl w:val="A85E90BC"/>
    <w:lvl w:ilvl="0" w:tplc="0B2A907C">
      <w:start w:val="1"/>
      <w:numFmt w:val="decimal"/>
      <w:lvlText w:val="%1)"/>
      <w:lvlJc w:val="left"/>
      <w:pPr>
        <w:ind w:left="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3588F9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9DC503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E2C4D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4ACDA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D081D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AA657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0C48B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CE386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CB84F23"/>
    <w:multiLevelType w:val="hybridMultilevel"/>
    <w:tmpl w:val="523AF9E6"/>
    <w:lvl w:ilvl="0" w:tplc="04150017">
      <w:start w:val="2"/>
      <w:numFmt w:val="decimal"/>
      <w:lvlText w:val="%1."/>
      <w:lvlJc w:val="left"/>
      <w:pPr>
        <w:tabs>
          <w:tab w:val="num" w:pos="1080"/>
        </w:tabs>
        <w:ind w:left="1080" w:hanging="360"/>
      </w:pPr>
      <w:rPr>
        <w:rFonts w:hint="default"/>
        <w:b/>
      </w:rPr>
    </w:lvl>
    <w:lvl w:ilvl="1" w:tplc="04150019">
      <w:start w:val="1"/>
      <w:numFmt w:val="lowerLetter"/>
      <w:lvlText w:val="%2."/>
      <w:lvlJc w:val="left"/>
      <w:pPr>
        <w:tabs>
          <w:tab w:val="num" w:pos="1440"/>
        </w:tabs>
        <w:ind w:left="1440" w:hanging="360"/>
      </w:pPr>
    </w:lvl>
    <w:lvl w:ilvl="2" w:tplc="04150017">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DE276B9"/>
    <w:multiLevelType w:val="hybridMultilevel"/>
    <w:tmpl w:val="E0F4AFD8"/>
    <w:lvl w:ilvl="0" w:tplc="9AC60648">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E12DDC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D655F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7E7B5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C0AA4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30F75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A6F89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106BD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B280F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F6A3927"/>
    <w:multiLevelType w:val="hybridMultilevel"/>
    <w:tmpl w:val="142EA59E"/>
    <w:lvl w:ilvl="0" w:tplc="99946F4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B4387C">
      <w:start w:val="1"/>
      <w:numFmt w:val="lowerRoman"/>
      <w:lvlText w:val="%2."/>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5967BA8">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96E588">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DA7B10">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A0B706">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6E6F3A">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BEBA58">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D45840">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09C7F6A"/>
    <w:multiLevelType w:val="hybridMultilevel"/>
    <w:tmpl w:val="AF361FF0"/>
    <w:lvl w:ilvl="0" w:tplc="0415000F">
      <w:start w:val="1"/>
      <w:numFmt w:val="decimal"/>
      <w:lvlText w:val="%1."/>
      <w:lvlJc w:val="left"/>
      <w:pPr>
        <w:ind w:left="720" w:hanging="360"/>
      </w:pPr>
    </w:lvl>
    <w:lvl w:ilvl="1" w:tplc="8CC6F51A">
      <w:start w:val="1"/>
      <w:numFmt w:val="decimal"/>
      <w:lvlText w:val="%2)"/>
      <w:lvlJc w:val="left"/>
      <w:pPr>
        <w:ind w:left="1440" w:hanging="360"/>
      </w:pPr>
      <w:rPr>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5178C6"/>
    <w:multiLevelType w:val="hybridMultilevel"/>
    <w:tmpl w:val="AE906BB6"/>
    <w:lvl w:ilvl="0" w:tplc="0415001B">
      <w:start w:val="1"/>
      <w:numFmt w:val="lowerRoman"/>
      <w:lvlText w:val="%1."/>
      <w:lvlJc w:val="righ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35844732"/>
    <w:multiLevelType w:val="hybridMultilevel"/>
    <w:tmpl w:val="2E4434A8"/>
    <w:lvl w:ilvl="0" w:tplc="A1F6C888">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588E4D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7626A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D0C72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70B28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328FF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7CF6C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EC0B6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62810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8CB119C"/>
    <w:multiLevelType w:val="hybridMultilevel"/>
    <w:tmpl w:val="5C7A06A0"/>
    <w:lvl w:ilvl="0" w:tplc="0415001B">
      <w:start w:val="1"/>
      <w:numFmt w:val="lowerRoman"/>
      <w:lvlText w:val="%1."/>
      <w:lvlJc w:val="right"/>
      <w:pPr>
        <w:tabs>
          <w:tab w:val="num" w:pos="1083"/>
        </w:tabs>
        <w:ind w:left="108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8DC7CDE"/>
    <w:multiLevelType w:val="hybridMultilevel"/>
    <w:tmpl w:val="18ACCE08"/>
    <w:lvl w:ilvl="0" w:tplc="8C9A94C2">
      <w:start w:val="3"/>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35ED2E8">
      <w:start w:val="1"/>
      <w:numFmt w:val="lowerLetter"/>
      <w:lvlText w:val="%2)"/>
      <w:lvlJc w:val="left"/>
      <w:pPr>
        <w:ind w:left="10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EBEA2FCE">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BCA2E6">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B8297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C82D8C">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6E9CD0">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BCD3B0">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804C30">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B5439D6"/>
    <w:multiLevelType w:val="hybridMultilevel"/>
    <w:tmpl w:val="08F4C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D732184"/>
    <w:multiLevelType w:val="hybridMultilevel"/>
    <w:tmpl w:val="034A9CCE"/>
    <w:lvl w:ilvl="0" w:tplc="04150011">
      <w:start w:val="1"/>
      <w:numFmt w:val="decimal"/>
      <w:lvlText w:val="%1)"/>
      <w:lvlJc w:val="left"/>
      <w:pPr>
        <w:tabs>
          <w:tab w:val="num" w:pos="720"/>
        </w:tabs>
        <w:ind w:left="720" w:hanging="360"/>
      </w:pPr>
      <w:rPr>
        <w:rFonts w:hint="default"/>
      </w:rPr>
    </w:lvl>
    <w:lvl w:ilvl="1" w:tplc="8C04084C">
      <w:start w:val="1"/>
      <w:numFmt w:val="decimal"/>
      <w:lvlText w:val="%2)"/>
      <w:lvlJc w:val="left"/>
      <w:pPr>
        <w:tabs>
          <w:tab w:val="num" w:pos="1065"/>
        </w:tabs>
        <w:ind w:left="1065" w:hanging="705"/>
      </w:pPr>
      <w:rPr>
        <w:rFonts w:hint="default"/>
      </w:rPr>
    </w:lvl>
    <w:lvl w:ilvl="2" w:tplc="0415001B">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4" w15:restartNumberingAfterBreak="0">
    <w:nsid w:val="3F2C3D28"/>
    <w:multiLevelType w:val="hybridMultilevel"/>
    <w:tmpl w:val="D264C20A"/>
    <w:lvl w:ilvl="0" w:tplc="9E90AB8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3FF0257F"/>
    <w:multiLevelType w:val="multilevel"/>
    <w:tmpl w:val="06C8A06A"/>
    <w:lvl w:ilvl="0">
      <w:start w:val="1"/>
      <w:numFmt w:val="decimal"/>
      <w:pStyle w:val="Akapitpodstawowy"/>
      <w:lvlText w:val="%1)"/>
      <w:lvlJc w:val="left"/>
      <w:pPr>
        <w:tabs>
          <w:tab w:val="num" w:pos="502"/>
        </w:tabs>
        <w:ind w:left="502" w:hanging="360"/>
      </w:pPr>
      <w:rPr>
        <w:rFonts w:ascii="Times New Roman" w:eastAsia="Times New Roman" w:hAnsi="Times New Roman" w:cs="Times New Roman"/>
      </w:rPr>
    </w:lvl>
    <w:lvl w:ilvl="1">
      <w:start w:val="1"/>
      <w:numFmt w:val="decimal"/>
      <w:lvlText w:val="%2)"/>
      <w:lvlJc w:val="left"/>
      <w:pPr>
        <w:tabs>
          <w:tab w:val="num" w:pos="1094"/>
        </w:tabs>
        <w:ind w:left="1094" w:hanging="360"/>
      </w:pPr>
      <w:rPr>
        <w:rFonts w:hint="default"/>
      </w:rPr>
    </w:lvl>
    <w:lvl w:ilvl="2">
      <w:start w:val="1"/>
      <w:numFmt w:val="decimal"/>
      <w:pStyle w:val="Akapit-ab"/>
      <w:lvlText w:val="%3)"/>
      <w:lvlJc w:val="right"/>
      <w:pPr>
        <w:tabs>
          <w:tab w:val="num" w:pos="-24"/>
        </w:tabs>
        <w:ind w:left="-24" w:hanging="180"/>
      </w:pPr>
      <w:rPr>
        <w:rFonts w:ascii="Times New Roman" w:eastAsia="Times New Roman" w:hAnsi="Times New Roman" w:cs="Times New Roman" w:hint="default"/>
        <w:b w:val="0"/>
        <w:sz w:val="20"/>
        <w:szCs w:val="20"/>
      </w:rPr>
    </w:lvl>
    <w:lvl w:ilvl="3">
      <w:start w:val="1"/>
      <w:numFmt w:val="decimal"/>
      <w:pStyle w:val="Akapitii"/>
      <w:lvlText w:val="%4."/>
      <w:lvlJc w:val="left"/>
      <w:pPr>
        <w:tabs>
          <w:tab w:val="num" w:pos="2534"/>
        </w:tabs>
        <w:ind w:left="2534" w:hanging="360"/>
      </w:pPr>
      <w:rPr>
        <w:rFonts w:hint="default"/>
      </w:rPr>
    </w:lvl>
    <w:lvl w:ilvl="4">
      <w:start w:val="1"/>
      <w:numFmt w:val="lowerLetter"/>
      <w:pStyle w:val="akapit112"/>
      <w:lvlText w:val="%5."/>
      <w:lvlJc w:val="left"/>
      <w:pPr>
        <w:tabs>
          <w:tab w:val="num" w:pos="3254"/>
        </w:tabs>
        <w:ind w:left="3254" w:hanging="360"/>
      </w:pPr>
      <w:rPr>
        <w:rFonts w:hint="default"/>
      </w:rPr>
    </w:lvl>
    <w:lvl w:ilvl="5">
      <w:start w:val="1"/>
      <w:numFmt w:val="lowerRoman"/>
      <w:lvlText w:val="%6."/>
      <w:lvlJc w:val="right"/>
      <w:pPr>
        <w:tabs>
          <w:tab w:val="num" w:pos="3974"/>
        </w:tabs>
        <w:ind w:left="3974" w:hanging="180"/>
      </w:pPr>
      <w:rPr>
        <w:rFonts w:hint="default"/>
      </w:rPr>
    </w:lvl>
    <w:lvl w:ilvl="6">
      <w:start w:val="1"/>
      <w:numFmt w:val="decimal"/>
      <w:lvlText w:val="%7."/>
      <w:lvlJc w:val="left"/>
      <w:pPr>
        <w:tabs>
          <w:tab w:val="num" w:pos="4694"/>
        </w:tabs>
        <w:ind w:left="4694" w:hanging="360"/>
      </w:pPr>
      <w:rPr>
        <w:rFonts w:hint="default"/>
      </w:rPr>
    </w:lvl>
    <w:lvl w:ilvl="7">
      <w:start w:val="1"/>
      <w:numFmt w:val="lowerLetter"/>
      <w:lvlText w:val="%8."/>
      <w:lvlJc w:val="left"/>
      <w:pPr>
        <w:tabs>
          <w:tab w:val="num" w:pos="5414"/>
        </w:tabs>
        <w:ind w:left="5414" w:hanging="360"/>
      </w:pPr>
      <w:rPr>
        <w:rFonts w:hint="default"/>
      </w:rPr>
    </w:lvl>
    <w:lvl w:ilvl="8">
      <w:start w:val="1"/>
      <w:numFmt w:val="lowerRoman"/>
      <w:lvlText w:val="%9."/>
      <w:lvlJc w:val="right"/>
      <w:pPr>
        <w:tabs>
          <w:tab w:val="num" w:pos="6134"/>
        </w:tabs>
        <w:ind w:left="6134" w:hanging="180"/>
      </w:pPr>
      <w:rPr>
        <w:rFonts w:hint="default"/>
      </w:rPr>
    </w:lvl>
  </w:abstractNum>
  <w:abstractNum w:abstractNumId="36" w15:restartNumberingAfterBreak="0">
    <w:nsid w:val="41022A18"/>
    <w:multiLevelType w:val="hybridMultilevel"/>
    <w:tmpl w:val="A7D08918"/>
    <w:lvl w:ilvl="0" w:tplc="CFCA282E">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ACAE86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5449A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E8BE7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FA9C6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309E0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7028D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7489D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EC4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18C4808"/>
    <w:multiLevelType w:val="hybridMultilevel"/>
    <w:tmpl w:val="47528C16"/>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04150011"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420F0086"/>
    <w:multiLevelType w:val="hybridMultilevel"/>
    <w:tmpl w:val="6A12B0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7">
      <w:start w:val="1"/>
      <w:numFmt w:val="lowerLetter"/>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C96AD4"/>
    <w:multiLevelType w:val="hybridMultilevel"/>
    <w:tmpl w:val="B804EFAE"/>
    <w:lvl w:ilvl="0" w:tplc="0644CEBA">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8A3DBC">
      <w:start w:val="1"/>
      <w:numFmt w:val="lowerLetter"/>
      <w:lvlText w:val="%2)"/>
      <w:lvlJc w:val="left"/>
      <w:pPr>
        <w:ind w:left="10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C180F31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0C7DA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08947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8E18F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3C0AF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A6148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60488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43A39E9"/>
    <w:multiLevelType w:val="hybridMultilevel"/>
    <w:tmpl w:val="4C441E8A"/>
    <w:lvl w:ilvl="0" w:tplc="F4A28458">
      <w:start w:val="1"/>
      <w:numFmt w:val="decimal"/>
      <w:lvlText w:val="%1)"/>
      <w:lvlJc w:val="left"/>
      <w:pPr>
        <w:tabs>
          <w:tab w:val="num" w:pos="540"/>
        </w:tabs>
        <w:ind w:left="540" w:hanging="360"/>
      </w:pPr>
      <w:rPr>
        <w:rFont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5BA40EB"/>
    <w:multiLevelType w:val="hybridMultilevel"/>
    <w:tmpl w:val="D7080AB6"/>
    <w:lvl w:ilvl="0" w:tplc="97D2DE48">
      <w:start w:val="1"/>
      <w:numFmt w:val="decimal"/>
      <w:lvlText w:val="%1."/>
      <w:lvlJc w:val="left"/>
      <w:pPr>
        <w:ind w:left="720" w:hanging="360"/>
      </w:pPr>
      <w:rPr>
        <w:rFonts w:hint="default"/>
      </w:rPr>
    </w:lvl>
    <w:lvl w:ilvl="1" w:tplc="2AD23AAE">
      <w:start w:val="1"/>
      <w:numFmt w:val="decimal"/>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6F202E"/>
    <w:multiLevelType w:val="hybridMultilevel"/>
    <w:tmpl w:val="8106467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4AAD1BC6"/>
    <w:multiLevelType w:val="hybridMultilevel"/>
    <w:tmpl w:val="D8C0F736"/>
    <w:lvl w:ilvl="0" w:tplc="27A89A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AB97068"/>
    <w:multiLevelType w:val="hybridMultilevel"/>
    <w:tmpl w:val="5AD4F8B6"/>
    <w:lvl w:ilvl="0" w:tplc="F8A6BB62">
      <w:start w:val="1"/>
      <w:numFmt w:val="decimal"/>
      <w:lvlText w:val="%1)"/>
      <w:lvlJc w:val="left"/>
      <w:pPr>
        <w:ind w:left="720" w:hanging="360"/>
      </w:pPr>
      <w:rPr>
        <w:rFonts w:ascii="Times New Roman" w:eastAsia="Times New Roman" w:hAnsi="Times New Roman" w:cs="Times New Roman"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5A0025"/>
    <w:multiLevelType w:val="hybridMultilevel"/>
    <w:tmpl w:val="81984A04"/>
    <w:lvl w:ilvl="0" w:tplc="9382642A">
      <w:start w:val="1"/>
      <w:numFmt w:val="decimal"/>
      <w:lvlText w:val="%1."/>
      <w:lvlJc w:val="left"/>
      <w:pPr>
        <w:ind w:left="720" w:hanging="360"/>
      </w:p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6" w15:restartNumberingAfterBreak="0">
    <w:nsid w:val="4D7C5D94"/>
    <w:multiLevelType w:val="hybridMultilevel"/>
    <w:tmpl w:val="99CCB198"/>
    <w:lvl w:ilvl="0" w:tplc="8B16487A">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DC6FE2">
      <w:start w:val="1"/>
      <w:numFmt w:val="lowerLetter"/>
      <w:lvlText w:val="%2)"/>
      <w:lvlJc w:val="left"/>
      <w:pPr>
        <w:ind w:left="10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986EBA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14F6D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C63B4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BEF23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C24BC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AE420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D8719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E236A27"/>
    <w:multiLevelType w:val="hybridMultilevel"/>
    <w:tmpl w:val="B5EA3F00"/>
    <w:lvl w:ilvl="0" w:tplc="EA7C25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EAF4357"/>
    <w:multiLevelType w:val="multilevel"/>
    <w:tmpl w:val="BB78980A"/>
    <w:lvl w:ilvl="0">
      <w:start w:val="1"/>
      <w:numFmt w:val="decimal"/>
      <w:lvlText w:val="%1."/>
      <w:lvlJc w:val="left"/>
      <w:pPr>
        <w:tabs>
          <w:tab w:val="num" w:pos="720"/>
        </w:tabs>
        <w:ind w:left="720" w:hanging="360"/>
      </w:pPr>
      <w:rPr>
        <w:rFonts w:hint="default"/>
        <w:color w:val="000000"/>
      </w:rPr>
    </w:lvl>
    <w:lvl w:ilvl="1">
      <w:start w:val="1"/>
      <w:numFmt w:val="decimal"/>
      <w:lvlText w:val="%2)"/>
      <w:lvlJc w:val="left"/>
      <w:pPr>
        <w:tabs>
          <w:tab w:val="num" w:pos="1440"/>
        </w:tabs>
        <w:ind w:left="1440" w:hanging="360"/>
      </w:pPr>
      <w:rPr>
        <w:rFonts w:hint="default"/>
        <w:color w:val="00000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eastAsia="Calibri" w:hAnsi="Times New Roman" w:cs="Times New Roman"/>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4FF41CFA"/>
    <w:multiLevelType w:val="hybridMultilevel"/>
    <w:tmpl w:val="EAB49344"/>
    <w:lvl w:ilvl="0" w:tplc="4460AC14">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422B6A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4ADCA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7665A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72ABA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DCFEF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488B0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CE8BC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12DEB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0953BE6"/>
    <w:multiLevelType w:val="hybridMultilevel"/>
    <w:tmpl w:val="1DC2DE40"/>
    <w:lvl w:ilvl="0" w:tplc="81B0AE48">
      <w:start w:val="5"/>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0249A6">
      <w:start w:val="1"/>
      <w:numFmt w:val="decimal"/>
      <w:lvlRestart w:val="0"/>
      <w:lvlText w:val="%2)"/>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800C848">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1CBF18">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E63E0A">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E26B78">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7E8D38">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528B56">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F2015E">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1C41D6D"/>
    <w:multiLevelType w:val="hybridMultilevel"/>
    <w:tmpl w:val="DCDEDD32"/>
    <w:lvl w:ilvl="0" w:tplc="7FE882F6">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3067B9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EE714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9080B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3E0EC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4C43C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20D5B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C8FA4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0AD48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397039F"/>
    <w:multiLevelType w:val="hybridMultilevel"/>
    <w:tmpl w:val="90EC2BFC"/>
    <w:lvl w:ilvl="0" w:tplc="AF3ADBF2">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EABB36">
      <w:start w:val="1"/>
      <w:numFmt w:val="lowerLetter"/>
      <w:lvlText w:val="%2)"/>
      <w:lvlJc w:val="left"/>
      <w:pPr>
        <w:ind w:left="10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8261E2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34D2A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D8CF6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68371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1A985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38ECF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BAF7E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5AE43FD"/>
    <w:multiLevelType w:val="hybridMultilevel"/>
    <w:tmpl w:val="B0DECC26"/>
    <w:lvl w:ilvl="0" w:tplc="6232B85E">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7B8ED4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B6B65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90F2E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B864C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FAD3F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764BE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74777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F800B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5F30E43"/>
    <w:multiLevelType w:val="hybridMultilevel"/>
    <w:tmpl w:val="BF862450"/>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5" w15:restartNumberingAfterBreak="0">
    <w:nsid w:val="5624753D"/>
    <w:multiLevelType w:val="hybridMultilevel"/>
    <w:tmpl w:val="345ABDFC"/>
    <w:lvl w:ilvl="0" w:tplc="05887F34">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18EB7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684BC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76C96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867FE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D29AA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8C0D0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40A34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DCB47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793782C"/>
    <w:multiLevelType w:val="hybridMultilevel"/>
    <w:tmpl w:val="9B3CF186"/>
    <w:lvl w:ilvl="0" w:tplc="5986F43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CF2F4">
      <w:start w:val="1"/>
      <w:numFmt w:val="lowerLetter"/>
      <w:lvlText w:val="%2)"/>
      <w:lvlJc w:val="left"/>
      <w:pPr>
        <w:ind w:left="10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5A07E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90136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84002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E0FB9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C8DE6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90606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5C44B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79D6EEC"/>
    <w:multiLevelType w:val="hybridMultilevel"/>
    <w:tmpl w:val="118EF6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7BF7582"/>
    <w:multiLevelType w:val="hybridMultilevel"/>
    <w:tmpl w:val="165E8C08"/>
    <w:lvl w:ilvl="0" w:tplc="7DACD566">
      <w:start w:val="1"/>
      <w:numFmt w:val="decimal"/>
      <w:lvlText w:val="%1)"/>
      <w:lvlJc w:val="left"/>
      <w:pPr>
        <w:tabs>
          <w:tab w:val="num" w:pos="540"/>
        </w:tabs>
        <w:ind w:left="54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90A3069"/>
    <w:multiLevelType w:val="multilevel"/>
    <w:tmpl w:val="DACEB918"/>
    <w:lvl w:ilvl="0">
      <w:start w:val="29"/>
      <w:numFmt w:val="decimal"/>
      <w:lvlText w:val="%1)"/>
      <w:lvlJc w:val="left"/>
      <w:pPr>
        <w:tabs>
          <w:tab w:val="num" w:pos="360"/>
        </w:tabs>
        <w:ind w:left="360" w:hanging="360"/>
      </w:pPr>
      <w:rPr>
        <w:rFonts w:hint="default"/>
        <w:b w:val="0"/>
        <w:i w:val="0"/>
        <w:strike w:val="0"/>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b w:val="0"/>
        <w:i w:val="0"/>
        <w:strike w:val="0"/>
        <w:dstrike w:val="0"/>
        <w:color w:val="auto"/>
      </w:rPr>
    </w:lvl>
    <w:lvl w:ilvl="3">
      <w:start w:val="1"/>
      <w:numFmt w:val="bullet"/>
      <w:lvlText w:val=""/>
      <w:lvlJc w:val="left"/>
      <w:pPr>
        <w:tabs>
          <w:tab w:val="num" w:pos="1440"/>
        </w:tabs>
        <w:ind w:left="1440" w:hanging="360"/>
      </w:pPr>
      <w:rPr>
        <w:rFonts w:ascii="Symbol" w:hAnsi="Symbol" w:hint="default"/>
        <w:b w:val="0"/>
        <w:i w:val="0"/>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A042588"/>
    <w:multiLevelType w:val="hybridMultilevel"/>
    <w:tmpl w:val="0F081F98"/>
    <w:lvl w:ilvl="0" w:tplc="FFFFFFFF">
      <w:start w:val="1"/>
      <w:numFmt w:val="decimal"/>
      <w:lvlText w:val="%1)"/>
      <w:lvlJc w:val="left"/>
      <w:pPr>
        <w:tabs>
          <w:tab w:val="num" w:pos="1211"/>
        </w:tabs>
        <w:ind w:left="1211" w:hanging="360"/>
      </w:pPr>
      <w:rPr>
        <w:rFonts w:ascii="Times New Roman" w:hAnsi="Times New Roman" w:hint="default"/>
        <w:b w:val="0"/>
        <w:i w:val="0"/>
        <w:sz w:val="24"/>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1" w15:restartNumberingAfterBreak="0">
    <w:nsid w:val="5BA173AF"/>
    <w:multiLevelType w:val="hybridMultilevel"/>
    <w:tmpl w:val="C9B0FDE2"/>
    <w:lvl w:ilvl="0" w:tplc="68389080">
      <w:start w:val="1"/>
      <w:numFmt w:val="decimal"/>
      <w:lvlText w:val="%1)"/>
      <w:lvlJc w:val="left"/>
      <w:pPr>
        <w:ind w:left="720" w:hanging="360"/>
      </w:pPr>
      <w:rPr>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2E1CE1"/>
    <w:multiLevelType w:val="hybridMultilevel"/>
    <w:tmpl w:val="20DAA9E4"/>
    <w:lvl w:ilvl="0" w:tplc="9E90AB8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5EF104CE"/>
    <w:multiLevelType w:val="hybridMultilevel"/>
    <w:tmpl w:val="FB86CA66"/>
    <w:lvl w:ilvl="0" w:tplc="42ECBD40">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0E2FBE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46D7C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14C83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8449A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8454E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2E416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58F4D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78336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07248FE"/>
    <w:multiLevelType w:val="hybridMultilevel"/>
    <w:tmpl w:val="84146610"/>
    <w:lvl w:ilvl="0" w:tplc="14EE5082">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E06C78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6E1F9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78357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1EF18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2A13D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C4A09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2EA1F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98BD5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3132B68"/>
    <w:multiLevelType w:val="hybridMultilevel"/>
    <w:tmpl w:val="CCA20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8540A1"/>
    <w:multiLevelType w:val="multilevel"/>
    <w:tmpl w:val="8952B854"/>
    <w:lvl w:ilvl="0">
      <w:start w:val="3"/>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5D01E49"/>
    <w:multiLevelType w:val="hybridMultilevel"/>
    <w:tmpl w:val="DC680AD8"/>
    <w:lvl w:ilvl="0" w:tplc="34AAB6F0">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62C0920">
      <w:start w:val="1"/>
      <w:numFmt w:val="lowerLetter"/>
      <w:lvlText w:val="%2)"/>
      <w:lvlJc w:val="left"/>
      <w:pPr>
        <w:ind w:left="10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2FE3A8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E0CAE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C41C4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384F8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A21A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A09E1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3AA04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5EF3D37"/>
    <w:multiLevelType w:val="hybridMultilevel"/>
    <w:tmpl w:val="D818A916"/>
    <w:lvl w:ilvl="0" w:tplc="CC66E1D8">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7EC1848"/>
    <w:multiLevelType w:val="hybridMultilevel"/>
    <w:tmpl w:val="5B86B64A"/>
    <w:lvl w:ilvl="0" w:tplc="BB4262F2">
      <w:start w:val="1"/>
      <w:numFmt w:val="lowerLetter"/>
      <w:lvlText w:val="%1)"/>
      <w:lvlJc w:val="left"/>
      <w:pPr>
        <w:ind w:left="10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BDAD75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364D0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282F0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72702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9EC1D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EAFAA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CEEB8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02EAD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82178B8"/>
    <w:multiLevelType w:val="hybridMultilevel"/>
    <w:tmpl w:val="6ADA8F94"/>
    <w:lvl w:ilvl="0" w:tplc="17C06992">
      <w:start w:val="1"/>
      <w:numFmt w:val="decimal"/>
      <w:lvlText w:val="%1)"/>
      <w:lvlJc w:val="left"/>
      <w:pPr>
        <w:ind w:left="4772" w:hanging="66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71" w15:restartNumberingAfterBreak="0">
    <w:nsid w:val="691938A5"/>
    <w:multiLevelType w:val="hybridMultilevel"/>
    <w:tmpl w:val="48649EFE"/>
    <w:lvl w:ilvl="0" w:tplc="7FB835CC">
      <w:start w:val="1"/>
      <w:numFmt w:val="decimal"/>
      <w:lvlText w:val="%1."/>
      <w:lvlJc w:val="left"/>
      <w:pPr>
        <w:ind w:left="25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52C2690">
      <w:start w:val="1"/>
      <w:numFmt w:val="decimal"/>
      <w:lvlText w:val="%2)"/>
      <w:lvlJc w:val="left"/>
      <w:pPr>
        <w:ind w:left="10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1512D3C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D2EA2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E6B9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98178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E8FEA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C847D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50BC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95F286D"/>
    <w:multiLevelType w:val="hybridMultilevel"/>
    <w:tmpl w:val="3F62FAEE"/>
    <w:lvl w:ilvl="0" w:tplc="0415000F">
      <w:start w:val="1"/>
      <w:numFmt w:val="decimal"/>
      <w:lvlText w:val="%1."/>
      <w:lvlJc w:val="left"/>
      <w:pPr>
        <w:ind w:left="703" w:hanging="360"/>
      </w:pPr>
    </w:lvl>
    <w:lvl w:ilvl="1" w:tplc="04150019" w:tentative="1">
      <w:start w:val="1"/>
      <w:numFmt w:val="lowerLetter"/>
      <w:lvlText w:val="%2."/>
      <w:lvlJc w:val="left"/>
      <w:pPr>
        <w:ind w:left="1423" w:hanging="360"/>
      </w:pPr>
    </w:lvl>
    <w:lvl w:ilvl="2" w:tplc="0415001B" w:tentative="1">
      <w:start w:val="1"/>
      <w:numFmt w:val="lowerRoman"/>
      <w:lvlText w:val="%3."/>
      <w:lvlJc w:val="right"/>
      <w:pPr>
        <w:ind w:left="2143" w:hanging="180"/>
      </w:p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73" w15:restartNumberingAfterBreak="0">
    <w:nsid w:val="6A837225"/>
    <w:multiLevelType w:val="hybridMultilevel"/>
    <w:tmpl w:val="73D2D55E"/>
    <w:lvl w:ilvl="0" w:tplc="04150011">
      <w:start w:val="1"/>
      <w:numFmt w:val="decimal"/>
      <w:lvlText w:val="%1)"/>
      <w:lvlJc w:val="left"/>
      <w:pPr>
        <w:ind w:left="701" w:hanging="360"/>
      </w:p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74" w15:restartNumberingAfterBreak="0">
    <w:nsid w:val="6D77417D"/>
    <w:multiLevelType w:val="hybridMultilevel"/>
    <w:tmpl w:val="C9369DB6"/>
    <w:lvl w:ilvl="0" w:tplc="04150011">
      <w:start w:val="1"/>
      <w:numFmt w:val="decimal"/>
      <w:lvlText w:val="%1)"/>
      <w:lvlJc w:val="left"/>
      <w:pPr>
        <w:ind w:left="720" w:hanging="360"/>
      </w:pPr>
    </w:lvl>
    <w:lvl w:ilvl="1" w:tplc="04150011">
      <w:start w:val="1"/>
      <w:numFmt w:val="decimal"/>
      <w:lvlText w:val="%2)"/>
      <w:lvlJc w:val="left"/>
      <w:pPr>
        <w:ind w:left="6031" w:hanging="360"/>
      </w:pPr>
    </w:lvl>
    <w:lvl w:ilvl="2" w:tplc="C15EE096">
      <w:start w:val="50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D7A3D35"/>
    <w:multiLevelType w:val="hybridMultilevel"/>
    <w:tmpl w:val="04D0DE8E"/>
    <w:lvl w:ilvl="0" w:tplc="F17EF01A">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9F089E4">
      <w:start w:val="1"/>
      <w:numFmt w:val="lowerLetter"/>
      <w:lvlText w:val="%2)"/>
      <w:lvlJc w:val="left"/>
      <w:pPr>
        <w:ind w:left="10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F8858E4">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42AED6">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AE2E7C">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7075F2">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D6CEB2">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3A5C38">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487F1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E574FE1"/>
    <w:multiLevelType w:val="hybridMultilevel"/>
    <w:tmpl w:val="00A06E7E"/>
    <w:lvl w:ilvl="0" w:tplc="A66ADE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2A7BEB"/>
    <w:multiLevelType w:val="hybridMultilevel"/>
    <w:tmpl w:val="6D245E5A"/>
    <w:lvl w:ilvl="0" w:tplc="9E90A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F4F7A83"/>
    <w:multiLevelType w:val="hybridMultilevel"/>
    <w:tmpl w:val="AF501900"/>
    <w:lvl w:ilvl="0" w:tplc="8CC6F51A">
      <w:start w:val="1"/>
      <w:numFmt w:val="decimal"/>
      <w:lvlText w:val="%1)"/>
      <w:lvlJc w:val="left"/>
      <w:pPr>
        <w:ind w:left="144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991BD6"/>
    <w:multiLevelType w:val="hybridMultilevel"/>
    <w:tmpl w:val="0E4001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52068A"/>
    <w:multiLevelType w:val="hybridMultilevel"/>
    <w:tmpl w:val="932698AA"/>
    <w:lvl w:ilvl="0" w:tplc="2C7AB984">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18E0E1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1C094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606867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CCDB8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84A19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A28E3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A0EA6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A6485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3501262"/>
    <w:multiLevelType w:val="hybridMultilevel"/>
    <w:tmpl w:val="507C2C20"/>
    <w:lvl w:ilvl="0" w:tplc="2AEE4B2E">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7CA30E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24653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0C9A4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72E49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560E7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6CE99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78BC1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D2F7B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3F549E4"/>
    <w:multiLevelType w:val="hybridMultilevel"/>
    <w:tmpl w:val="078031DE"/>
    <w:lvl w:ilvl="0" w:tplc="A5983168">
      <w:start w:val="1"/>
      <w:numFmt w:val="decimal"/>
      <w:lvlText w:val="%1."/>
      <w:lvlJc w:val="left"/>
      <w:pPr>
        <w:tabs>
          <w:tab w:val="num" w:pos="360"/>
        </w:tabs>
        <w:ind w:left="341" w:hanging="341"/>
      </w:pPr>
      <w:rPr>
        <w:rFonts w:hint="default"/>
      </w:rPr>
    </w:lvl>
    <w:lvl w:ilvl="1" w:tplc="04150019">
      <w:start w:val="1"/>
      <w:numFmt w:val="decimal"/>
      <w:lvlText w:val="%2)"/>
      <w:lvlJc w:val="left"/>
      <w:pPr>
        <w:tabs>
          <w:tab w:val="num" w:pos="720"/>
        </w:tabs>
        <w:ind w:left="720" w:hanging="360"/>
      </w:pPr>
      <w:rPr>
        <w:rFonts w:ascii="Times New Roman" w:hAnsi="Times New Roman" w:hint="default"/>
        <w:b w:val="0"/>
        <w:i w:val="0"/>
        <w:sz w:val="24"/>
      </w:rPr>
    </w:lvl>
    <w:lvl w:ilvl="2" w:tplc="0415001B">
      <w:start w:val="3"/>
      <w:numFmt w:val="ordin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47469C4"/>
    <w:multiLevelType w:val="hybridMultilevel"/>
    <w:tmpl w:val="7922A0AA"/>
    <w:lvl w:ilvl="0" w:tplc="04150017">
      <w:start w:val="1"/>
      <w:numFmt w:val="lowerLetter"/>
      <w:lvlText w:val="%1)"/>
      <w:lvlJc w:val="left"/>
      <w:pPr>
        <w:ind w:left="720" w:hanging="360"/>
      </w:pPr>
    </w:lvl>
    <w:lvl w:ilvl="1" w:tplc="1106733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C367AD"/>
    <w:multiLevelType w:val="hybridMultilevel"/>
    <w:tmpl w:val="59C06F92"/>
    <w:lvl w:ilvl="0" w:tplc="9E90A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77358A5"/>
    <w:multiLevelType w:val="multilevel"/>
    <w:tmpl w:val="6D084A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15:restartNumberingAfterBreak="0">
    <w:nsid w:val="79602B6B"/>
    <w:multiLevelType w:val="hybridMultilevel"/>
    <w:tmpl w:val="03729648"/>
    <w:lvl w:ilvl="0" w:tplc="D5BC290C">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3624E6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AE542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407AA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12D44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94D5E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843B0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180A2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66C70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C76210B"/>
    <w:multiLevelType w:val="hybridMultilevel"/>
    <w:tmpl w:val="20A490BC"/>
    <w:lvl w:ilvl="0" w:tplc="E852200E">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E0E9FE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A446B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BA4EF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8BE558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E2167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328DB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DC54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1C211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E4F7154"/>
    <w:multiLevelType w:val="hybridMultilevel"/>
    <w:tmpl w:val="C5501FB2"/>
    <w:lvl w:ilvl="0" w:tplc="9E90A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EE324A6"/>
    <w:multiLevelType w:val="hybridMultilevel"/>
    <w:tmpl w:val="6258499E"/>
    <w:lvl w:ilvl="0" w:tplc="80E2C78E">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75ADD0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0C4B0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A2A3E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24EA3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8C1AE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1E109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D8C47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8A3E5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71"/>
  </w:num>
  <w:num w:numId="2">
    <w:abstractNumId w:val="49"/>
  </w:num>
  <w:num w:numId="3">
    <w:abstractNumId w:val="29"/>
  </w:num>
  <w:num w:numId="4">
    <w:abstractNumId w:val="81"/>
  </w:num>
  <w:num w:numId="5">
    <w:abstractNumId w:val="4"/>
  </w:num>
  <w:num w:numId="6">
    <w:abstractNumId w:val="17"/>
  </w:num>
  <w:num w:numId="7">
    <w:abstractNumId w:val="12"/>
  </w:num>
  <w:num w:numId="8">
    <w:abstractNumId w:val="51"/>
  </w:num>
  <w:num w:numId="9">
    <w:abstractNumId w:val="52"/>
  </w:num>
  <w:num w:numId="10">
    <w:abstractNumId w:val="75"/>
  </w:num>
  <w:num w:numId="11">
    <w:abstractNumId w:val="39"/>
  </w:num>
  <w:num w:numId="12">
    <w:abstractNumId w:val="25"/>
  </w:num>
  <w:num w:numId="13">
    <w:abstractNumId w:val="89"/>
  </w:num>
  <w:num w:numId="14">
    <w:abstractNumId w:val="64"/>
  </w:num>
  <w:num w:numId="15">
    <w:abstractNumId w:val="14"/>
  </w:num>
  <w:num w:numId="16">
    <w:abstractNumId w:val="55"/>
  </w:num>
  <w:num w:numId="17">
    <w:abstractNumId w:val="56"/>
  </w:num>
  <w:num w:numId="18">
    <w:abstractNumId w:val="63"/>
  </w:num>
  <w:num w:numId="19">
    <w:abstractNumId w:val="36"/>
  </w:num>
  <w:num w:numId="20">
    <w:abstractNumId w:val="86"/>
  </w:num>
  <w:num w:numId="21">
    <w:abstractNumId w:val="80"/>
  </w:num>
  <w:num w:numId="22">
    <w:abstractNumId w:val="11"/>
  </w:num>
  <w:num w:numId="23">
    <w:abstractNumId w:val="67"/>
  </w:num>
  <w:num w:numId="24">
    <w:abstractNumId w:val="69"/>
  </w:num>
  <w:num w:numId="25">
    <w:abstractNumId w:val="31"/>
  </w:num>
  <w:num w:numId="26">
    <w:abstractNumId w:val="26"/>
  </w:num>
  <w:num w:numId="27">
    <w:abstractNumId w:val="5"/>
  </w:num>
  <w:num w:numId="28">
    <w:abstractNumId w:val="53"/>
  </w:num>
  <w:num w:numId="29">
    <w:abstractNumId w:val="50"/>
  </w:num>
  <w:num w:numId="30">
    <w:abstractNumId w:val="46"/>
  </w:num>
  <w:num w:numId="31">
    <w:abstractNumId w:val="23"/>
  </w:num>
  <w:num w:numId="32">
    <w:abstractNumId w:val="87"/>
  </w:num>
  <w:num w:numId="33">
    <w:abstractNumId w:val="28"/>
  </w:num>
  <w:num w:numId="34">
    <w:abstractNumId w:val="30"/>
  </w:num>
  <w:num w:numId="35">
    <w:abstractNumId w:val="68"/>
  </w:num>
  <w:num w:numId="36">
    <w:abstractNumId w:val="20"/>
  </w:num>
  <w:num w:numId="37">
    <w:abstractNumId w:val="82"/>
  </w:num>
  <w:num w:numId="38">
    <w:abstractNumId w:val="60"/>
  </w:num>
  <w:num w:numId="39">
    <w:abstractNumId w:val="73"/>
  </w:num>
  <w:num w:numId="40">
    <w:abstractNumId w:val="59"/>
  </w:num>
  <w:num w:numId="41">
    <w:abstractNumId w:val="15"/>
  </w:num>
  <w:num w:numId="42">
    <w:abstractNumId w:val="43"/>
  </w:num>
  <w:num w:numId="43">
    <w:abstractNumId w:val="85"/>
  </w:num>
  <w:num w:numId="44">
    <w:abstractNumId w:val="70"/>
  </w:num>
  <w:num w:numId="45">
    <w:abstractNumId w:val="77"/>
  </w:num>
  <w:num w:numId="46">
    <w:abstractNumId w:val="41"/>
  </w:num>
  <w:num w:numId="47">
    <w:abstractNumId w:val="3"/>
  </w:num>
  <w:num w:numId="48">
    <w:abstractNumId w:val="66"/>
  </w:num>
  <w:num w:numId="49">
    <w:abstractNumId w:val="13"/>
  </w:num>
  <w:num w:numId="50">
    <w:abstractNumId w:val="74"/>
  </w:num>
  <w:num w:numId="51">
    <w:abstractNumId w:val="79"/>
  </w:num>
  <w:num w:numId="52">
    <w:abstractNumId w:val="27"/>
  </w:num>
  <w:num w:numId="53">
    <w:abstractNumId w:val="35"/>
  </w:num>
  <w:num w:numId="54">
    <w:abstractNumId w:val="10"/>
  </w:num>
  <w:num w:numId="55">
    <w:abstractNumId w:val="61"/>
  </w:num>
  <w:num w:numId="56">
    <w:abstractNumId w:val="58"/>
  </w:num>
  <w:num w:numId="57">
    <w:abstractNumId w:val="9"/>
  </w:num>
  <w:num w:numId="58">
    <w:abstractNumId w:val="40"/>
  </w:num>
  <w:num w:numId="59">
    <w:abstractNumId w:val="37"/>
  </w:num>
  <w:num w:numId="60">
    <w:abstractNumId w:val="6"/>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3"/>
  </w:num>
  <w:num w:numId="63">
    <w:abstractNumId w:val="18"/>
  </w:num>
  <w:num w:numId="64">
    <w:abstractNumId w:val="2"/>
  </w:num>
  <w:num w:numId="65">
    <w:abstractNumId w:val="88"/>
  </w:num>
  <w:num w:numId="66">
    <w:abstractNumId w:val="16"/>
  </w:num>
  <w:num w:numId="67">
    <w:abstractNumId w:val="1"/>
  </w:num>
  <w:num w:numId="68">
    <w:abstractNumId w:val="19"/>
  </w:num>
  <w:num w:numId="69">
    <w:abstractNumId w:val="7"/>
  </w:num>
  <w:num w:numId="70">
    <w:abstractNumId w:val="22"/>
  </w:num>
  <w:num w:numId="71">
    <w:abstractNumId w:val="47"/>
  </w:num>
  <w:num w:numId="72">
    <w:abstractNumId w:val="76"/>
  </w:num>
  <w:num w:numId="73">
    <w:abstractNumId w:val="32"/>
  </w:num>
  <w:num w:numId="74">
    <w:abstractNumId w:val="8"/>
  </w:num>
  <w:num w:numId="75">
    <w:abstractNumId w:val="38"/>
  </w:num>
  <w:num w:numId="76">
    <w:abstractNumId w:val="54"/>
  </w:num>
  <w:num w:numId="77">
    <w:abstractNumId w:val="45"/>
  </w:num>
  <w:num w:numId="78">
    <w:abstractNumId w:val="42"/>
  </w:num>
  <w:num w:numId="79">
    <w:abstractNumId w:val="24"/>
  </w:num>
  <w:num w:numId="80">
    <w:abstractNumId w:val="33"/>
  </w:num>
  <w:num w:numId="81">
    <w:abstractNumId w:val="44"/>
  </w:num>
  <w:num w:numId="82">
    <w:abstractNumId w:val="72"/>
  </w:num>
  <w:num w:numId="83">
    <w:abstractNumId w:val="65"/>
  </w:num>
  <w:num w:numId="84">
    <w:abstractNumId w:val="57"/>
  </w:num>
  <w:num w:numId="85">
    <w:abstractNumId w:val="62"/>
  </w:num>
  <w:num w:numId="86">
    <w:abstractNumId w:val="34"/>
  </w:num>
  <w:num w:numId="87">
    <w:abstractNumId w:val="84"/>
  </w:num>
  <w:num w:numId="88">
    <w:abstractNumId w:val="48"/>
  </w:num>
  <w:num w:numId="89">
    <w:abstractNumId w:val="78"/>
  </w:num>
  <w:num w:numId="90">
    <w:abstractNumId w:val="2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IxTmu2BvaW3I7IV6FRw2dnC3namYTUrnyIpIVaSymZzQpI2tk16u7TW1C+vdnEunCilEzuhjfVzPdMgOjctm7w==" w:salt="ADUSrK3ls1/FOATq/8Okj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F6"/>
    <w:rsid w:val="00003AC2"/>
    <w:rsid w:val="000044E3"/>
    <w:rsid w:val="0001194F"/>
    <w:rsid w:val="00012543"/>
    <w:rsid w:val="000146B9"/>
    <w:rsid w:val="00016279"/>
    <w:rsid w:val="00023367"/>
    <w:rsid w:val="000248DA"/>
    <w:rsid w:val="00032BB1"/>
    <w:rsid w:val="00034EF1"/>
    <w:rsid w:val="00035FEB"/>
    <w:rsid w:val="00045C97"/>
    <w:rsid w:val="0005567F"/>
    <w:rsid w:val="00056B16"/>
    <w:rsid w:val="00056E67"/>
    <w:rsid w:val="00060950"/>
    <w:rsid w:val="00061AF6"/>
    <w:rsid w:val="00061BA7"/>
    <w:rsid w:val="00065790"/>
    <w:rsid w:val="000666BD"/>
    <w:rsid w:val="00071D69"/>
    <w:rsid w:val="0007448C"/>
    <w:rsid w:val="00076814"/>
    <w:rsid w:val="00077182"/>
    <w:rsid w:val="00080EE1"/>
    <w:rsid w:val="000816BC"/>
    <w:rsid w:val="0008573A"/>
    <w:rsid w:val="00092AEF"/>
    <w:rsid w:val="000A42C9"/>
    <w:rsid w:val="000A5551"/>
    <w:rsid w:val="000A7A11"/>
    <w:rsid w:val="000B0A76"/>
    <w:rsid w:val="000B699F"/>
    <w:rsid w:val="000B75A0"/>
    <w:rsid w:val="000B7970"/>
    <w:rsid w:val="000C384C"/>
    <w:rsid w:val="000C5CDC"/>
    <w:rsid w:val="000D1870"/>
    <w:rsid w:val="000D1C31"/>
    <w:rsid w:val="000D1D4D"/>
    <w:rsid w:val="000D567C"/>
    <w:rsid w:val="000E05DC"/>
    <w:rsid w:val="000E05E1"/>
    <w:rsid w:val="000E2D72"/>
    <w:rsid w:val="000E4871"/>
    <w:rsid w:val="000E4EB7"/>
    <w:rsid w:val="000E5240"/>
    <w:rsid w:val="000E696A"/>
    <w:rsid w:val="000F0D2C"/>
    <w:rsid w:val="000F5FE9"/>
    <w:rsid w:val="000F6AAF"/>
    <w:rsid w:val="001007A1"/>
    <w:rsid w:val="001013A1"/>
    <w:rsid w:val="00101B97"/>
    <w:rsid w:val="0010218D"/>
    <w:rsid w:val="001036F4"/>
    <w:rsid w:val="001123BC"/>
    <w:rsid w:val="001221FB"/>
    <w:rsid w:val="001230CF"/>
    <w:rsid w:val="00127039"/>
    <w:rsid w:val="001272EA"/>
    <w:rsid w:val="00132534"/>
    <w:rsid w:val="00135316"/>
    <w:rsid w:val="001356CD"/>
    <w:rsid w:val="00140701"/>
    <w:rsid w:val="0014078F"/>
    <w:rsid w:val="00141337"/>
    <w:rsid w:val="00142786"/>
    <w:rsid w:val="00143C30"/>
    <w:rsid w:val="00147006"/>
    <w:rsid w:val="00147BAC"/>
    <w:rsid w:val="00147C78"/>
    <w:rsid w:val="00151E8A"/>
    <w:rsid w:val="00153CD4"/>
    <w:rsid w:val="001541F2"/>
    <w:rsid w:val="001555E3"/>
    <w:rsid w:val="00156E44"/>
    <w:rsid w:val="00161383"/>
    <w:rsid w:val="001636B3"/>
    <w:rsid w:val="00163D41"/>
    <w:rsid w:val="00164D56"/>
    <w:rsid w:val="00167F8F"/>
    <w:rsid w:val="00171446"/>
    <w:rsid w:val="00171ABE"/>
    <w:rsid w:val="00176023"/>
    <w:rsid w:val="0017647C"/>
    <w:rsid w:val="00177EFA"/>
    <w:rsid w:val="00180517"/>
    <w:rsid w:val="00184001"/>
    <w:rsid w:val="001870BA"/>
    <w:rsid w:val="00195F43"/>
    <w:rsid w:val="00196249"/>
    <w:rsid w:val="00196F23"/>
    <w:rsid w:val="0019727A"/>
    <w:rsid w:val="001A0FC2"/>
    <w:rsid w:val="001A1A8D"/>
    <w:rsid w:val="001A3D39"/>
    <w:rsid w:val="001A4022"/>
    <w:rsid w:val="001A76F0"/>
    <w:rsid w:val="001B4EDB"/>
    <w:rsid w:val="001B5FF6"/>
    <w:rsid w:val="001B658B"/>
    <w:rsid w:val="001C2023"/>
    <w:rsid w:val="001C7E3D"/>
    <w:rsid w:val="001D5765"/>
    <w:rsid w:val="001D70DE"/>
    <w:rsid w:val="001E0AC3"/>
    <w:rsid w:val="001E522D"/>
    <w:rsid w:val="001E52CB"/>
    <w:rsid w:val="001F0736"/>
    <w:rsid w:val="001F09C7"/>
    <w:rsid w:val="001F707D"/>
    <w:rsid w:val="002025C5"/>
    <w:rsid w:val="00202755"/>
    <w:rsid w:val="00204B79"/>
    <w:rsid w:val="002106B7"/>
    <w:rsid w:val="00211ADC"/>
    <w:rsid w:val="00212D9C"/>
    <w:rsid w:val="00216396"/>
    <w:rsid w:val="00220A30"/>
    <w:rsid w:val="00221CA4"/>
    <w:rsid w:val="002221F7"/>
    <w:rsid w:val="00230C9E"/>
    <w:rsid w:val="002366E6"/>
    <w:rsid w:val="002432A5"/>
    <w:rsid w:val="002445B8"/>
    <w:rsid w:val="00244A90"/>
    <w:rsid w:val="00250378"/>
    <w:rsid w:val="002517AF"/>
    <w:rsid w:val="0026168F"/>
    <w:rsid w:val="0026498E"/>
    <w:rsid w:val="00264F4F"/>
    <w:rsid w:val="00265480"/>
    <w:rsid w:val="00266F9C"/>
    <w:rsid w:val="002679C1"/>
    <w:rsid w:val="0027132C"/>
    <w:rsid w:val="00271DBF"/>
    <w:rsid w:val="00272BDE"/>
    <w:rsid w:val="00273667"/>
    <w:rsid w:val="0028093A"/>
    <w:rsid w:val="002810AC"/>
    <w:rsid w:val="00282492"/>
    <w:rsid w:val="002872D9"/>
    <w:rsid w:val="002921D9"/>
    <w:rsid w:val="002A12F1"/>
    <w:rsid w:val="002A4424"/>
    <w:rsid w:val="002A62F1"/>
    <w:rsid w:val="002A6579"/>
    <w:rsid w:val="002B0DFA"/>
    <w:rsid w:val="002B4629"/>
    <w:rsid w:val="002B499C"/>
    <w:rsid w:val="002B661A"/>
    <w:rsid w:val="002C2FA5"/>
    <w:rsid w:val="002C4B99"/>
    <w:rsid w:val="002C50F6"/>
    <w:rsid w:val="002C61C2"/>
    <w:rsid w:val="002C66FC"/>
    <w:rsid w:val="002C7CB8"/>
    <w:rsid w:val="002C7F96"/>
    <w:rsid w:val="002D488C"/>
    <w:rsid w:val="002D5148"/>
    <w:rsid w:val="002D51C3"/>
    <w:rsid w:val="002D5759"/>
    <w:rsid w:val="002D6324"/>
    <w:rsid w:val="002D6831"/>
    <w:rsid w:val="002D7509"/>
    <w:rsid w:val="002E2D69"/>
    <w:rsid w:val="002E3C4B"/>
    <w:rsid w:val="002E4D58"/>
    <w:rsid w:val="002E4DAF"/>
    <w:rsid w:val="002E55F7"/>
    <w:rsid w:val="002E5D68"/>
    <w:rsid w:val="002E5DC1"/>
    <w:rsid w:val="002F0A5C"/>
    <w:rsid w:val="002F0D7B"/>
    <w:rsid w:val="002F2BE9"/>
    <w:rsid w:val="002F6A14"/>
    <w:rsid w:val="002F720C"/>
    <w:rsid w:val="0030132B"/>
    <w:rsid w:val="00302D49"/>
    <w:rsid w:val="00303782"/>
    <w:rsid w:val="00316A4C"/>
    <w:rsid w:val="00317380"/>
    <w:rsid w:val="00325710"/>
    <w:rsid w:val="00333B6C"/>
    <w:rsid w:val="003422CC"/>
    <w:rsid w:val="00342D91"/>
    <w:rsid w:val="00343E14"/>
    <w:rsid w:val="00351034"/>
    <w:rsid w:val="003557AA"/>
    <w:rsid w:val="0035648C"/>
    <w:rsid w:val="00361AD4"/>
    <w:rsid w:val="00381600"/>
    <w:rsid w:val="0038374D"/>
    <w:rsid w:val="003840EC"/>
    <w:rsid w:val="00384D2D"/>
    <w:rsid w:val="00386BFB"/>
    <w:rsid w:val="00391EEF"/>
    <w:rsid w:val="003A34E4"/>
    <w:rsid w:val="003A48B4"/>
    <w:rsid w:val="003A635E"/>
    <w:rsid w:val="003A70B8"/>
    <w:rsid w:val="003A7DD6"/>
    <w:rsid w:val="003B3DA4"/>
    <w:rsid w:val="003B48C6"/>
    <w:rsid w:val="003C0E9D"/>
    <w:rsid w:val="003C2784"/>
    <w:rsid w:val="003C35E9"/>
    <w:rsid w:val="003C7424"/>
    <w:rsid w:val="003D2245"/>
    <w:rsid w:val="003D4305"/>
    <w:rsid w:val="003F43C9"/>
    <w:rsid w:val="003F43E4"/>
    <w:rsid w:val="003F4426"/>
    <w:rsid w:val="003F4FD0"/>
    <w:rsid w:val="003F7C9D"/>
    <w:rsid w:val="00401C9C"/>
    <w:rsid w:val="004038BF"/>
    <w:rsid w:val="004057D3"/>
    <w:rsid w:val="004070AE"/>
    <w:rsid w:val="004076AE"/>
    <w:rsid w:val="004166E4"/>
    <w:rsid w:val="00416E15"/>
    <w:rsid w:val="004207FF"/>
    <w:rsid w:val="00420868"/>
    <w:rsid w:val="004210A8"/>
    <w:rsid w:val="0043315F"/>
    <w:rsid w:val="00433542"/>
    <w:rsid w:val="00434A86"/>
    <w:rsid w:val="00437B50"/>
    <w:rsid w:val="0044633F"/>
    <w:rsid w:val="004512BC"/>
    <w:rsid w:val="00452695"/>
    <w:rsid w:val="00453888"/>
    <w:rsid w:val="004574AB"/>
    <w:rsid w:val="00461F7F"/>
    <w:rsid w:val="004644A9"/>
    <w:rsid w:val="00472260"/>
    <w:rsid w:val="004828F9"/>
    <w:rsid w:val="0048628F"/>
    <w:rsid w:val="004866A0"/>
    <w:rsid w:val="00487207"/>
    <w:rsid w:val="00490097"/>
    <w:rsid w:val="00491A3A"/>
    <w:rsid w:val="004A0DE1"/>
    <w:rsid w:val="004A135F"/>
    <w:rsid w:val="004A3E50"/>
    <w:rsid w:val="004B5C5B"/>
    <w:rsid w:val="004B61D9"/>
    <w:rsid w:val="004C06A7"/>
    <w:rsid w:val="004C3834"/>
    <w:rsid w:val="004C4D30"/>
    <w:rsid w:val="004C7926"/>
    <w:rsid w:val="004E0484"/>
    <w:rsid w:val="004E1245"/>
    <w:rsid w:val="004E3617"/>
    <w:rsid w:val="004E3F66"/>
    <w:rsid w:val="004E4D33"/>
    <w:rsid w:val="004F2DA7"/>
    <w:rsid w:val="004F2F2D"/>
    <w:rsid w:val="004F3F44"/>
    <w:rsid w:val="004F7CC4"/>
    <w:rsid w:val="005058BD"/>
    <w:rsid w:val="00506B4B"/>
    <w:rsid w:val="00507711"/>
    <w:rsid w:val="005107DB"/>
    <w:rsid w:val="00516C26"/>
    <w:rsid w:val="005267E6"/>
    <w:rsid w:val="00531004"/>
    <w:rsid w:val="005326E6"/>
    <w:rsid w:val="00536F7D"/>
    <w:rsid w:val="0054333D"/>
    <w:rsid w:val="00544652"/>
    <w:rsid w:val="005464F0"/>
    <w:rsid w:val="00546659"/>
    <w:rsid w:val="00547CBA"/>
    <w:rsid w:val="005566ED"/>
    <w:rsid w:val="005578F9"/>
    <w:rsid w:val="00562537"/>
    <w:rsid w:val="00562E73"/>
    <w:rsid w:val="0056677A"/>
    <w:rsid w:val="00570EB0"/>
    <w:rsid w:val="0057185F"/>
    <w:rsid w:val="005802FD"/>
    <w:rsid w:val="00583A40"/>
    <w:rsid w:val="00592898"/>
    <w:rsid w:val="00593A90"/>
    <w:rsid w:val="005A3CFD"/>
    <w:rsid w:val="005A7EF0"/>
    <w:rsid w:val="005B0BB2"/>
    <w:rsid w:val="005B3797"/>
    <w:rsid w:val="005B6A8F"/>
    <w:rsid w:val="005C27C5"/>
    <w:rsid w:val="005C5204"/>
    <w:rsid w:val="005C710F"/>
    <w:rsid w:val="005D6589"/>
    <w:rsid w:val="005E1553"/>
    <w:rsid w:val="005E2085"/>
    <w:rsid w:val="005E2E8B"/>
    <w:rsid w:val="005E4068"/>
    <w:rsid w:val="005F7A0C"/>
    <w:rsid w:val="00604682"/>
    <w:rsid w:val="00605E4D"/>
    <w:rsid w:val="006075FF"/>
    <w:rsid w:val="006102F1"/>
    <w:rsid w:val="00617278"/>
    <w:rsid w:val="00617592"/>
    <w:rsid w:val="006177FF"/>
    <w:rsid w:val="00630812"/>
    <w:rsid w:val="00641449"/>
    <w:rsid w:val="00643998"/>
    <w:rsid w:val="006443E0"/>
    <w:rsid w:val="00650484"/>
    <w:rsid w:val="006509C1"/>
    <w:rsid w:val="00656874"/>
    <w:rsid w:val="00660775"/>
    <w:rsid w:val="00660BF1"/>
    <w:rsid w:val="0066102E"/>
    <w:rsid w:val="00663850"/>
    <w:rsid w:val="0067053C"/>
    <w:rsid w:val="0068046B"/>
    <w:rsid w:val="00683020"/>
    <w:rsid w:val="00683DF4"/>
    <w:rsid w:val="0068443E"/>
    <w:rsid w:val="00684CC1"/>
    <w:rsid w:val="006A3F4C"/>
    <w:rsid w:val="006A5CEC"/>
    <w:rsid w:val="006A7688"/>
    <w:rsid w:val="006B17B5"/>
    <w:rsid w:val="006B1C88"/>
    <w:rsid w:val="006B2041"/>
    <w:rsid w:val="006B4951"/>
    <w:rsid w:val="006C12AF"/>
    <w:rsid w:val="006C1A54"/>
    <w:rsid w:val="006C24D5"/>
    <w:rsid w:val="006C50C5"/>
    <w:rsid w:val="006D0214"/>
    <w:rsid w:val="006D2231"/>
    <w:rsid w:val="006D3FE5"/>
    <w:rsid w:val="006E0285"/>
    <w:rsid w:val="006E1268"/>
    <w:rsid w:val="006E14F0"/>
    <w:rsid w:val="006E3D52"/>
    <w:rsid w:val="006E771E"/>
    <w:rsid w:val="006F0D80"/>
    <w:rsid w:val="006F6928"/>
    <w:rsid w:val="00702C90"/>
    <w:rsid w:val="00705968"/>
    <w:rsid w:val="00712A86"/>
    <w:rsid w:val="00716915"/>
    <w:rsid w:val="00716C58"/>
    <w:rsid w:val="00720A0C"/>
    <w:rsid w:val="00722EEA"/>
    <w:rsid w:val="007245E9"/>
    <w:rsid w:val="007266DF"/>
    <w:rsid w:val="00731385"/>
    <w:rsid w:val="00732346"/>
    <w:rsid w:val="00732FB1"/>
    <w:rsid w:val="00734203"/>
    <w:rsid w:val="00743463"/>
    <w:rsid w:val="00751566"/>
    <w:rsid w:val="00753D15"/>
    <w:rsid w:val="00756A58"/>
    <w:rsid w:val="00756A87"/>
    <w:rsid w:val="00757833"/>
    <w:rsid w:val="007710CD"/>
    <w:rsid w:val="00772162"/>
    <w:rsid w:val="00773930"/>
    <w:rsid w:val="0077460C"/>
    <w:rsid w:val="00774977"/>
    <w:rsid w:val="00780B26"/>
    <w:rsid w:val="007811BB"/>
    <w:rsid w:val="007824CB"/>
    <w:rsid w:val="00783085"/>
    <w:rsid w:val="00784B95"/>
    <w:rsid w:val="0078627B"/>
    <w:rsid w:val="007A2978"/>
    <w:rsid w:val="007A3621"/>
    <w:rsid w:val="007A699E"/>
    <w:rsid w:val="007B0731"/>
    <w:rsid w:val="007B46FF"/>
    <w:rsid w:val="007B5986"/>
    <w:rsid w:val="007C6C21"/>
    <w:rsid w:val="007D6D21"/>
    <w:rsid w:val="007E00A0"/>
    <w:rsid w:val="007E0E12"/>
    <w:rsid w:val="007E13C1"/>
    <w:rsid w:val="007E2EA0"/>
    <w:rsid w:val="007E665B"/>
    <w:rsid w:val="007F07EA"/>
    <w:rsid w:val="007F09FD"/>
    <w:rsid w:val="007F3CF2"/>
    <w:rsid w:val="007F6021"/>
    <w:rsid w:val="007F7880"/>
    <w:rsid w:val="008061FB"/>
    <w:rsid w:val="00811F1F"/>
    <w:rsid w:val="0081271C"/>
    <w:rsid w:val="00812B33"/>
    <w:rsid w:val="00813A32"/>
    <w:rsid w:val="0082173A"/>
    <w:rsid w:val="00823D97"/>
    <w:rsid w:val="00831B86"/>
    <w:rsid w:val="00834EEE"/>
    <w:rsid w:val="00835FDB"/>
    <w:rsid w:val="00836467"/>
    <w:rsid w:val="00840861"/>
    <w:rsid w:val="0084198E"/>
    <w:rsid w:val="00843761"/>
    <w:rsid w:val="00844031"/>
    <w:rsid w:val="00846C42"/>
    <w:rsid w:val="00850354"/>
    <w:rsid w:val="00850E7A"/>
    <w:rsid w:val="0085343E"/>
    <w:rsid w:val="00860D8A"/>
    <w:rsid w:val="0086222A"/>
    <w:rsid w:val="008637BE"/>
    <w:rsid w:val="0087207F"/>
    <w:rsid w:val="008A05F7"/>
    <w:rsid w:val="008A0D67"/>
    <w:rsid w:val="008B0617"/>
    <w:rsid w:val="008B2EB7"/>
    <w:rsid w:val="008C632F"/>
    <w:rsid w:val="008D66DF"/>
    <w:rsid w:val="008E5CD1"/>
    <w:rsid w:val="008F5F36"/>
    <w:rsid w:val="008F605F"/>
    <w:rsid w:val="00901D24"/>
    <w:rsid w:val="0090220D"/>
    <w:rsid w:val="00912C4A"/>
    <w:rsid w:val="00916540"/>
    <w:rsid w:val="00916EDA"/>
    <w:rsid w:val="00921F15"/>
    <w:rsid w:val="009260E3"/>
    <w:rsid w:val="00927EB8"/>
    <w:rsid w:val="00934A31"/>
    <w:rsid w:val="00935B7B"/>
    <w:rsid w:val="00942B14"/>
    <w:rsid w:val="00946DEF"/>
    <w:rsid w:val="00946F1F"/>
    <w:rsid w:val="00950C11"/>
    <w:rsid w:val="00950C99"/>
    <w:rsid w:val="009510F7"/>
    <w:rsid w:val="009547C8"/>
    <w:rsid w:val="00956FAB"/>
    <w:rsid w:val="00961658"/>
    <w:rsid w:val="00962206"/>
    <w:rsid w:val="00967C30"/>
    <w:rsid w:val="00972BC3"/>
    <w:rsid w:val="0097451D"/>
    <w:rsid w:val="009748AC"/>
    <w:rsid w:val="00977E61"/>
    <w:rsid w:val="009806CD"/>
    <w:rsid w:val="009807DF"/>
    <w:rsid w:val="009851B8"/>
    <w:rsid w:val="00993D8F"/>
    <w:rsid w:val="00994B28"/>
    <w:rsid w:val="00997733"/>
    <w:rsid w:val="009A2892"/>
    <w:rsid w:val="009A6484"/>
    <w:rsid w:val="009B099A"/>
    <w:rsid w:val="009B348A"/>
    <w:rsid w:val="009B664B"/>
    <w:rsid w:val="009C2726"/>
    <w:rsid w:val="009C6812"/>
    <w:rsid w:val="009D36E8"/>
    <w:rsid w:val="009D5D55"/>
    <w:rsid w:val="009E1B70"/>
    <w:rsid w:val="009E1CCD"/>
    <w:rsid w:val="009E65DD"/>
    <w:rsid w:val="009E7253"/>
    <w:rsid w:val="009F162A"/>
    <w:rsid w:val="009F4315"/>
    <w:rsid w:val="009F5E2C"/>
    <w:rsid w:val="009F6C0D"/>
    <w:rsid w:val="00A02266"/>
    <w:rsid w:val="00A068AD"/>
    <w:rsid w:val="00A10043"/>
    <w:rsid w:val="00A10A0E"/>
    <w:rsid w:val="00A23E9C"/>
    <w:rsid w:val="00A25FD6"/>
    <w:rsid w:val="00A3202C"/>
    <w:rsid w:val="00A32DAD"/>
    <w:rsid w:val="00A375D9"/>
    <w:rsid w:val="00A41164"/>
    <w:rsid w:val="00A41C1B"/>
    <w:rsid w:val="00A430E8"/>
    <w:rsid w:val="00A44014"/>
    <w:rsid w:val="00A447BD"/>
    <w:rsid w:val="00A457D4"/>
    <w:rsid w:val="00A50192"/>
    <w:rsid w:val="00A513E8"/>
    <w:rsid w:val="00A536A1"/>
    <w:rsid w:val="00A538F4"/>
    <w:rsid w:val="00A645A2"/>
    <w:rsid w:val="00A64F09"/>
    <w:rsid w:val="00A65D00"/>
    <w:rsid w:val="00A67BCC"/>
    <w:rsid w:val="00A67C5E"/>
    <w:rsid w:val="00A71627"/>
    <w:rsid w:val="00A72CE0"/>
    <w:rsid w:val="00A72D07"/>
    <w:rsid w:val="00A772BF"/>
    <w:rsid w:val="00A77648"/>
    <w:rsid w:val="00A77B9B"/>
    <w:rsid w:val="00A81791"/>
    <w:rsid w:val="00A84F83"/>
    <w:rsid w:val="00A87A8B"/>
    <w:rsid w:val="00A9270D"/>
    <w:rsid w:val="00A95CDF"/>
    <w:rsid w:val="00A95DAA"/>
    <w:rsid w:val="00AA626B"/>
    <w:rsid w:val="00AA727C"/>
    <w:rsid w:val="00AB1D49"/>
    <w:rsid w:val="00AB4E96"/>
    <w:rsid w:val="00AC07BE"/>
    <w:rsid w:val="00AC2172"/>
    <w:rsid w:val="00AC3327"/>
    <w:rsid w:val="00AC582E"/>
    <w:rsid w:val="00AD3D44"/>
    <w:rsid w:val="00AD4398"/>
    <w:rsid w:val="00AE4D65"/>
    <w:rsid w:val="00AE5096"/>
    <w:rsid w:val="00AE5FF6"/>
    <w:rsid w:val="00AE6F46"/>
    <w:rsid w:val="00AF0A02"/>
    <w:rsid w:val="00AF2955"/>
    <w:rsid w:val="00AF317B"/>
    <w:rsid w:val="00AF6B30"/>
    <w:rsid w:val="00B075C9"/>
    <w:rsid w:val="00B0760C"/>
    <w:rsid w:val="00B14405"/>
    <w:rsid w:val="00B14C02"/>
    <w:rsid w:val="00B157A2"/>
    <w:rsid w:val="00B30712"/>
    <w:rsid w:val="00B3103E"/>
    <w:rsid w:val="00B324C8"/>
    <w:rsid w:val="00B331B6"/>
    <w:rsid w:val="00B3511D"/>
    <w:rsid w:val="00B361A2"/>
    <w:rsid w:val="00B3776B"/>
    <w:rsid w:val="00B40CAA"/>
    <w:rsid w:val="00B45406"/>
    <w:rsid w:val="00B458AC"/>
    <w:rsid w:val="00B507B8"/>
    <w:rsid w:val="00B50D11"/>
    <w:rsid w:val="00B5251E"/>
    <w:rsid w:val="00B57321"/>
    <w:rsid w:val="00B574F8"/>
    <w:rsid w:val="00B60144"/>
    <w:rsid w:val="00B61695"/>
    <w:rsid w:val="00B637F1"/>
    <w:rsid w:val="00B640A6"/>
    <w:rsid w:val="00B65C3B"/>
    <w:rsid w:val="00B678B1"/>
    <w:rsid w:val="00B70CAD"/>
    <w:rsid w:val="00B72F37"/>
    <w:rsid w:val="00B851FE"/>
    <w:rsid w:val="00B874D0"/>
    <w:rsid w:val="00B913AC"/>
    <w:rsid w:val="00B91835"/>
    <w:rsid w:val="00B92C68"/>
    <w:rsid w:val="00B940E7"/>
    <w:rsid w:val="00BA0570"/>
    <w:rsid w:val="00BA30CA"/>
    <w:rsid w:val="00BA3AA5"/>
    <w:rsid w:val="00BA5291"/>
    <w:rsid w:val="00BA5958"/>
    <w:rsid w:val="00BB2599"/>
    <w:rsid w:val="00BB4A9B"/>
    <w:rsid w:val="00BB4CFA"/>
    <w:rsid w:val="00BB5066"/>
    <w:rsid w:val="00BC2CBA"/>
    <w:rsid w:val="00BC7B94"/>
    <w:rsid w:val="00BD11E2"/>
    <w:rsid w:val="00BD139A"/>
    <w:rsid w:val="00BD2D20"/>
    <w:rsid w:val="00BE1A28"/>
    <w:rsid w:val="00BE43A6"/>
    <w:rsid w:val="00BE6193"/>
    <w:rsid w:val="00BE6B81"/>
    <w:rsid w:val="00BF17FD"/>
    <w:rsid w:val="00BF268F"/>
    <w:rsid w:val="00BF614A"/>
    <w:rsid w:val="00BF6535"/>
    <w:rsid w:val="00C01ADF"/>
    <w:rsid w:val="00C03332"/>
    <w:rsid w:val="00C03E07"/>
    <w:rsid w:val="00C073F8"/>
    <w:rsid w:val="00C17F7C"/>
    <w:rsid w:val="00C23C62"/>
    <w:rsid w:val="00C23ECF"/>
    <w:rsid w:val="00C23EF4"/>
    <w:rsid w:val="00C27DA7"/>
    <w:rsid w:val="00C30180"/>
    <w:rsid w:val="00C34E0B"/>
    <w:rsid w:val="00C3537C"/>
    <w:rsid w:val="00C419CC"/>
    <w:rsid w:val="00C45B32"/>
    <w:rsid w:val="00C53A5E"/>
    <w:rsid w:val="00C53E04"/>
    <w:rsid w:val="00C629E0"/>
    <w:rsid w:val="00C636C7"/>
    <w:rsid w:val="00C66297"/>
    <w:rsid w:val="00C67C39"/>
    <w:rsid w:val="00C7127C"/>
    <w:rsid w:val="00C71B46"/>
    <w:rsid w:val="00C74012"/>
    <w:rsid w:val="00C742AF"/>
    <w:rsid w:val="00C76FBF"/>
    <w:rsid w:val="00C842DB"/>
    <w:rsid w:val="00C84EDD"/>
    <w:rsid w:val="00C9480E"/>
    <w:rsid w:val="00C94C8C"/>
    <w:rsid w:val="00C95CE0"/>
    <w:rsid w:val="00CA3128"/>
    <w:rsid w:val="00CA4B17"/>
    <w:rsid w:val="00CA6A72"/>
    <w:rsid w:val="00CB0EC5"/>
    <w:rsid w:val="00CB2441"/>
    <w:rsid w:val="00CB41A1"/>
    <w:rsid w:val="00CB4406"/>
    <w:rsid w:val="00CB65FA"/>
    <w:rsid w:val="00CB76A2"/>
    <w:rsid w:val="00CC52F4"/>
    <w:rsid w:val="00CC69D8"/>
    <w:rsid w:val="00CC6BAA"/>
    <w:rsid w:val="00CD0340"/>
    <w:rsid w:val="00CD2FC6"/>
    <w:rsid w:val="00CE3B0F"/>
    <w:rsid w:val="00CE51B4"/>
    <w:rsid w:val="00CF304C"/>
    <w:rsid w:val="00CF457A"/>
    <w:rsid w:val="00CF5A49"/>
    <w:rsid w:val="00D00C13"/>
    <w:rsid w:val="00D00CB7"/>
    <w:rsid w:val="00D00CF3"/>
    <w:rsid w:val="00D03E7C"/>
    <w:rsid w:val="00D061CB"/>
    <w:rsid w:val="00D162A6"/>
    <w:rsid w:val="00D164E9"/>
    <w:rsid w:val="00D166FD"/>
    <w:rsid w:val="00D317CA"/>
    <w:rsid w:val="00D35C25"/>
    <w:rsid w:val="00D411F5"/>
    <w:rsid w:val="00D4487C"/>
    <w:rsid w:val="00D45AF3"/>
    <w:rsid w:val="00D46C09"/>
    <w:rsid w:val="00D51141"/>
    <w:rsid w:val="00D53456"/>
    <w:rsid w:val="00D537BA"/>
    <w:rsid w:val="00D55922"/>
    <w:rsid w:val="00D56DB6"/>
    <w:rsid w:val="00D60577"/>
    <w:rsid w:val="00D6326F"/>
    <w:rsid w:val="00D64B6F"/>
    <w:rsid w:val="00D65FED"/>
    <w:rsid w:val="00D707EC"/>
    <w:rsid w:val="00D71F8F"/>
    <w:rsid w:val="00D75E0E"/>
    <w:rsid w:val="00D77494"/>
    <w:rsid w:val="00D77833"/>
    <w:rsid w:val="00D8051F"/>
    <w:rsid w:val="00D82E0C"/>
    <w:rsid w:val="00D90451"/>
    <w:rsid w:val="00D9369F"/>
    <w:rsid w:val="00D96241"/>
    <w:rsid w:val="00DA0038"/>
    <w:rsid w:val="00DA0C73"/>
    <w:rsid w:val="00DA303A"/>
    <w:rsid w:val="00DA3110"/>
    <w:rsid w:val="00DA7ED5"/>
    <w:rsid w:val="00DB2B62"/>
    <w:rsid w:val="00DB32B9"/>
    <w:rsid w:val="00DB3593"/>
    <w:rsid w:val="00DC18A3"/>
    <w:rsid w:val="00DC3D4C"/>
    <w:rsid w:val="00DC3E3D"/>
    <w:rsid w:val="00DC5C95"/>
    <w:rsid w:val="00DD24DA"/>
    <w:rsid w:val="00DD38E0"/>
    <w:rsid w:val="00DE05EC"/>
    <w:rsid w:val="00DE1891"/>
    <w:rsid w:val="00DE22E4"/>
    <w:rsid w:val="00DE2995"/>
    <w:rsid w:val="00DE424A"/>
    <w:rsid w:val="00DE7B6C"/>
    <w:rsid w:val="00DF2053"/>
    <w:rsid w:val="00DF3498"/>
    <w:rsid w:val="00DF3DE2"/>
    <w:rsid w:val="00DF7E35"/>
    <w:rsid w:val="00E062B9"/>
    <w:rsid w:val="00E0725E"/>
    <w:rsid w:val="00E076DF"/>
    <w:rsid w:val="00E157F7"/>
    <w:rsid w:val="00E20437"/>
    <w:rsid w:val="00E21588"/>
    <w:rsid w:val="00E23DDD"/>
    <w:rsid w:val="00E268C8"/>
    <w:rsid w:val="00E275CE"/>
    <w:rsid w:val="00E27AA1"/>
    <w:rsid w:val="00E346E7"/>
    <w:rsid w:val="00E357AC"/>
    <w:rsid w:val="00E36B48"/>
    <w:rsid w:val="00E44B48"/>
    <w:rsid w:val="00E5014E"/>
    <w:rsid w:val="00E51AB3"/>
    <w:rsid w:val="00E56BA4"/>
    <w:rsid w:val="00E57A26"/>
    <w:rsid w:val="00E60342"/>
    <w:rsid w:val="00E633BD"/>
    <w:rsid w:val="00E64422"/>
    <w:rsid w:val="00E66EDA"/>
    <w:rsid w:val="00E72BA8"/>
    <w:rsid w:val="00E76EC1"/>
    <w:rsid w:val="00E805CF"/>
    <w:rsid w:val="00E80767"/>
    <w:rsid w:val="00E81BF6"/>
    <w:rsid w:val="00E911D3"/>
    <w:rsid w:val="00EA41CC"/>
    <w:rsid w:val="00EA4AA6"/>
    <w:rsid w:val="00EA6239"/>
    <w:rsid w:val="00EA6F7B"/>
    <w:rsid w:val="00EB0BB2"/>
    <w:rsid w:val="00EB2430"/>
    <w:rsid w:val="00EB6AEE"/>
    <w:rsid w:val="00EC508A"/>
    <w:rsid w:val="00ED1D61"/>
    <w:rsid w:val="00ED5810"/>
    <w:rsid w:val="00ED5D5F"/>
    <w:rsid w:val="00ED632A"/>
    <w:rsid w:val="00ED7735"/>
    <w:rsid w:val="00EE2688"/>
    <w:rsid w:val="00EE290C"/>
    <w:rsid w:val="00EE3F6F"/>
    <w:rsid w:val="00EE4878"/>
    <w:rsid w:val="00EE60D9"/>
    <w:rsid w:val="00EF48E4"/>
    <w:rsid w:val="00EF5D7F"/>
    <w:rsid w:val="00F03594"/>
    <w:rsid w:val="00F03B83"/>
    <w:rsid w:val="00F04594"/>
    <w:rsid w:val="00F10087"/>
    <w:rsid w:val="00F105FD"/>
    <w:rsid w:val="00F1098D"/>
    <w:rsid w:val="00F12A7A"/>
    <w:rsid w:val="00F1693A"/>
    <w:rsid w:val="00F1720F"/>
    <w:rsid w:val="00F20385"/>
    <w:rsid w:val="00F216D9"/>
    <w:rsid w:val="00F2173D"/>
    <w:rsid w:val="00F26B39"/>
    <w:rsid w:val="00F27836"/>
    <w:rsid w:val="00F3352A"/>
    <w:rsid w:val="00F364C8"/>
    <w:rsid w:val="00F373F0"/>
    <w:rsid w:val="00F37D75"/>
    <w:rsid w:val="00F40E7D"/>
    <w:rsid w:val="00F42F77"/>
    <w:rsid w:val="00F50CC2"/>
    <w:rsid w:val="00F53000"/>
    <w:rsid w:val="00F57233"/>
    <w:rsid w:val="00F60242"/>
    <w:rsid w:val="00F60B57"/>
    <w:rsid w:val="00F676FA"/>
    <w:rsid w:val="00F67DF7"/>
    <w:rsid w:val="00F722E1"/>
    <w:rsid w:val="00F7442D"/>
    <w:rsid w:val="00F76AC5"/>
    <w:rsid w:val="00F80FF4"/>
    <w:rsid w:val="00F8210E"/>
    <w:rsid w:val="00F83509"/>
    <w:rsid w:val="00F83F44"/>
    <w:rsid w:val="00F87B7F"/>
    <w:rsid w:val="00F936EE"/>
    <w:rsid w:val="00F95B61"/>
    <w:rsid w:val="00F96528"/>
    <w:rsid w:val="00F970D1"/>
    <w:rsid w:val="00F976C2"/>
    <w:rsid w:val="00FA0130"/>
    <w:rsid w:val="00FB0A52"/>
    <w:rsid w:val="00FB1780"/>
    <w:rsid w:val="00FB2467"/>
    <w:rsid w:val="00FB7F90"/>
    <w:rsid w:val="00FD0FF9"/>
    <w:rsid w:val="00FD5C9A"/>
    <w:rsid w:val="00FD5E9F"/>
    <w:rsid w:val="00FE146E"/>
    <w:rsid w:val="00FE1507"/>
    <w:rsid w:val="00FE2CB2"/>
    <w:rsid w:val="00FE48FF"/>
    <w:rsid w:val="00FE4ECD"/>
    <w:rsid w:val="00FE5D46"/>
    <w:rsid w:val="00FE6BC8"/>
    <w:rsid w:val="00FE70E6"/>
    <w:rsid w:val="00FE7C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F4352"/>
  <w15:docId w15:val="{A780721C-8A0E-45C6-A8A9-D97DCA87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61" w:line="425" w:lineRule="auto"/>
      <w:ind w:left="10" w:right="4" w:hanging="10"/>
      <w:jc w:val="both"/>
    </w:pPr>
    <w:rPr>
      <w:rFonts w:ascii="Calibri" w:eastAsia="Calibri" w:hAnsi="Calibri" w:cs="Calibri"/>
      <w:color w:val="000000"/>
      <w:sz w:val="24"/>
    </w:rPr>
  </w:style>
  <w:style w:type="paragraph" w:styleId="Nagwek1">
    <w:name w:val="heading 1"/>
    <w:next w:val="Normalny"/>
    <w:link w:val="Nagwek1Znak"/>
    <w:uiPriority w:val="9"/>
    <w:unhideWhenUsed/>
    <w:qFormat/>
    <w:pPr>
      <w:keepNext/>
      <w:keepLines/>
      <w:spacing w:after="272" w:line="268" w:lineRule="auto"/>
      <w:ind w:left="10" w:hanging="10"/>
      <w:jc w:val="both"/>
      <w:outlineLvl w:val="0"/>
    </w:pPr>
    <w:rPr>
      <w:rFonts w:ascii="Calibri" w:eastAsia="Calibri" w:hAnsi="Calibri" w:cs="Calibri"/>
      <w:b/>
      <w:color w:val="000000"/>
      <w:sz w:val="26"/>
    </w:rPr>
  </w:style>
  <w:style w:type="paragraph" w:styleId="Nagwek2">
    <w:name w:val="heading 2"/>
    <w:next w:val="Normalny"/>
    <w:link w:val="Nagwek2Znak"/>
    <w:uiPriority w:val="9"/>
    <w:unhideWhenUsed/>
    <w:qFormat/>
    <w:pPr>
      <w:keepNext/>
      <w:keepLines/>
      <w:spacing w:after="272" w:line="268" w:lineRule="auto"/>
      <w:ind w:left="10" w:hanging="10"/>
      <w:jc w:val="both"/>
      <w:outlineLvl w:val="1"/>
    </w:pPr>
    <w:rPr>
      <w:rFonts w:ascii="Calibri" w:eastAsia="Calibri" w:hAnsi="Calibri" w:cs="Calibri"/>
      <w:b/>
      <w:color w:val="000000"/>
      <w:sz w:val="26"/>
    </w:rPr>
  </w:style>
  <w:style w:type="paragraph" w:styleId="Nagwek3">
    <w:name w:val="heading 3"/>
    <w:next w:val="Normalny"/>
    <w:link w:val="Nagwek3Znak"/>
    <w:uiPriority w:val="9"/>
    <w:unhideWhenUsed/>
    <w:qFormat/>
    <w:pPr>
      <w:keepNext/>
      <w:keepLines/>
      <w:spacing w:after="272" w:line="268" w:lineRule="auto"/>
      <w:ind w:left="10" w:hanging="10"/>
      <w:jc w:val="both"/>
      <w:outlineLvl w:val="2"/>
    </w:pPr>
    <w:rPr>
      <w:rFonts w:ascii="Calibri" w:eastAsia="Calibri" w:hAnsi="Calibri" w:cs="Calibri"/>
      <w:b/>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Calibri" w:eastAsia="Calibri" w:hAnsi="Calibri" w:cs="Calibri"/>
      <w:b/>
      <w:color w:val="000000"/>
      <w:sz w:val="26"/>
    </w:rPr>
  </w:style>
  <w:style w:type="character" w:customStyle="1" w:styleId="Nagwek1Znak">
    <w:name w:val="Nagłówek 1 Znak"/>
    <w:link w:val="Nagwek1"/>
    <w:uiPriority w:val="9"/>
    <w:rPr>
      <w:rFonts w:ascii="Calibri" w:eastAsia="Calibri" w:hAnsi="Calibri" w:cs="Calibri"/>
      <w:b/>
      <w:color w:val="000000"/>
      <w:sz w:val="26"/>
    </w:rPr>
  </w:style>
  <w:style w:type="character" w:customStyle="1" w:styleId="Nagwek2Znak">
    <w:name w:val="Nagłówek 2 Znak"/>
    <w:link w:val="Nagwek2"/>
    <w:rPr>
      <w:rFonts w:ascii="Calibri" w:eastAsia="Calibri" w:hAnsi="Calibri" w:cs="Calibri"/>
      <w:b/>
      <w:color w:val="000000"/>
      <w:sz w:val="26"/>
    </w:rPr>
  </w:style>
  <w:style w:type="paragraph" w:styleId="Spistreci1">
    <w:name w:val="toc 1"/>
    <w:hidden/>
    <w:uiPriority w:val="39"/>
    <w:pPr>
      <w:spacing w:after="22"/>
      <w:ind w:left="25" w:right="23" w:hanging="10"/>
      <w:jc w:val="both"/>
    </w:pPr>
    <w:rPr>
      <w:rFonts w:ascii="Calibri" w:eastAsia="Calibri" w:hAnsi="Calibri" w:cs="Calibri"/>
      <w:color w:val="000000"/>
      <w:sz w:val="24"/>
    </w:rPr>
  </w:style>
  <w:style w:type="paragraph" w:styleId="Spistreci2">
    <w:name w:val="toc 2"/>
    <w:hidden/>
    <w:uiPriority w:val="39"/>
    <w:pPr>
      <w:spacing w:after="22"/>
      <w:ind w:left="307" w:right="23" w:hanging="10"/>
      <w:jc w:val="both"/>
    </w:pPr>
    <w:rPr>
      <w:rFonts w:ascii="Calibri" w:eastAsia="Calibri" w:hAnsi="Calibri" w:cs="Calibri"/>
      <w:color w:val="000000"/>
      <w:sz w:val="24"/>
    </w:rPr>
  </w:style>
  <w:style w:type="paragraph" w:styleId="Spistreci3">
    <w:name w:val="toc 3"/>
    <w:hidden/>
    <w:uiPriority w:val="39"/>
    <w:pPr>
      <w:spacing w:after="22"/>
      <w:ind w:left="591" w:right="27" w:hanging="10"/>
      <w:jc w:val="both"/>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podstawowy">
    <w:name w:val="Body Text"/>
    <w:basedOn w:val="Normalny"/>
    <w:link w:val="TekstpodstawowyZnak"/>
    <w:rsid w:val="009807DF"/>
    <w:pPr>
      <w:spacing w:after="0" w:line="240" w:lineRule="auto"/>
      <w:ind w:left="0" w:right="0" w:firstLine="0"/>
      <w:jc w:val="left"/>
    </w:pPr>
    <w:rPr>
      <w:rFonts w:ascii="Book Antiqua" w:eastAsia="Times New Roman" w:hAnsi="Book Antiqua" w:cs="Times New Roman"/>
      <w:color w:val="auto"/>
      <w:szCs w:val="20"/>
    </w:rPr>
  </w:style>
  <w:style w:type="character" w:customStyle="1" w:styleId="TekstpodstawowyZnak">
    <w:name w:val="Tekst podstawowy Znak"/>
    <w:basedOn w:val="Domylnaczcionkaakapitu"/>
    <w:link w:val="Tekstpodstawowy"/>
    <w:rsid w:val="009807DF"/>
    <w:rPr>
      <w:rFonts w:ascii="Book Antiqua" w:eastAsia="Times New Roman" w:hAnsi="Book Antiqua" w:cs="Times New Roman"/>
      <w:sz w:val="24"/>
      <w:szCs w:val="20"/>
    </w:rPr>
  </w:style>
  <w:style w:type="paragraph" w:styleId="Akapitzlist">
    <w:name w:val="List Paragraph"/>
    <w:aliases w:val="Bullets"/>
    <w:basedOn w:val="Normalny"/>
    <w:link w:val="AkapitzlistZnak"/>
    <w:uiPriority w:val="99"/>
    <w:qFormat/>
    <w:rsid w:val="009807DF"/>
    <w:pPr>
      <w:spacing w:after="0" w:line="240" w:lineRule="auto"/>
      <w:ind w:left="720" w:right="0" w:firstLine="0"/>
      <w:jc w:val="left"/>
    </w:pPr>
    <w:rPr>
      <w:rFonts w:ascii="Times New Roman" w:eastAsia="Times New Roman" w:hAnsi="Times New Roman" w:cs="Times New Roman"/>
      <w:color w:val="auto"/>
      <w:sz w:val="20"/>
      <w:szCs w:val="20"/>
    </w:rPr>
  </w:style>
  <w:style w:type="paragraph" w:styleId="Tekstdymka">
    <w:name w:val="Balloon Text"/>
    <w:basedOn w:val="Normalny"/>
    <w:link w:val="TekstdymkaZnak"/>
    <w:uiPriority w:val="99"/>
    <w:semiHidden/>
    <w:unhideWhenUsed/>
    <w:rsid w:val="008622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22A"/>
    <w:rPr>
      <w:rFonts w:ascii="Segoe UI" w:eastAsia="Calibri" w:hAnsi="Segoe UI" w:cs="Segoe UI"/>
      <w:color w:val="000000"/>
      <w:sz w:val="18"/>
      <w:szCs w:val="18"/>
    </w:rPr>
  </w:style>
  <w:style w:type="paragraph" w:styleId="Tekstprzypisudolnego">
    <w:name w:val="footnote text"/>
    <w:aliases w:val="Tekst przypisu"/>
    <w:basedOn w:val="Normalny"/>
    <w:link w:val="TekstprzypisudolnegoZnak"/>
    <w:semiHidden/>
    <w:rsid w:val="00F67DF7"/>
    <w:pPr>
      <w:spacing w:after="0" w:line="240" w:lineRule="auto"/>
      <w:ind w:left="0" w:right="0" w:firstLine="0"/>
      <w:jc w:val="left"/>
    </w:pPr>
    <w:rPr>
      <w:rFonts w:ascii="Times New Roman" w:eastAsia="Times New Roman" w:hAnsi="Times New Roman" w:cs="Times New Roman"/>
      <w:snapToGrid w:val="0"/>
      <w:color w:val="auto"/>
      <w:sz w:val="20"/>
      <w:szCs w:val="20"/>
    </w:rPr>
  </w:style>
  <w:style w:type="character" w:customStyle="1" w:styleId="TekstprzypisudolnegoZnak">
    <w:name w:val="Tekst przypisu dolnego Znak"/>
    <w:aliases w:val="Tekst przypisu Znak"/>
    <w:basedOn w:val="Domylnaczcionkaakapitu"/>
    <w:link w:val="Tekstprzypisudolnego"/>
    <w:semiHidden/>
    <w:rsid w:val="00F67DF7"/>
    <w:rPr>
      <w:rFonts w:ascii="Times New Roman" w:eastAsia="Times New Roman" w:hAnsi="Times New Roman" w:cs="Times New Roman"/>
      <w:snapToGrid w:val="0"/>
      <w:sz w:val="20"/>
      <w:szCs w:val="20"/>
    </w:rPr>
  </w:style>
  <w:style w:type="character" w:styleId="Odwoanieprzypisudolnego">
    <w:name w:val="footnote reference"/>
    <w:semiHidden/>
    <w:rsid w:val="00F67DF7"/>
    <w:rPr>
      <w:vertAlign w:val="superscript"/>
    </w:rPr>
  </w:style>
  <w:style w:type="character" w:customStyle="1" w:styleId="h2">
    <w:name w:val="h2"/>
    <w:basedOn w:val="Domylnaczcionkaakapitu"/>
    <w:rsid w:val="00156E44"/>
  </w:style>
  <w:style w:type="paragraph" w:customStyle="1" w:styleId="Default">
    <w:name w:val="Default"/>
    <w:rsid w:val="00EB6AEE"/>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EB6A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6AEE"/>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EB6AEE"/>
    <w:rPr>
      <w:vertAlign w:val="superscript"/>
    </w:rPr>
  </w:style>
  <w:style w:type="table" w:styleId="Tabela-Siatka">
    <w:name w:val="Table Grid"/>
    <w:basedOn w:val="Standardowy"/>
    <w:uiPriority w:val="39"/>
    <w:rsid w:val="0098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D55922"/>
    <w:pPr>
      <w:tabs>
        <w:tab w:val="center" w:pos="4536"/>
        <w:tab w:val="right" w:pos="9072"/>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NagwekZnak">
    <w:name w:val="Nagłówek Znak"/>
    <w:basedOn w:val="Domylnaczcionkaakapitu"/>
    <w:link w:val="Nagwek"/>
    <w:rsid w:val="00D55922"/>
    <w:rPr>
      <w:rFonts w:ascii="Times New Roman" w:eastAsia="Times New Roman" w:hAnsi="Times New Roman" w:cs="Times New Roman"/>
      <w:sz w:val="24"/>
      <w:szCs w:val="20"/>
    </w:rPr>
  </w:style>
  <w:style w:type="paragraph" w:styleId="Tekstpodstawowywcity">
    <w:name w:val="Body Text Indent"/>
    <w:basedOn w:val="Normalny"/>
    <w:link w:val="TekstpodstawowywcityZnak"/>
    <w:uiPriority w:val="99"/>
    <w:unhideWhenUsed/>
    <w:rsid w:val="00D55922"/>
    <w:pPr>
      <w:spacing w:after="120"/>
      <w:ind w:left="283"/>
    </w:pPr>
  </w:style>
  <w:style w:type="character" w:customStyle="1" w:styleId="TekstpodstawowywcityZnak">
    <w:name w:val="Tekst podstawowy wcięty Znak"/>
    <w:basedOn w:val="Domylnaczcionkaakapitu"/>
    <w:link w:val="Tekstpodstawowywcity"/>
    <w:uiPriority w:val="99"/>
    <w:rsid w:val="00D55922"/>
    <w:rPr>
      <w:rFonts w:ascii="Calibri" w:eastAsia="Calibri" w:hAnsi="Calibri" w:cs="Calibri"/>
      <w:color w:val="000000"/>
      <w:sz w:val="24"/>
    </w:rPr>
  </w:style>
  <w:style w:type="paragraph" w:styleId="Tekstpodstawowy2">
    <w:name w:val="Body Text 2"/>
    <w:basedOn w:val="Normalny"/>
    <w:link w:val="Tekstpodstawowy2Znak"/>
    <w:rsid w:val="00B678B1"/>
    <w:pPr>
      <w:spacing w:after="120" w:line="480" w:lineRule="auto"/>
      <w:ind w:left="0" w:right="0" w:firstLine="0"/>
      <w:jc w:val="left"/>
    </w:pPr>
    <w:rPr>
      <w:rFonts w:ascii="Times New Roman" w:eastAsia="Times New Roman" w:hAnsi="Times New Roman" w:cs="Times New Roman"/>
      <w:color w:val="auto"/>
      <w:szCs w:val="24"/>
    </w:rPr>
  </w:style>
  <w:style w:type="character" w:customStyle="1" w:styleId="Tekstpodstawowy2Znak">
    <w:name w:val="Tekst podstawowy 2 Znak"/>
    <w:basedOn w:val="Domylnaczcionkaakapitu"/>
    <w:link w:val="Tekstpodstawowy2"/>
    <w:rsid w:val="00B678B1"/>
    <w:rPr>
      <w:rFonts w:ascii="Times New Roman" w:eastAsia="Times New Roman" w:hAnsi="Times New Roman" w:cs="Times New Roman"/>
      <w:sz w:val="24"/>
      <w:szCs w:val="24"/>
    </w:rPr>
  </w:style>
  <w:style w:type="paragraph" w:styleId="NormalnyWeb">
    <w:name w:val="Normal (Web)"/>
    <w:basedOn w:val="Normalny"/>
    <w:uiPriority w:val="99"/>
    <w:unhideWhenUsed/>
    <w:rsid w:val="00B678B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AkapitzlistZnak">
    <w:name w:val="Akapit z listą Znak"/>
    <w:aliases w:val="Bullets Znak"/>
    <w:link w:val="Akapitzlist"/>
    <w:uiPriority w:val="99"/>
    <w:locked/>
    <w:rsid w:val="00F80FF4"/>
    <w:rPr>
      <w:rFonts w:ascii="Times New Roman" w:eastAsia="Times New Roman" w:hAnsi="Times New Roman" w:cs="Times New Roman"/>
      <w:sz w:val="20"/>
      <w:szCs w:val="20"/>
    </w:rPr>
  </w:style>
  <w:style w:type="paragraph" w:styleId="Bezodstpw">
    <w:name w:val="No Spacing"/>
    <w:uiPriority w:val="1"/>
    <w:qFormat/>
    <w:rsid w:val="00A536A1"/>
    <w:pPr>
      <w:spacing w:after="0" w:line="240" w:lineRule="auto"/>
    </w:pPr>
    <w:rPr>
      <w:rFonts w:eastAsiaTheme="minorHAnsi"/>
      <w:lang w:eastAsia="en-US"/>
    </w:rPr>
  </w:style>
  <w:style w:type="paragraph" w:styleId="Tekstpodstawowywcity2">
    <w:name w:val="Body Text Indent 2"/>
    <w:basedOn w:val="Normalny"/>
    <w:link w:val="Tekstpodstawowywcity2Znak"/>
    <w:uiPriority w:val="99"/>
    <w:semiHidden/>
    <w:unhideWhenUsed/>
    <w:rsid w:val="00FE2CB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E2CB2"/>
    <w:rPr>
      <w:rFonts w:ascii="Calibri" w:eastAsia="Calibri" w:hAnsi="Calibri" w:cs="Calibri"/>
      <w:color w:val="000000"/>
      <w:sz w:val="24"/>
    </w:rPr>
  </w:style>
  <w:style w:type="paragraph" w:customStyle="1" w:styleId="Akapitpodstawowy">
    <w:name w:val="Akapit podstawowy"/>
    <w:basedOn w:val="Tekstpodstawowywcity2"/>
    <w:qFormat/>
    <w:rsid w:val="00F1098D"/>
    <w:pPr>
      <w:numPr>
        <w:numId w:val="53"/>
      </w:numPr>
      <w:tabs>
        <w:tab w:val="num" w:pos="3842"/>
      </w:tabs>
      <w:spacing w:line="240" w:lineRule="auto"/>
      <w:ind w:right="0"/>
    </w:pPr>
    <w:rPr>
      <w:rFonts w:ascii="Times New Roman" w:eastAsia="Times New Roman" w:hAnsi="Times New Roman" w:cs="Times New Roman"/>
      <w:color w:val="auto"/>
      <w:szCs w:val="24"/>
    </w:rPr>
  </w:style>
  <w:style w:type="paragraph" w:customStyle="1" w:styleId="Akapit-ab">
    <w:name w:val="Akapit - ab"/>
    <w:basedOn w:val="Normalny"/>
    <w:link w:val="Akapit-abZnak"/>
    <w:qFormat/>
    <w:rsid w:val="00F1098D"/>
    <w:pPr>
      <w:numPr>
        <w:ilvl w:val="2"/>
        <w:numId w:val="53"/>
      </w:numPr>
      <w:spacing w:after="0" w:line="240" w:lineRule="auto"/>
      <w:ind w:right="0"/>
    </w:pPr>
    <w:rPr>
      <w:rFonts w:ascii="Times New Roman" w:eastAsia="Times New Roman" w:hAnsi="Times New Roman" w:cs="Times New Roman"/>
      <w:color w:val="auto"/>
      <w:szCs w:val="24"/>
    </w:rPr>
  </w:style>
  <w:style w:type="paragraph" w:customStyle="1" w:styleId="Akapitii">
    <w:name w:val="Akapit ii"/>
    <w:basedOn w:val="Akapit-ab"/>
    <w:qFormat/>
    <w:rsid w:val="00F1098D"/>
    <w:pPr>
      <w:numPr>
        <w:ilvl w:val="3"/>
      </w:numPr>
      <w:tabs>
        <w:tab w:val="num" w:pos="4731"/>
      </w:tabs>
    </w:pPr>
  </w:style>
  <w:style w:type="paragraph" w:customStyle="1" w:styleId="akapit112">
    <w:name w:val="akapit 112"/>
    <w:basedOn w:val="Akapitii"/>
    <w:qFormat/>
    <w:rsid w:val="00F1098D"/>
    <w:pPr>
      <w:numPr>
        <w:ilvl w:val="4"/>
      </w:numPr>
      <w:tabs>
        <w:tab w:val="clear" w:pos="4731"/>
        <w:tab w:val="num" w:pos="2534"/>
        <w:tab w:val="num" w:pos="5451"/>
      </w:tabs>
    </w:pPr>
  </w:style>
  <w:style w:type="character" w:customStyle="1" w:styleId="Akapit-abZnak">
    <w:name w:val="Akapit - ab Znak"/>
    <w:link w:val="Akapit-ab"/>
    <w:rsid w:val="00F1098D"/>
    <w:rPr>
      <w:rFonts w:ascii="Times New Roman" w:eastAsia="Times New Roman" w:hAnsi="Times New Roman" w:cs="Times New Roman"/>
      <w:sz w:val="24"/>
      <w:szCs w:val="24"/>
    </w:rPr>
  </w:style>
  <w:style w:type="paragraph" w:styleId="Tekstkomentarza">
    <w:name w:val="annotation text"/>
    <w:basedOn w:val="Normalny"/>
    <w:link w:val="TekstkomentarzaZnak"/>
    <w:rsid w:val="007A3621"/>
    <w:pPr>
      <w:widowControl w:val="0"/>
      <w:adjustRightInd w:val="0"/>
      <w:spacing w:before="60" w:after="120" w:line="276" w:lineRule="auto"/>
      <w:ind w:left="0" w:right="0" w:firstLine="0"/>
      <w:textAlignment w:val="baseline"/>
    </w:pPr>
    <w:rPr>
      <w:rFonts w:ascii="Times New Roman" w:eastAsia="Times New Roman" w:hAnsi="Times New Roman" w:cs="Times New Roman"/>
      <w:snapToGrid w:val="0"/>
      <w:color w:val="auto"/>
      <w:szCs w:val="20"/>
      <w:lang w:val="x-none" w:eastAsia="x-none"/>
    </w:rPr>
  </w:style>
  <w:style w:type="character" w:customStyle="1" w:styleId="TekstkomentarzaZnak">
    <w:name w:val="Tekst komentarza Znak"/>
    <w:basedOn w:val="Domylnaczcionkaakapitu"/>
    <w:link w:val="Tekstkomentarza"/>
    <w:rsid w:val="007A3621"/>
    <w:rPr>
      <w:rFonts w:ascii="Times New Roman" w:eastAsia="Times New Roman" w:hAnsi="Times New Roman" w:cs="Times New Roman"/>
      <w:snapToGrid w:val="0"/>
      <w:sz w:val="24"/>
      <w:szCs w:val="20"/>
      <w:lang w:val="x-none" w:eastAsia="x-none"/>
    </w:rPr>
  </w:style>
  <w:style w:type="character" w:styleId="Hipercze">
    <w:name w:val="Hyperlink"/>
    <w:basedOn w:val="Domylnaczcionkaakapitu"/>
    <w:uiPriority w:val="99"/>
    <w:unhideWhenUsed/>
    <w:rsid w:val="000A5551"/>
    <w:rPr>
      <w:color w:val="0563C1" w:themeColor="hyperlink"/>
      <w:u w:val="single"/>
    </w:rPr>
  </w:style>
  <w:style w:type="character" w:styleId="Odwoaniedokomentarza">
    <w:name w:val="annotation reference"/>
    <w:basedOn w:val="Domylnaczcionkaakapitu"/>
    <w:uiPriority w:val="99"/>
    <w:semiHidden/>
    <w:unhideWhenUsed/>
    <w:rsid w:val="00956FAB"/>
    <w:rPr>
      <w:sz w:val="16"/>
      <w:szCs w:val="16"/>
    </w:rPr>
  </w:style>
  <w:style w:type="paragraph" w:styleId="Tematkomentarza">
    <w:name w:val="annotation subject"/>
    <w:basedOn w:val="Tekstkomentarza"/>
    <w:next w:val="Tekstkomentarza"/>
    <w:link w:val="TematkomentarzaZnak"/>
    <w:uiPriority w:val="99"/>
    <w:semiHidden/>
    <w:unhideWhenUsed/>
    <w:rsid w:val="00956FAB"/>
    <w:pPr>
      <w:widowControl/>
      <w:adjustRightInd/>
      <w:spacing w:before="0" w:after="261" w:line="240" w:lineRule="auto"/>
      <w:ind w:left="10" w:right="4" w:hanging="10"/>
      <w:textAlignment w:val="auto"/>
    </w:pPr>
    <w:rPr>
      <w:rFonts w:ascii="Calibri" w:eastAsia="Calibri" w:hAnsi="Calibri" w:cs="Calibri"/>
      <w:b/>
      <w:bCs/>
      <w:snapToGrid/>
      <w:color w:val="000000"/>
      <w:sz w:val="20"/>
      <w:lang w:val="pl-PL" w:eastAsia="pl-PL"/>
    </w:rPr>
  </w:style>
  <w:style w:type="character" w:customStyle="1" w:styleId="TematkomentarzaZnak">
    <w:name w:val="Temat komentarza Znak"/>
    <w:basedOn w:val="TekstkomentarzaZnak"/>
    <w:link w:val="Tematkomentarza"/>
    <w:uiPriority w:val="99"/>
    <w:semiHidden/>
    <w:rsid w:val="00956FAB"/>
    <w:rPr>
      <w:rFonts w:ascii="Calibri" w:eastAsia="Calibri" w:hAnsi="Calibri" w:cs="Calibri"/>
      <w:b/>
      <w:bCs/>
      <w:snapToGrid/>
      <w:color w:val="000000"/>
      <w:sz w:val="20"/>
      <w:szCs w:val="20"/>
      <w:lang w:val="x-none" w:eastAsia="x-none"/>
    </w:rPr>
  </w:style>
  <w:style w:type="paragraph" w:styleId="Tekstblokowy">
    <w:name w:val="Block Text"/>
    <w:basedOn w:val="Normalny"/>
    <w:rsid w:val="00ED1D61"/>
    <w:pPr>
      <w:numPr>
        <w:ilvl w:val="12"/>
      </w:numPr>
      <w:spacing w:after="0" w:line="360" w:lineRule="auto"/>
      <w:ind w:left="142" w:right="283" w:hanging="10"/>
    </w:pPr>
    <w:rPr>
      <w:rFonts w:ascii="Times New Roman" w:eastAsia="Times New Roman" w:hAnsi="Times New Roman" w:cs="Times New Roman"/>
      <w:color w:val="auto"/>
      <w:szCs w:val="20"/>
    </w:rPr>
  </w:style>
  <w:style w:type="paragraph" w:styleId="Stopka">
    <w:name w:val="footer"/>
    <w:basedOn w:val="Normalny"/>
    <w:link w:val="StopkaZnak"/>
    <w:uiPriority w:val="99"/>
    <w:semiHidden/>
    <w:unhideWhenUsed/>
    <w:rsid w:val="00196F2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96F23"/>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663">
      <w:bodyDiv w:val="1"/>
      <w:marLeft w:val="0"/>
      <w:marRight w:val="0"/>
      <w:marTop w:val="0"/>
      <w:marBottom w:val="0"/>
      <w:divBdr>
        <w:top w:val="none" w:sz="0" w:space="0" w:color="auto"/>
        <w:left w:val="none" w:sz="0" w:space="0" w:color="auto"/>
        <w:bottom w:val="none" w:sz="0" w:space="0" w:color="auto"/>
        <w:right w:val="none" w:sz="0" w:space="0" w:color="auto"/>
      </w:divBdr>
      <w:divsChild>
        <w:div w:id="1813330131">
          <w:marLeft w:val="0"/>
          <w:marRight w:val="0"/>
          <w:marTop w:val="0"/>
          <w:marBottom w:val="0"/>
          <w:divBdr>
            <w:top w:val="none" w:sz="0" w:space="0" w:color="auto"/>
            <w:left w:val="none" w:sz="0" w:space="0" w:color="auto"/>
            <w:bottom w:val="none" w:sz="0" w:space="0" w:color="auto"/>
            <w:right w:val="none" w:sz="0" w:space="0" w:color="auto"/>
          </w:divBdr>
        </w:div>
        <w:div w:id="2090493847">
          <w:marLeft w:val="0"/>
          <w:marRight w:val="0"/>
          <w:marTop w:val="0"/>
          <w:marBottom w:val="0"/>
          <w:divBdr>
            <w:top w:val="none" w:sz="0" w:space="0" w:color="auto"/>
            <w:left w:val="none" w:sz="0" w:space="0" w:color="auto"/>
            <w:bottom w:val="none" w:sz="0" w:space="0" w:color="auto"/>
            <w:right w:val="none" w:sz="0" w:space="0" w:color="auto"/>
          </w:divBdr>
        </w:div>
        <w:div w:id="1092361695">
          <w:marLeft w:val="0"/>
          <w:marRight w:val="0"/>
          <w:marTop w:val="0"/>
          <w:marBottom w:val="0"/>
          <w:divBdr>
            <w:top w:val="none" w:sz="0" w:space="0" w:color="auto"/>
            <w:left w:val="none" w:sz="0" w:space="0" w:color="auto"/>
            <w:bottom w:val="none" w:sz="0" w:space="0" w:color="auto"/>
            <w:right w:val="none" w:sz="0" w:space="0" w:color="auto"/>
          </w:divBdr>
        </w:div>
        <w:div w:id="1957787587">
          <w:marLeft w:val="0"/>
          <w:marRight w:val="0"/>
          <w:marTop w:val="0"/>
          <w:marBottom w:val="0"/>
          <w:divBdr>
            <w:top w:val="none" w:sz="0" w:space="0" w:color="auto"/>
            <w:left w:val="none" w:sz="0" w:space="0" w:color="auto"/>
            <w:bottom w:val="none" w:sz="0" w:space="0" w:color="auto"/>
            <w:right w:val="none" w:sz="0" w:space="0" w:color="auto"/>
          </w:divBdr>
        </w:div>
        <w:div w:id="435947396">
          <w:marLeft w:val="0"/>
          <w:marRight w:val="0"/>
          <w:marTop w:val="0"/>
          <w:marBottom w:val="0"/>
          <w:divBdr>
            <w:top w:val="none" w:sz="0" w:space="0" w:color="auto"/>
            <w:left w:val="none" w:sz="0" w:space="0" w:color="auto"/>
            <w:bottom w:val="none" w:sz="0" w:space="0" w:color="auto"/>
            <w:right w:val="none" w:sz="0" w:space="0" w:color="auto"/>
          </w:divBdr>
        </w:div>
        <w:div w:id="1453204918">
          <w:marLeft w:val="0"/>
          <w:marRight w:val="0"/>
          <w:marTop w:val="0"/>
          <w:marBottom w:val="0"/>
          <w:divBdr>
            <w:top w:val="none" w:sz="0" w:space="0" w:color="auto"/>
            <w:left w:val="none" w:sz="0" w:space="0" w:color="auto"/>
            <w:bottom w:val="none" w:sz="0" w:space="0" w:color="auto"/>
            <w:right w:val="none" w:sz="0" w:space="0" w:color="auto"/>
          </w:divBdr>
        </w:div>
        <w:div w:id="970095330">
          <w:marLeft w:val="0"/>
          <w:marRight w:val="0"/>
          <w:marTop w:val="0"/>
          <w:marBottom w:val="0"/>
          <w:divBdr>
            <w:top w:val="none" w:sz="0" w:space="0" w:color="auto"/>
            <w:left w:val="none" w:sz="0" w:space="0" w:color="auto"/>
            <w:bottom w:val="none" w:sz="0" w:space="0" w:color="auto"/>
            <w:right w:val="none" w:sz="0" w:space="0" w:color="auto"/>
          </w:divBdr>
        </w:div>
        <w:div w:id="1803109010">
          <w:marLeft w:val="0"/>
          <w:marRight w:val="0"/>
          <w:marTop w:val="0"/>
          <w:marBottom w:val="0"/>
          <w:divBdr>
            <w:top w:val="none" w:sz="0" w:space="0" w:color="auto"/>
            <w:left w:val="none" w:sz="0" w:space="0" w:color="auto"/>
            <w:bottom w:val="none" w:sz="0" w:space="0" w:color="auto"/>
            <w:right w:val="none" w:sz="0" w:space="0" w:color="auto"/>
          </w:divBdr>
        </w:div>
        <w:div w:id="2057270753">
          <w:marLeft w:val="0"/>
          <w:marRight w:val="0"/>
          <w:marTop w:val="0"/>
          <w:marBottom w:val="0"/>
          <w:divBdr>
            <w:top w:val="none" w:sz="0" w:space="0" w:color="auto"/>
            <w:left w:val="none" w:sz="0" w:space="0" w:color="auto"/>
            <w:bottom w:val="none" w:sz="0" w:space="0" w:color="auto"/>
            <w:right w:val="none" w:sz="0" w:space="0" w:color="auto"/>
          </w:divBdr>
        </w:div>
        <w:div w:id="1773043131">
          <w:marLeft w:val="0"/>
          <w:marRight w:val="0"/>
          <w:marTop w:val="0"/>
          <w:marBottom w:val="0"/>
          <w:divBdr>
            <w:top w:val="none" w:sz="0" w:space="0" w:color="auto"/>
            <w:left w:val="none" w:sz="0" w:space="0" w:color="auto"/>
            <w:bottom w:val="none" w:sz="0" w:space="0" w:color="auto"/>
            <w:right w:val="none" w:sz="0" w:space="0" w:color="auto"/>
          </w:divBdr>
        </w:div>
        <w:div w:id="312103937">
          <w:marLeft w:val="0"/>
          <w:marRight w:val="0"/>
          <w:marTop w:val="0"/>
          <w:marBottom w:val="0"/>
          <w:divBdr>
            <w:top w:val="none" w:sz="0" w:space="0" w:color="auto"/>
            <w:left w:val="none" w:sz="0" w:space="0" w:color="auto"/>
            <w:bottom w:val="none" w:sz="0" w:space="0" w:color="auto"/>
            <w:right w:val="none" w:sz="0" w:space="0" w:color="auto"/>
          </w:divBdr>
        </w:div>
        <w:div w:id="1150173592">
          <w:marLeft w:val="0"/>
          <w:marRight w:val="0"/>
          <w:marTop w:val="0"/>
          <w:marBottom w:val="0"/>
          <w:divBdr>
            <w:top w:val="none" w:sz="0" w:space="0" w:color="auto"/>
            <w:left w:val="none" w:sz="0" w:space="0" w:color="auto"/>
            <w:bottom w:val="none" w:sz="0" w:space="0" w:color="auto"/>
            <w:right w:val="none" w:sz="0" w:space="0" w:color="auto"/>
          </w:divBdr>
        </w:div>
      </w:divsChild>
    </w:div>
    <w:div w:id="35083372">
      <w:bodyDiv w:val="1"/>
      <w:marLeft w:val="0"/>
      <w:marRight w:val="0"/>
      <w:marTop w:val="0"/>
      <w:marBottom w:val="0"/>
      <w:divBdr>
        <w:top w:val="none" w:sz="0" w:space="0" w:color="auto"/>
        <w:left w:val="none" w:sz="0" w:space="0" w:color="auto"/>
        <w:bottom w:val="none" w:sz="0" w:space="0" w:color="auto"/>
        <w:right w:val="none" w:sz="0" w:space="0" w:color="auto"/>
      </w:divBdr>
    </w:div>
    <w:div w:id="49039087">
      <w:bodyDiv w:val="1"/>
      <w:marLeft w:val="0"/>
      <w:marRight w:val="0"/>
      <w:marTop w:val="0"/>
      <w:marBottom w:val="0"/>
      <w:divBdr>
        <w:top w:val="none" w:sz="0" w:space="0" w:color="auto"/>
        <w:left w:val="none" w:sz="0" w:space="0" w:color="auto"/>
        <w:bottom w:val="none" w:sz="0" w:space="0" w:color="auto"/>
        <w:right w:val="none" w:sz="0" w:space="0" w:color="auto"/>
      </w:divBdr>
    </w:div>
    <w:div w:id="112677870">
      <w:bodyDiv w:val="1"/>
      <w:marLeft w:val="0"/>
      <w:marRight w:val="0"/>
      <w:marTop w:val="0"/>
      <w:marBottom w:val="0"/>
      <w:divBdr>
        <w:top w:val="none" w:sz="0" w:space="0" w:color="auto"/>
        <w:left w:val="none" w:sz="0" w:space="0" w:color="auto"/>
        <w:bottom w:val="none" w:sz="0" w:space="0" w:color="auto"/>
        <w:right w:val="none" w:sz="0" w:space="0" w:color="auto"/>
      </w:divBdr>
      <w:divsChild>
        <w:div w:id="1083792667">
          <w:marLeft w:val="0"/>
          <w:marRight w:val="0"/>
          <w:marTop w:val="0"/>
          <w:marBottom w:val="0"/>
          <w:divBdr>
            <w:top w:val="none" w:sz="0" w:space="0" w:color="auto"/>
            <w:left w:val="none" w:sz="0" w:space="0" w:color="auto"/>
            <w:bottom w:val="none" w:sz="0" w:space="0" w:color="auto"/>
            <w:right w:val="none" w:sz="0" w:space="0" w:color="auto"/>
          </w:divBdr>
        </w:div>
        <w:div w:id="1961449344">
          <w:marLeft w:val="0"/>
          <w:marRight w:val="0"/>
          <w:marTop w:val="0"/>
          <w:marBottom w:val="0"/>
          <w:divBdr>
            <w:top w:val="none" w:sz="0" w:space="0" w:color="auto"/>
            <w:left w:val="none" w:sz="0" w:space="0" w:color="auto"/>
            <w:bottom w:val="none" w:sz="0" w:space="0" w:color="auto"/>
            <w:right w:val="none" w:sz="0" w:space="0" w:color="auto"/>
          </w:divBdr>
        </w:div>
        <w:div w:id="1825319725">
          <w:marLeft w:val="0"/>
          <w:marRight w:val="0"/>
          <w:marTop w:val="0"/>
          <w:marBottom w:val="0"/>
          <w:divBdr>
            <w:top w:val="none" w:sz="0" w:space="0" w:color="auto"/>
            <w:left w:val="none" w:sz="0" w:space="0" w:color="auto"/>
            <w:bottom w:val="none" w:sz="0" w:space="0" w:color="auto"/>
            <w:right w:val="none" w:sz="0" w:space="0" w:color="auto"/>
          </w:divBdr>
        </w:div>
        <w:div w:id="2062752891">
          <w:marLeft w:val="0"/>
          <w:marRight w:val="0"/>
          <w:marTop w:val="0"/>
          <w:marBottom w:val="0"/>
          <w:divBdr>
            <w:top w:val="none" w:sz="0" w:space="0" w:color="auto"/>
            <w:left w:val="none" w:sz="0" w:space="0" w:color="auto"/>
            <w:bottom w:val="none" w:sz="0" w:space="0" w:color="auto"/>
            <w:right w:val="none" w:sz="0" w:space="0" w:color="auto"/>
          </w:divBdr>
        </w:div>
        <w:div w:id="854341797">
          <w:marLeft w:val="0"/>
          <w:marRight w:val="0"/>
          <w:marTop w:val="0"/>
          <w:marBottom w:val="0"/>
          <w:divBdr>
            <w:top w:val="none" w:sz="0" w:space="0" w:color="auto"/>
            <w:left w:val="none" w:sz="0" w:space="0" w:color="auto"/>
            <w:bottom w:val="none" w:sz="0" w:space="0" w:color="auto"/>
            <w:right w:val="none" w:sz="0" w:space="0" w:color="auto"/>
          </w:divBdr>
        </w:div>
        <w:div w:id="977493155">
          <w:marLeft w:val="0"/>
          <w:marRight w:val="0"/>
          <w:marTop w:val="0"/>
          <w:marBottom w:val="0"/>
          <w:divBdr>
            <w:top w:val="none" w:sz="0" w:space="0" w:color="auto"/>
            <w:left w:val="none" w:sz="0" w:space="0" w:color="auto"/>
            <w:bottom w:val="none" w:sz="0" w:space="0" w:color="auto"/>
            <w:right w:val="none" w:sz="0" w:space="0" w:color="auto"/>
          </w:divBdr>
        </w:div>
      </w:divsChild>
    </w:div>
    <w:div w:id="229003788">
      <w:bodyDiv w:val="1"/>
      <w:marLeft w:val="0"/>
      <w:marRight w:val="0"/>
      <w:marTop w:val="0"/>
      <w:marBottom w:val="0"/>
      <w:divBdr>
        <w:top w:val="none" w:sz="0" w:space="0" w:color="auto"/>
        <w:left w:val="none" w:sz="0" w:space="0" w:color="auto"/>
        <w:bottom w:val="none" w:sz="0" w:space="0" w:color="auto"/>
        <w:right w:val="none" w:sz="0" w:space="0" w:color="auto"/>
      </w:divBdr>
      <w:divsChild>
        <w:div w:id="1410008106">
          <w:marLeft w:val="0"/>
          <w:marRight w:val="0"/>
          <w:marTop w:val="0"/>
          <w:marBottom w:val="0"/>
          <w:divBdr>
            <w:top w:val="none" w:sz="0" w:space="0" w:color="auto"/>
            <w:left w:val="none" w:sz="0" w:space="0" w:color="auto"/>
            <w:bottom w:val="none" w:sz="0" w:space="0" w:color="auto"/>
            <w:right w:val="none" w:sz="0" w:space="0" w:color="auto"/>
          </w:divBdr>
        </w:div>
        <w:div w:id="899290784">
          <w:marLeft w:val="0"/>
          <w:marRight w:val="0"/>
          <w:marTop w:val="0"/>
          <w:marBottom w:val="0"/>
          <w:divBdr>
            <w:top w:val="none" w:sz="0" w:space="0" w:color="auto"/>
            <w:left w:val="none" w:sz="0" w:space="0" w:color="auto"/>
            <w:bottom w:val="none" w:sz="0" w:space="0" w:color="auto"/>
            <w:right w:val="none" w:sz="0" w:space="0" w:color="auto"/>
          </w:divBdr>
        </w:div>
        <w:div w:id="34039559">
          <w:marLeft w:val="0"/>
          <w:marRight w:val="0"/>
          <w:marTop w:val="0"/>
          <w:marBottom w:val="0"/>
          <w:divBdr>
            <w:top w:val="none" w:sz="0" w:space="0" w:color="auto"/>
            <w:left w:val="none" w:sz="0" w:space="0" w:color="auto"/>
            <w:bottom w:val="none" w:sz="0" w:space="0" w:color="auto"/>
            <w:right w:val="none" w:sz="0" w:space="0" w:color="auto"/>
          </w:divBdr>
        </w:div>
        <w:div w:id="786706397">
          <w:marLeft w:val="0"/>
          <w:marRight w:val="0"/>
          <w:marTop w:val="0"/>
          <w:marBottom w:val="0"/>
          <w:divBdr>
            <w:top w:val="none" w:sz="0" w:space="0" w:color="auto"/>
            <w:left w:val="none" w:sz="0" w:space="0" w:color="auto"/>
            <w:bottom w:val="none" w:sz="0" w:space="0" w:color="auto"/>
            <w:right w:val="none" w:sz="0" w:space="0" w:color="auto"/>
          </w:divBdr>
        </w:div>
        <w:div w:id="1444031825">
          <w:marLeft w:val="0"/>
          <w:marRight w:val="0"/>
          <w:marTop w:val="0"/>
          <w:marBottom w:val="0"/>
          <w:divBdr>
            <w:top w:val="none" w:sz="0" w:space="0" w:color="auto"/>
            <w:left w:val="none" w:sz="0" w:space="0" w:color="auto"/>
            <w:bottom w:val="none" w:sz="0" w:space="0" w:color="auto"/>
            <w:right w:val="none" w:sz="0" w:space="0" w:color="auto"/>
          </w:divBdr>
        </w:div>
        <w:div w:id="258834357">
          <w:marLeft w:val="0"/>
          <w:marRight w:val="0"/>
          <w:marTop w:val="0"/>
          <w:marBottom w:val="0"/>
          <w:divBdr>
            <w:top w:val="none" w:sz="0" w:space="0" w:color="auto"/>
            <w:left w:val="none" w:sz="0" w:space="0" w:color="auto"/>
            <w:bottom w:val="none" w:sz="0" w:space="0" w:color="auto"/>
            <w:right w:val="none" w:sz="0" w:space="0" w:color="auto"/>
          </w:divBdr>
        </w:div>
        <w:div w:id="1735810884">
          <w:marLeft w:val="0"/>
          <w:marRight w:val="0"/>
          <w:marTop w:val="0"/>
          <w:marBottom w:val="0"/>
          <w:divBdr>
            <w:top w:val="none" w:sz="0" w:space="0" w:color="auto"/>
            <w:left w:val="none" w:sz="0" w:space="0" w:color="auto"/>
            <w:bottom w:val="none" w:sz="0" w:space="0" w:color="auto"/>
            <w:right w:val="none" w:sz="0" w:space="0" w:color="auto"/>
          </w:divBdr>
        </w:div>
        <w:div w:id="1592927822">
          <w:marLeft w:val="0"/>
          <w:marRight w:val="0"/>
          <w:marTop w:val="0"/>
          <w:marBottom w:val="0"/>
          <w:divBdr>
            <w:top w:val="none" w:sz="0" w:space="0" w:color="auto"/>
            <w:left w:val="none" w:sz="0" w:space="0" w:color="auto"/>
            <w:bottom w:val="none" w:sz="0" w:space="0" w:color="auto"/>
            <w:right w:val="none" w:sz="0" w:space="0" w:color="auto"/>
          </w:divBdr>
        </w:div>
        <w:div w:id="417750618">
          <w:marLeft w:val="0"/>
          <w:marRight w:val="0"/>
          <w:marTop w:val="0"/>
          <w:marBottom w:val="0"/>
          <w:divBdr>
            <w:top w:val="none" w:sz="0" w:space="0" w:color="auto"/>
            <w:left w:val="none" w:sz="0" w:space="0" w:color="auto"/>
            <w:bottom w:val="none" w:sz="0" w:space="0" w:color="auto"/>
            <w:right w:val="none" w:sz="0" w:space="0" w:color="auto"/>
          </w:divBdr>
        </w:div>
        <w:div w:id="1260408844">
          <w:marLeft w:val="0"/>
          <w:marRight w:val="0"/>
          <w:marTop w:val="0"/>
          <w:marBottom w:val="0"/>
          <w:divBdr>
            <w:top w:val="none" w:sz="0" w:space="0" w:color="auto"/>
            <w:left w:val="none" w:sz="0" w:space="0" w:color="auto"/>
            <w:bottom w:val="none" w:sz="0" w:space="0" w:color="auto"/>
            <w:right w:val="none" w:sz="0" w:space="0" w:color="auto"/>
          </w:divBdr>
        </w:div>
        <w:div w:id="1873037377">
          <w:marLeft w:val="0"/>
          <w:marRight w:val="0"/>
          <w:marTop w:val="0"/>
          <w:marBottom w:val="0"/>
          <w:divBdr>
            <w:top w:val="none" w:sz="0" w:space="0" w:color="auto"/>
            <w:left w:val="none" w:sz="0" w:space="0" w:color="auto"/>
            <w:bottom w:val="none" w:sz="0" w:space="0" w:color="auto"/>
            <w:right w:val="none" w:sz="0" w:space="0" w:color="auto"/>
          </w:divBdr>
        </w:div>
      </w:divsChild>
    </w:div>
    <w:div w:id="233977990">
      <w:bodyDiv w:val="1"/>
      <w:marLeft w:val="0"/>
      <w:marRight w:val="0"/>
      <w:marTop w:val="0"/>
      <w:marBottom w:val="0"/>
      <w:divBdr>
        <w:top w:val="none" w:sz="0" w:space="0" w:color="auto"/>
        <w:left w:val="none" w:sz="0" w:space="0" w:color="auto"/>
        <w:bottom w:val="none" w:sz="0" w:space="0" w:color="auto"/>
        <w:right w:val="none" w:sz="0" w:space="0" w:color="auto"/>
      </w:divBdr>
    </w:div>
    <w:div w:id="237443116">
      <w:bodyDiv w:val="1"/>
      <w:marLeft w:val="0"/>
      <w:marRight w:val="0"/>
      <w:marTop w:val="0"/>
      <w:marBottom w:val="0"/>
      <w:divBdr>
        <w:top w:val="none" w:sz="0" w:space="0" w:color="auto"/>
        <w:left w:val="none" w:sz="0" w:space="0" w:color="auto"/>
        <w:bottom w:val="none" w:sz="0" w:space="0" w:color="auto"/>
        <w:right w:val="none" w:sz="0" w:space="0" w:color="auto"/>
      </w:divBdr>
      <w:divsChild>
        <w:div w:id="1347439130">
          <w:marLeft w:val="0"/>
          <w:marRight w:val="0"/>
          <w:marTop w:val="0"/>
          <w:marBottom w:val="0"/>
          <w:divBdr>
            <w:top w:val="none" w:sz="0" w:space="0" w:color="auto"/>
            <w:left w:val="none" w:sz="0" w:space="0" w:color="auto"/>
            <w:bottom w:val="none" w:sz="0" w:space="0" w:color="auto"/>
            <w:right w:val="none" w:sz="0" w:space="0" w:color="auto"/>
          </w:divBdr>
        </w:div>
        <w:div w:id="1498183131">
          <w:marLeft w:val="0"/>
          <w:marRight w:val="0"/>
          <w:marTop w:val="0"/>
          <w:marBottom w:val="0"/>
          <w:divBdr>
            <w:top w:val="none" w:sz="0" w:space="0" w:color="auto"/>
            <w:left w:val="none" w:sz="0" w:space="0" w:color="auto"/>
            <w:bottom w:val="none" w:sz="0" w:space="0" w:color="auto"/>
            <w:right w:val="none" w:sz="0" w:space="0" w:color="auto"/>
          </w:divBdr>
        </w:div>
        <w:div w:id="1947229401">
          <w:marLeft w:val="0"/>
          <w:marRight w:val="0"/>
          <w:marTop w:val="0"/>
          <w:marBottom w:val="0"/>
          <w:divBdr>
            <w:top w:val="none" w:sz="0" w:space="0" w:color="auto"/>
            <w:left w:val="none" w:sz="0" w:space="0" w:color="auto"/>
            <w:bottom w:val="none" w:sz="0" w:space="0" w:color="auto"/>
            <w:right w:val="none" w:sz="0" w:space="0" w:color="auto"/>
          </w:divBdr>
        </w:div>
        <w:div w:id="119155869">
          <w:marLeft w:val="0"/>
          <w:marRight w:val="0"/>
          <w:marTop w:val="0"/>
          <w:marBottom w:val="0"/>
          <w:divBdr>
            <w:top w:val="none" w:sz="0" w:space="0" w:color="auto"/>
            <w:left w:val="none" w:sz="0" w:space="0" w:color="auto"/>
            <w:bottom w:val="none" w:sz="0" w:space="0" w:color="auto"/>
            <w:right w:val="none" w:sz="0" w:space="0" w:color="auto"/>
          </w:divBdr>
        </w:div>
        <w:div w:id="659961365">
          <w:marLeft w:val="0"/>
          <w:marRight w:val="0"/>
          <w:marTop w:val="0"/>
          <w:marBottom w:val="0"/>
          <w:divBdr>
            <w:top w:val="none" w:sz="0" w:space="0" w:color="auto"/>
            <w:left w:val="none" w:sz="0" w:space="0" w:color="auto"/>
            <w:bottom w:val="none" w:sz="0" w:space="0" w:color="auto"/>
            <w:right w:val="none" w:sz="0" w:space="0" w:color="auto"/>
          </w:divBdr>
        </w:div>
        <w:div w:id="1672445840">
          <w:marLeft w:val="0"/>
          <w:marRight w:val="0"/>
          <w:marTop w:val="0"/>
          <w:marBottom w:val="0"/>
          <w:divBdr>
            <w:top w:val="none" w:sz="0" w:space="0" w:color="auto"/>
            <w:left w:val="none" w:sz="0" w:space="0" w:color="auto"/>
            <w:bottom w:val="none" w:sz="0" w:space="0" w:color="auto"/>
            <w:right w:val="none" w:sz="0" w:space="0" w:color="auto"/>
          </w:divBdr>
        </w:div>
        <w:div w:id="1559509831">
          <w:marLeft w:val="0"/>
          <w:marRight w:val="0"/>
          <w:marTop w:val="0"/>
          <w:marBottom w:val="0"/>
          <w:divBdr>
            <w:top w:val="none" w:sz="0" w:space="0" w:color="auto"/>
            <w:left w:val="none" w:sz="0" w:space="0" w:color="auto"/>
            <w:bottom w:val="none" w:sz="0" w:space="0" w:color="auto"/>
            <w:right w:val="none" w:sz="0" w:space="0" w:color="auto"/>
          </w:divBdr>
        </w:div>
        <w:div w:id="504516751">
          <w:marLeft w:val="0"/>
          <w:marRight w:val="0"/>
          <w:marTop w:val="0"/>
          <w:marBottom w:val="0"/>
          <w:divBdr>
            <w:top w:val="none" w:sz="0" w:space="0" w:color="auto"/>
            <w:left w:val="none" w:sz="0" w:space="0" w:color="auto"/>
            <w:bottom w:val="none" w:sz="0" w:space="0" w:color="auto"/>
            <w:right w:val="none" w:sz="0" w:space="0" w:color="auto"/>
          </w:divBdr>
        </w:div>
        <w:div w:id="260845939">
          <w:marLeft w:val="0"/>
          <w:marRight w:val="0"/>
          <w:marTop w:val="0"/>
          <w:marBottom w:val="0"/>
          <w:divBdr>
            <w:top w:val="none" w:sz="0" w:space="0" w:color="auto"/>
            <w:left w:val="none" w:sz="0" w:space="0" w:color="auto"/>
            <w:bottom w:val="none" w:sz="0" w:space="0" w:color="auto"/>
            <w:right w:val="none" w:sz="0" w:space="0" w:color="auto"/>
          </w:divBdr>
        </w:div>
        <w:div w:id="808740431">
          <w:marLeft w:val="0"/>
          <w:marRight w:val="0"/>
          <w:marTop w:val="0"/>
          <w:marBottom w:val="0"/>
          <w:divBdr>
            <w:top w:val="none" w:sz="0" w:space="0" w:color="auto"/>
            <w:left w:val="none" w:sz="0" w:space="0" w:color="auto"/>
            <w:bottom w:val="none" w:sz="0" w:space="0" w:color="auto"/>
            <w:right w:val="none" w:sz="0" w:space="0" w:color="auto"/>
          </w:divBdr>
        </w:div>
        <w:div w:id="187763674">
          <w:marLeft w:val="0"/>
          <w:marRight w:val="0"/>
          <w:marTop w:val="0"/>
          <w:marBottom w:val="0"/>
          <w:divBdr>
            <w:top w:val="none" w:sz="0" w:space="0" w:color="auto"/>
            <w:left w:val="none" w:sz="0" w:space="0" w:color="auto"/>
            <w:bottom w:val="none" w:sz="0" w:space="0" w:color="auto"/>
            <w:right w:val="none" w:sz="0" w:space="0" w:color="auto"/>
          </w:divBdr>
        </w:div>
        <w:div w:id="600458058">
          <w:marLeft w:val="0"/>
          <w:marRight w:val="0"/>
          <w:marTop w:val="0"/>
          <w:marBottom w:val="0"/>
          <w:divBdr>
            <w:top w:val="none" w:sz="0" w:space="0" w:color="auto"/>
            <w:left w:val="none" w:sz="0" w:space="0" w:color="auto"/>
            <w:bottom w:val="none" w:sz="0" w:space="0" w:color="auto"/>
            <w:right w:val="none" w:sz="0" w:space="0" w:color="auto"/>
          </w:divBdr>
        </w:div>
        <w:div w:id="2081516173">
          <w:marLeft w:val="0"/>
          <w:marRight w:val="0"/>
          <w:marTop w:val="0"/>
          <w:marBottom w:val="0"/>
          <w:divBdr>
            <w:top w:val="none" w:sz="0" w:space="0" w:color="auto"/>
            <w:left w:val="none" w:sz="0" w:space="0" w:color="auto"/>
            <w:bottom w:val="none" w:sz="0" w:space="0" w:color="auto"/>
            <w:right w:val="none" w:sz="0" w:space="0" w:color="auto"/>
          </w:divBdr>
        </w:div>
        <w:div w:id="1158882070">
          <w:marLeft w:val="0"/>
          <w:marRight w:val="0"/>
          <w:marTop w:val="0"/>
          <w:marBottom w:val="0"/>
          <w:divBdr>
            <w:top w:val="none" w:sz="0" w:space="0" w:color="auto"/>
            <w:left w:val="none" w:sz="0" w:space="0" w:color="auto"/>
            <w:bottom w:val="none" w:sz="0" w:space="0" w:color="auto"/>
            <w:right w:val="none" w:sz="0" w:space="0" w:color="auto"/>
          </w:divBdr>
        </w:div>
        <w:div w:id="213976868">
          <w:marLeft w:val="0"/>
          <w:marRight w:val="0"/>
          <w:marTop w:val="0"/>
          <w:marBottom w:val="0"/>
          <w:divBdr>
            <w:top w:val="none" w:sz="0" w:space="0" w:color="auto"/>
            <w:left w:val="none" w:sz="0" w:space="0" w:color="auto"/>
            <w:bottom w:val="none" w:sz="0" w:space="0" w:color="auto"/>
            <w:right w:val="none" w:sz="0" w:space="0" w:color="auto"/>
          </w:divBdr>
        </w:div>
        <w:div w:id="1851213177">
          <w:marLeft w:val="0"/>
          <w:marRight w:val="0"/>
          <w:marTop w:val="0"/>
          <w:marBottom w:val="0"/>
          <w:divBdr>
            <w:top w:val="none" w:sz="0" w:space="0" w:color="auto"/>
            <w:left w:val="none" w:sz="0" w:space="0" w:color="auto"/>
            <w:bottom w:val="none" w:sz="0" w:space="0" w:color="auto"/>
            <w:right w:val="none" w:sz="0" w:space="0" w:color="auto"/>
          </w:divBdr>
        </w:div>
        <w:div w:id="1322854487">
          <w:marLeft w:val="0"/>
          <w:marRight w:val="0"/>
          <w:marTop w:val="0"/>
          <w:marBottom w:val="0"/>
          <w:divBdr>
            <w:top w:val="none" w:sz="0" w:space="0" w:color="auto"/>
            <w:left w:val="none" w:sz="0" w:space="0" w:color="auto"/>
            <w:bottom w:val="none" w:sz="0" w:space="0" w:color="auto"/>
            <w:right w:val="none" w:sz="0" w:space="0" w:color="auto"/>
          </w:divBdr>
        </w:div>
        <w:div w:id="590773281">
          <w:marLeft w:val="0"/>
          <w:marRight w:val="0"/>
          <w:marTop w:val="0"/>
          <w:marBottom w:val="0"/>
          <w:divBdr>
            <w:top w:val="none" w:sz="0" w:space="0" w:color="auto"/>
            <w:left w:val="none" w:sz="0" w:space="0" w:color="auto"/>
            <w:bottom w:val="none" w:sz="0" w:space="0" w:color="auto"/>
            <w:right w:val="none" w:sz="0" w:space="0" w:color="auto"/>
          </w:divBdr>
        </w:div>
        <w:div w:id="734739568">
          <w:marLeft w:val="0"/>
          <w:marRight w:val="0"/>
          <w:marTop w:val="0"/>
          <w:marBottom w:val="0"/>
          <w:divBdr>
            <w:top w:val="none" w:sz="0" w:space="0" w:color="auto"/>
            <w:left w:val="none" w:sz="0" w:space="0" w:color="auto"/>
            <w:bottom w:val="none" w:sz="0" w:space="0" w:color="auto"/>
            <w:right w:val="none" w:sz="0" w:space="0" w:color="auto"/>
          </w:divBdr>
        </w:div>
        <w:div w:id="859471057">
          <w:marLeft w:val="0"/>
          <w:marRight w:val="0"/>
          <w:marTop w:val="0"/>
          <w:marBottom w:val="0"/>
          <w:divBdr>
            <w:top w:val="none" w:sz="0" w:space="0" w:color="auto"/>
            <w:left w:val="none" w:sz="0" w:space="0" w:color="auto"/>
            <w:bottom w:val="none" w:sz="0" w:space="0" w:color="auto"/>
            <w:right w:val="none" w:sz="0" w:space="0" w:color="auto"/>
          </w:divBdr>
        </w:div>
        <w:div w:id="234899895">
          <w:marLeft w:val="0"/>
          <w:marRight w:val="0"/>
          <w:marTop w:val="0"/>
          <w:marBottom w:val="0"/>
          <w:divBdr>
            <w:top w:val="none" w:sz="0" w:space="0" w:color="auto"/>
            <w:left w:val="none" w:sz="0" w:space="0" w:color="auto"/>
            <w:bottom w:val="none" w:sz="0" w:space="0" w:color="auto"/>
            <w:right w:val="none" w:sz="0" w:space="0" w:color="auto"/>
          </w:divBdr>
        </w:div>
        <w:div w:id="256211562">
          <w:marLeft w:val="0"/>
          <w:marRight w:val="0"/>
          <w:marTop w:val="0"/>
          <w:marBottom w:val="0"/>
          <w:divBdr>
            <w:top w:val="none" w:sz="0" w:space="0" w:color="auto"/>
            <w:left w:val="none" w:sz="0" w:space="0" w:color="auto"/>
            <w:bottom w:val="none" w:sz="0" w:space="0" w:color="auto"/>
            <w:right w:val="none" w:sz="0" w:space="0" w:color="auto"/>
          </w:divBdr>
        </w:div>
        <w:div w:id="1564414746">
          <w:marLeft w:val="0"/>
          <w:marRight w:val="0"/>
          <w:marTop w:val="0"/>
          <w:marBottom w:val="0"/>
          <w:divBdr>
            <w:top w:val="none" w:sz="0" w:space="0" w:color="auto"/>
            <w:left w:val="none" w:sz="0" w:space="0" w:color="auto"/>
            <w:bottom w:val="none" w:sz="0" w:space="0" w:color="auto"/>
            <w:right w:val="none" w:sz="0" w:space="0" w:color="auto"/>
          </w:divBdr>
        </w:div>
        <w:div w:id="1288120578">
          <w:marLeft w:val="0"/>
          <w:marRight w:val="0"/>
          <w:marTop w:val="0"/>
          <w:marBottom w:val="0"/>
          <w:divBdr>
            <w:top w:val="none" w:sz="0" w:space="0" w:color="auto"/>
            <w:left w:val="none" w:sz="0" w:space="0" w:color="auto"/>
            <w:bottom w:val="none" w:sz="0" w:space="0" w:color="auto"/>
            <w:right w:val="none" w:sz="0" w:space="0" w:color="auto"/>
          </w:divBdr>
        </w:div>
        <w:div w:id="1366129118">
          <w:marLeft w:val="0"/>
          <w:marRight w:val="0"/>
          <w:marTop w:val="0"/>
          <w:marBottom w:val="0"/>
          <w:divBdr>
            <w:top w:val="none" w:sz="0" w:space="0" w:color="auto"/>
            <w:left w:val="none" w:sz="0" w:space="0" w:color="auto"/>
            <w:bottom w:val="none" w:sz="0" w:space="0" w:color="auto"/>
            <w:right w:val="none" w:sz="0" w:space="0" w:color="auto"/>
          </w:divBdr>
        </w:div>
        <w:div w:id="1603611900">
          <w:marLeft w:val="0"/>
          <w:marRight w:val="0"/>
          <w:marTop w:val="0"/>
          <w:marBottom w:val="0"/>
          <w:divBdr>
            <w:top w:val="none" w:sz="0" w:space="0" w:color="auto"/>
            <w:left w:val="none" w:sz="0" w:space="0" w:color="auto"/>
            <w:bottom w:val="none" w:sz="0" w:space="0" w:color="auto"/>
            <w:right w:val="none" w:sz="0" w:space="0" w:color="auto"/>
          </w:divBdr>
        </w:div>
        <w:div w:id="1500536910">
          <w:marLeft w:val="0"/>
          <w:marRight w:val="0"/>
          <w:marTop w:val="0"/>
          <w:marBottom w:val="0"/>
          <w:divBdr>
            <w:top w:val="none" w:sz="0" w:space="0" w:color="auto"/>
            <w:left w:val="none" w:sz="0" w:space="0" w:color="auto"/>
            <w:bottom w:val="none" w:sz="0" w:space="0" w:color="auto"/>
            <w:right w:val="none" w:sz="0" w:space="0" w:color="auto"/>
          </w:divBdr>
        </w:div>
        <w:div w:id="1100030719">
          <w:marLeft w:val="0"/>
          <w:marRight w:val="0"/>
          <w:marTop w:val="0"/>
          <w:marBottom w:val="0"/>
          <w:divBdr>
            <w:top w:val="none" w:sz="0" w:space="0" w:color="auto"/>
            <w:left w:val="none" w:sz="0" w:space="0" w:color="auto"/>
            <w:bottom w:val="none" w:sz="0" w:space="0" w:color="auto"/>
            <w:right w:val="none" w:sz="0" w:space="0" w:color="auto"/>
          </w:divBdr>
        </w:div>
        <w:div w:id="806750351">
          <w:marLeft w:val="0"/>
          <w:marRight w:val="0"/>
          <w:marTop w:val="0"/>
          <w:marBottom w:val="0"/>
          <w:divBdr>
            <w:top w:val="none" w:sz="0" w:space="0" w:color="auto"/>
            <w:left w:val="none" w:sz="0" w:space="0" w:color="auto"/>
            <w:bottom w:val="none" w:sz="0" w:space="0" w:color="auto"/>
            <w:right w:val="none" w:sz="0" w:space="0" w:color="auto"/>
          </w:divBdr>
        </w:div>
        <w:div w:id="1599368154">
          <w:marLeft w:val="0"/>
          <w:marRight w:val="0"/>
          <w:marTop w:val="0"/>
          <w:marBottom w:val="0"/>
          <w:divBdr>
            <w:top w:val="none" w:sz="0" w:space="0" w:color="auto"/>
            <w:left w:val="none" w:sz="0" w:space="0" w:color="auto"/>
            <w:bottom w:val="none" w:sz="0" w:space="0" w:color="auto"/>
            <w:right w:val="none" w:sz="0" w:space="0" w:color="auto"/>
          </w:divBdr>
        </w:div>
        <w:div w:id="562712694">
          <w:marLeft w:val="0"/>
          <w:marRight w:val="0"/>
          <w:marTop w:val="0"/>
          <w:marBottom w:val="0"/>
          <w:divBdr>
            <w:top w:val="none" w:sz="0" w:space="0" w:color="auto"/>
            <w:left w:val="none" w:sz="0" w:space="0" w:color="auto"/>
            <w:bottom w:val="none" w:sz="0" w:space="0" w:color="auto"/>
            <w:right w:val="none" w:sz="0" w:space="0" w:color="auto"/>
          </w:divBdr>
        </w:div>
        <w:div w:id="1666588496">
          <w:marLeft w:val="0"/>
          <w:marRight w:val="0"/>
          <w:marTop w:val="0"/>
          <w:marBottom w:val="0"/>
          <w:divBdr>
            <w:top w:val="none" w:sz="0" w:space="0" w:color="auto"/>
            <w:left w:val="none" w:sz="0" w:space="0" w:color="auto"/>
            <w:bottom w:val="none" w:sz="0" w:space="0" w:color="auto"/>
            <w:right w:val="none" w:sz="0" w:space="0" w:color="auto"/>
          </w:divBdr>
        </w:div>
        <w:div w:id="1511019664">
          <w:marLeft w:val="0"/>
          <w:marRight w:val="0"/>
          <w:marTop w:val="0"/>
          <w:marBottom w:val="0"/>
          <w:divBdr>
            <w:top w:val="none" w:sz="0" w:space="0" w:color="auto"/>
            <w:left w:val="none" w:sz="0" w:space="0" w:color="auto"/>
            <w:bottom w:val="none" w:sz="0" w:space="0" w:color="auto"/>
            <w:right w:val="none" w:sz="0" w:space="0" w:color="auto"/>
          </w:divBdr>
        </w:div>
        <w:div w:id="710148427">
          <w:marLeft w:val="0"/>
          <w:marRight w:val="0"/>
          <w:marTop w:val="0"/>
          <w:marBottom w:val="0"/>
          <w:divBdr>
            <w:top w:val="none" w:sz="0" w:space="0" w:color="auto"/>
            <w:left w:val="none" w:sz="0" w:space="0" w:color="auto"/>
            <w:bottom w:val="none" w:sz="0" w:space="0" w:color="auto"/>
            <w:right w:val="none" w:sz="0" w:space="0" w:color="auto"/>
          </w:divBdr>
        </w:div>
        <w:div w:id="474224649">
          <w:marLeft w:val="0"/>
          <w:marRight w:val="0"/>
          <w:marTop w:val="0"/>
          <w:marBottom w:val="0"/>
          <w:divBdr>
            <w:top w:val="none" w:sz="0" w:space="0" w:color="auto"/>
            <w:left w:val="none" w:sz="0" w:space="0" w:color="auto"/>
            <w:bottom w:val="none" w:sz="0" w:space="0" w:color="auto"/>
            <w:right w:val="none" w:sz="0" w:space="0" w:color="auto"/>
          </w:divBdr>
        </w:div>
      </w:divsChild>
    </w:div>
    <w:div w:id="326713706">
      <w:bodyDiv w:val="1"/>
      <w:marLeft w:val="0"/>
      <w:marRight w:val="0"/>
      <w:marTop w:val="0"/>
      <w:marBottom w:val="0"/>
      <w:divBdr>
        <w:top w:val="none" w:sz="0" w:space="0" w:color="auto"/>
        <w:left w:val="none" w:sz="0" w:space="0" w:color="auto"/>
        <w:bottom w:val="none" w:sz="0" w:space="0" w:color="auto"/>
        <w:right w:val="none" w:sz="0" w:space="0" w:color="auto"/>
      </w:divBdr>
    </w:div>
    <w:div w:id="358160884">
      <w:bodyDiv w:val="1"/>
      <w:marLeft w:val="0"/>
      <w:marRight w:val="0"/>
      <w:marTop w:val="0"/>
      <w:marBottom w:val="0"/>
      <w:divBdr>
        <w:top w:val="none" w:sz="0" w:space="0" w:color="auto"/>
        <w:left w:val="none" w:sz="0" w:space="0" w:color="auto"/>
        <w:bottom w:val="none" w:sz="0" w:space="0" w:color="auto"/>
        <w:right w:val="none" w:sz="0" w:space="0" w:color="auto"/>
      </w:divBdr>
    </w:div>
    <w:div w:id="466362727">
      <w:bodyDiv w:val="1"/>
      <w:marLeft w:val="0"/>
      <w:marRight w:val="0"/>
      <w:marTop w:val="0"/>
      <w:marBottom w:val="0"/>
      <w:divBdr>
        <w:top w:val="none" w:sz="0" w:space="0" w:color="auto"/>
        <w:left w:val="none" w:sz="0" w:space="0" w:color="auto"/>
        <w:bottom w:val="none" w:sz="0" w:space="0" w:color="auto"/>
        <w:right w:val="none" w:sz="0" w:space="0" w:color="auto"/>
      </w:divBdr>
    </w:div>
    <w:div w:id="470095973">
      <w:bodyDiv w:val="1"/>
      <w:marLeft w:val="0"/>
      <w:marRight w:val="0"/>
      <w:marTop w:val="0"/>
      <w:marBottom w:val="0"/>
      <w:divBdr>
        <w:top w:val="none" w:sz="0" w:space="0" w:color="auto"/>
        <w:left w:val="none" w:sz="0" w:space="0" w:color="auto"/>
        <w:bottom w:val="none" w:sz="0" w:space="0" w:color="auto"/>
        <w:right w:val="none" w:sz="0" w:space="0" w:color="auto"/>
      </w:divBdr>
    </w:div>
    <w:div w:id="521478689">
      <w:bodyDiv w:val="1"/>
      <w:marLeft w:val="0"/>
      <w:marRight w:val="0"/>
      <w:marTop w:val="0"/>
      <w:marBottom w:val="0"/>
      <w:divBdr>
        <w:top w:val="none" w:sz="0" w:space="0" w:color="auto"/>
        <w:left w:val="none" w:sz="0" w:space="0" w:color="auto"/>
        <w:bottom w:val="none" w:sz="0" w:space="0" w:color="auto"/>
        <w:right w:val="none" w:sz="0" w:space="0" w:color="auto"/>
      </w:divBdr>
    </w:div>
    <w:div w:id="566305086">
      <w:bodyDiv w:val="1"/>
      <w:marLeft w:val="0"/>
      <w:marRight w:val="0"/>
      <w:marTop w:val="0"/>
      <w:marBottom w:val="0"/>
      <w:divBdr>
        <w:top w:val="none" w:sz="0" w:space="0" w:color="auto"/>
        <w:left w:val="none" w:sz="0" w:space="0" w:color="auto"/>
        <w:bottom w:val="none" w:sz="0" w:space="0" w:color="auto"/>
        <w:right w:val="none" w:sz="0" w:space="0" w:color="auto"/>
      </w:divBdr>
    </w:div>
    <w:div w:id="567686357">
      <w:bodyDiv w:val="1"/>
      <w:marLeft w:val="0"/>
      <w:marRight w:val="0"/>
      <w:marTop w:val="0"/>
      <w:marBottom w:val="0"/>
      <w:divBdr>
        <w:top w:val="none" w:sz="0" w:space="0" w:color="auto"/>
        <w:left w:val="none" w:sz="0" w:space="0" w:color="auto"/>
        <w:bottom w:val="none" w:sz="0" w:space="0" w:color="auto"/>
        <w:right w:val="none" w:sz="0" w:space="0" w:color="auto"/>
      </w:divBdr>
    </w:div>
    <w:div w:id="611283923">
      <w:bodyDiv w:val="1"/>
      <w:marLeft w:val="0"/>
      <w:marRight w:val="0"/>
      <w:marTop w:val="0"/>
      <w:marBottom w:val="0"/>
      <w:divBdr>
        <w:top w:val="none" w:sz="0" w:space="0" w:color="auto"/>
        <w:left w:val="none" w:sz="0" w:space="0" w:color="auto"/>
        <w:bottom w:val="none" w:sz="0" w:space="0" w:color="auto"/>
        <w:right w:val="none" w:sz="0" w:space="0" w:color="auto"/>
      </w:divBdr>
    </w:div>
    <w:div w:id="637346888">
      <w:bodyDiv w:val="1"/>
      <w:marLeft w:val="0"/>
      <w:marRight w:val="0"/>
      <w:marTop w:val="0"/>
      <w:marBottom w:val="0"/>
      <w:divBdr>
        <w:top w:val="none" w:sz="0" w:space="0" w:color="auto"/>
        <w:left w:val="none" w:sz="0" w:space="0" w:color="auto"/>
        <w:bottom w:val="none" w:sz="0" w:space="0" w:color="auto"/>
        <w:right w:val="none" w:sz="0" w:space="0" w:color="auto"/>
      </w:divBdr>
    </w:div>
    <w:div w:id="689062542">
      <w:bodyDiv w:val="1"/>
      <w:marLeft w:val="0"/>
      <w:marRight w:val="0"/>
      <w:marTop w:val="0"/>
      <w:marBottom w:val="0"/>
      <w:divBdr>
        <w:top w:val="none" w:sz="0" w:space="0" w:color="auto"/>
        <w:left w:val="none" w:sz="0" w:space="0" w:color="auto"/>
        <w:bottom w:val="none" w:sz="0" w:space="0" w:color="auto"/>
        <w:right w:val="none" w:sz="0" w:space="0" w:color="auto"/>
      </w:divBdr>
    </w:div>
    <w:div w:id="722604125">
      <w:bodyDiv w:val="1"/>
      <w:marLeft w:val="0"/>
      <w:marRight w:val="0"/>
      <w:marTop w:val="0"/>
      <w:marBottom w:val="0"/>
      <w:divBdr>
        <w:top w:val="none" w:sz="0" w:space="0" w:color="auto"/>
        <w:left w:val="none" w:sz="0" w:space="0" w:color="auto"/>
        <w:bottom w:val="none" w:sz="0" w:space="0" w:color="auto"/>
        <w:right w:val="none" w:sz="0" w:space="0" w:color="auto"/>
      </w:divBdr>
    </w:div>
    <w:div w:id="730420294">
      <w:bodyDiv w:val="1"/>
      <w:marLeft w:val="0"/>
      <w:marRight w:val="0"/>
      <w:marTop w:val="0"/>
      <w:marBottom w:val="0"/>
      <w:divBdr>
        <w:top w:val="none" w:sz="0" w:space="0" w:color="auto"/>
        <w:left w:val="none" w:sz="0" w:space="0" w:color="auto"/>
        <w:bottom w:val="none" w:sz="0" w:space="0" w:color="auto"/>
        <w:right w:val="none" w:sz="0" w:space="0" w:color="auto"/>
      </w:divBdr>
      <w:divsChild>
        <w:div w:id="216742408">
          <w:marLeft w:val="0"/>
          <w:marRight w:val="0"/>
          <w:marTop w:val="0"/>
          <w:marBottom w:val="0"/>
          <w:divBdr>
            <w:top w:val="none" w:sz="0" w:space="0" w:color="auto"/>
            <w:left w:val="none" w:sz="0" w:space="0" w:color="auto"/>
            <w:bottom w:val="none" w:sz="0" w:space="0" w:color="auto"/>
            <w:right w:val="none" w:sz="0" w:space="0" w:color="auto"/>
          </w:divBdr>
        </w:div>
        <w:div w:id="1309213769">
          <w:marLeft w:val="0"/>
          <w:marRight w:val="0"/>
          <w:marTop w:val="0"/>
          <w:marBottom w:val="0"/>
          <w:divBdr>
            <w:top w:val="none" w:sz="0" w:space="0" w:color="auto"/>
            <w:left w:val="none" w:sz="0" w:space="0" w:color="auto"/>
            <w:bottom w:val="none" w:sz="0" w:space="0" w:color="auto"/>
            <w:right w:val="none" w:sz="0" w:space="0" w:color="auto"/>
          </w:divBdr>
        </w:div>
        <w:div w:id="1655333712">
          <w:marLeft w:val="0"/>
          <w:marRight w:val="0"/>
          <w:marTop w:val="0"/>
          <w:marBottom w:val="0"/>
          <w:divBdr>
            <w:top w:val="none" w:sz="0" w:space="0" w:color="auto"/>
            <w:left w:val="none" w:sz="0" w:space="0" w:color="auto"/>
            <w:bottom w:val="none" w:sz="0" w:space="0" w:color="auto"/>
            <w:right w:val="none" w:sz="0" w:space="0" w:color="auto"/>
          </w:divBdr>
        </w:div>
      </w:divsChild>
    </w:div>
    <w:div w:id="737091381">
      <w:bodyDiv w:val="1"/>
      <w:marLeft w:val="0"/>
      <w:marRight w:val="0"/>
      <w:marTop w:val="0"/>
      <w:marBottom w:val="0"/>
      <w:divBdr>
        <w:top w:val="none" w:sz="0" w:space="0" w:color="auto"/>
        <w:left w:val="none" w:sz="0" w:space="0" w:color="auto"/>
        <w:bottom w:val="none" w:sz="0" w:space="0" w:color="auto"/>
        <w:right w:val="none" w:sz="0" w:space="0" w:color="auto"/>
      </w:divBdr>
    </w:div>
    <w:div w:id="789862270">
      <w:bodyDiv w:val="1"/>
      <w:marLeft w:val="0"/>
      <w:marRight w:val="0"/>
      <w:marTop w:val="0"/>
      <w:marBottom w:val="0"/>
      <w:divBdr>
        <w:top w:val="none" w:sz="0" w:space="0" w:color="auto"/>
        <w:left w:val="none" w:sz="0" w:space="0" w:color="auto"/>
        <w:bottom w:val="none" w:sz="0" w:space="0" w:color="auto"/>
        <w:right w:val="none" w:sz="0" w:space="0" w:color="auto"/>
      </w:divBdr>
    </w:div>
    <w:div w:id="840394926">
      <w:bodyDiv w:val="1"/>
      <w:marLeft w:val="0"/>
      <w:marRight w:val="0"/>
      <w:marTop w:val="0"/>
      <w:marBottom w:val="0"/>
      <w:divBdr>
        <w:top w:val="none" w:sz="0" w:space="0" w:color="auto"/>
        <w:left w:val="none" w:sz="0" w:space="0" w:color="auto"/>
        <w:bottom w:val="none" w:sz="0" w:space="0" w:color="auto"/>
        <w:right w:val="none" w:sz="0" w:space="0" w:color="auto"/>
      </w:divBdr>
    </w:div>
    <w:div w:id="1045452081">
      <w:bodyDiv w:val="1"/>
      <w:marLeft w:val="0"/>
      <w:marRight w:val="0"/>
      <w:marTop w:val="0"/>
      <w:marBottom w:val="0"/>
      <w:divBdr>
        <w:top w:val="none" w:sz="0" w:space="0" w:color="auto"/>
        <w:left w:val="none" w:sz="0" w:space="0" w:color="auto"/>
        <w:bottom w:val="none" w:sz="0" w:space="0" w:color="auto"/>
        <w:right w:val="none" w:sz="0" w:space="0" w:color="auto"/>
      </w:divBdr>
      <w:divsChild>
        <w:div w:id="1267886648">
          <w:marLeft w:val="0"/>
          <w:marRight w:val="0"/>
          <w:marTop w:val="0"/>
          <w:marBottom w:val="0"/>
          <w:divBdr>
            <w:top w:val="none" w:sz="0" w:space="0" w:color="auto"/>
            <w:left w:val="none" w:sz="0" w:space="0" w:color="auto"/>
            <w:bottom w:val="none" w:sz="0" w:space="0" w:color="auto"/>
            <w:right w:val="none" w:sz="0" w:space="0" w:color="auto"/>
          </w:divBdr>
        </w:div>
        <w:div w:id="59990029">
          <w:marLeft w:val="0"/>
          <w:marRight w:val="0"/>
          <w:marTop w:val="0"/>
          <w:marBottom w:val="0"/>
          <w:divBdr>
            <w:top w:val="none" w:sz="0" w:space="0" w:color="auto"/>
            <w:left w:val="none" w:sz="0" w:space="0" w:color="auto"/>
            <w:bottom w:val="none" w:sz="0" w:space="0" w:color="auto"/>
            <w:right w:val="none" w:sz="0" w:space="0" w:color="auto"/>
          </w:divBdr>
        </w:div>
        <w:div w:id="29456502">
          <w:marLeft w:val="0"/>
          <w:marRight w:val="0"/>
          <w:marTop w:val="0"/>
          <w:marBottom w:val="0"/>
          <w:divBdr>
            <w:top w:val="none" w:sz="0" w:space="0" w:color="auto"/>
            <w:left w:val="none" w:sz="0" w:space="0" w:color="auto"/>
            <w:bottom w:val="none" w:sz="0" w:space="0" w:color="auto"/>
            <w:right w:val="none" w:sz="0" w:space="0" w:color="auto"/>
          </w:divBdr>
        </w:div>
        <w:div w:id="2114857006">
          <w:marLeft w:val="0"/>
          <w:marRight w:val="0"/>
          <w:marTop w:val="0"/>
          <w:marBottom w:val="0"/>
          <w:divBdr>
            <w:top w:val="none" w:sz="0" w:space="0" w:color="auto"/>
            <w:left w:val="none" w:sz="0" w:space="0" w:color="auto"/>
            <w:bottom w:val="none" w:sz="0" w:space="0" w:color="auto"/>
            <w:right w:val="none" w:sz="0" w:space="0" w:color="auto"/>
          </w:divBdr>
        </w:div>
        <w:div w:id="1979650119">
          <w:marLeft w:val="0"/>
          <w:marRight w:val="0"/>
          <w:marTop w:val="0"/>
          <w:marBottom w:val="0"/>
          <w:divBdr>
            <w:top w:val="none" w:sz="0" w:space="0" w:color="auto"/>
            <w:left w:val="none" w:sz="0" w:space="0" w:color="auto"/>
            <w:bottom w:val="none" w:sz="0" w:space="0" w:color="auto"/>
            <w:right w:val="none" w:sz="0" w:space="0" w:color="auto"/>
          </w:divBdr>
        </w:div>
        <w:div w:id="35811077">
          <w:marLeft w:val="0"/>
          <w:marRight w:val="0"/>
          <w:marTop w:val="0"/>
          <w:marBottom w:val="0"/>
          <w:divBdr>
            <w:top w:val="none" w:sz="0" w:space="0" w:color="auto"/>
            <w:left w:val="none" w:sz="0" w:space="0" w:color="auto"/>
            <w:bottom w:val="none" w:sz="0" w:space="0" w:color="auto"/>
            <w:right w:val="none" w:sz="0" w:space="0" w:color="auto"/>
          </w:divBdr>
        </w:div>
      </w:divsChild>
    </w:div>
    <w:div w:id="1295061828">
      <w:bodyDiv w:val="1"/>
      <w:marLeft w:val="0"/>
      <w:marRight w:val="0"/>
      <w:marTop w:val="0"/>
      <w:marBottom w:val="0"/>
      <w:divBdr>
        <w:top w:val="none" w:sz="0" w:space="0" w:color="auto"/>
        <w:left w:val="none" w:sz="0" w:space="0" w:color="auto"/>
        <w:bottom w:val="none" w:sz="0" w:space="0" w:color="auto"/>
        <w:right w:val="none" w:sz="0" w:space="0" w:color="auto"/>
      </w:divBdr>
    </w:div>
    <w:div w:id="1304386499">
      <w:bodyDiv w:val="1"/>
      <w:marLeft w:val="0"/>
      <w:marRight w:val="0"/>
      <w:marTop w:val="0"/>
      <w:marBottom w:val="0"/>
      <w:divBdr>
        <w:top w:val="none" w:sz="0" w:space="0" w:color="auto"/>
        <w:left w:val="none" w:sz="0" w:space="0" w:color="auto"/>
        <w:bottom w:val="none" w:sz="0" w:space="0" w:color="auto"/>
        <w:right w:val="none" w:sz="0" w:space="0" w:color="auto"/>
      </w:divBdr>
    </w:div>
    <w:div w:id="1329865795">
      <w:bodyDiv w:val="1"/>
      <w:marLeft w:val="0"/>
      <w:marRight w:val="0"/>
      <w:marTop w:val="0"/>
      <w:marBottom w:val="0"/>
      <w:divBdr>
        <w:top w:val="none" w:sz="0" w:space="0" w:color="auto"/>
        <w:left w:val="none" w:sz="0" w:space="0" w:color="auto"/>
        <w:bottom w:val="none" w:sz="0" w:space="0" w:color="auto"/>
        <w:right w:val="none" w:sz="0" w:space="0" w:color="auto"/>
      </w:divBdr>
    </w:div>
    <w:div w:id="1348411471">
      <w:bodyDiv w:val="1"/>
      <w:marLeft w:val="0"/>
      <w:marRight w:val="0"/>
      <w:marTop w:val="0"/>
      <w:marBottom w:val="0"/>
      <w:divBdr>
        <w:top w:val="none" w:sz="0" w:space="0" w:color="auto"/>
        <w:left w:val="none" w:sz="0" w:space="0" w:color="auto"/>
        <w:bottom w:val="none" w:sz="0" w:space="0" w:color="auto"/>
        <w:right w:val="none" w:sz="0" w:space="0" w:color="auto"/>
      </w:divBdr>
      <w:divsChild>
        <w:div w:id="384067360">
          <w:marLeft w:val="0"/>
          <w:marRight w:val="0"/>
          <w:marTop w:val="0"/>
          <w:marBottom w:val="0"/>
          <w:divBdr>
            <w:top w:val="none" w:sz="0" w:space="0" w:color="auto"/>
            <w:left w:val="none" w:sz="0" w:space="0" w:color="auto"/>
            <w:bottom w:val="none" w:sz="0" w:space="0" w:color="auto"/>
            <w:right w:val="none" w:sz="0" w:space="0" w:color="auto"/>
          </w:divBdr>
        </w:div>
        <w:div w:id="1525434658">
          <w:marLeft w:val="0"/>
          <w:marRight w:val="0"/>
          <w:marTop w:val="0"/>
          <w:marBottom w:val="0"/>
          <w:divBdr>
            <w:top w:val="none" w:sz="0" w:space="0" w:color="auto"/>
            <w:left w:val="none" w:sz="0" w:space="0" w:color="auto"/>
            <w:bottom w:val="none" w:sz="0" w:space="0" w:color="auto"/>
            <w:right w:val="none" w:sz="0" w:space="0" w:color="auto"/>
          </w:divBdr>
        </w:div>
        <w:div w:id="747772451">
          <w:marLeft w:val="0"/>
          <w:marRight w:val="0"/>
          <w:marTop w:val="0"/>
          <w:marBottom w:val="0"/>
          <w:divBdr>
            <w:top w:val="none" w:sz="0" w:space="0" w:color="auto"/>
            <w:left w:val="none" w:sz="0" w:space="0" w:color="auto"/>
            <w:bottom w:val="none" w:sz="0" w:space="0" w:color="auto"/>
            <w:right w:val="none" w:sz="0" w:space="0" w:color="auto"/>
          </w:divBdr>
        </w:div>
        <w:div w:id="1107580383">
          <w:marLeft w:val="0"/>
          <w:marRight w:val="0"/>
          <w:marTop w:val="0"/>
          <w:marBottom w:val="0"/>
          <w:divBdr>
            <w:top w:val="none" w:sz="0" w:space="0" w:color="auto"/>
            <w:left w:val="none" w:sz="0" w:space="0" w:color="auto"/>
            <w:bottom w:val="none" w:sz="0" w:space="0" w:color="auto"/>
            <w:right w:val="none" w:sz="0" w:space="0" w:color="auto"/>
          </w:divBdr>
        </w:div>
        <w:div w:id="1922786868">
          <w:marLeft w:val="0"/>
          <w:marRight w:val="0"/>
          <w:marTop w:val="0"/>
          <w:marBottom w:val="0"/>
          <w:divBdr>
            <w:top w:val="none" w:sz="0" w:space="0" w:color="auto"/>
            <w:left w:val="none" w:sz="0" w:space="0" w:color="auto"/>
            <w:bottom w:val="none" w:sz="0" w:space="0" w:color="auto"/>
            <w:right w:val="none" w:sz="0" w:space="0" w:color="auto"/>
          </w:divBdr>
        </w:div>
        <w:div w:id="231503257">
          <w:marLeft w:val="0"/>
          <w:marRight w:val="0"/>
          <w:marTop w:val="0"/>
          <w:marBottom w:val="0"/>
          <w:divBdr>
            <w:top w:val="none" w:sz="0" w:space="0" w:color="auto"/>
            <w:left w:val="none" w:sz="0" w:space="0" w:color="auto"/>
            <w:bottom w:val="none" w:sz="0" w:space="0" w:color="auto"/>
            <w:right w:val="none" w:sz="0" w:space="0" w:color="auto"/>
          </w:divBdr>
        </w:div>
        <w:div w:id="358119573">
          <w:marLeft w:val="0"/>
          <w:marRight w:val="0"/>
          <w:marTop w:val="0"/>
          <w:marBottom w:val="0"/>
          <w:divBdr>
            <w:top w:val="none" w:sz="0" w:space="0" w:color="auto"/>
            <w:left w:val="none" w:sz="0" w:space="0" w:color="auto"/>
            <w:bottom w:val="none" w:sz="0" w:space="0" w:color="auto"/>
            <w:right w:val="none" w:sz="0" w:space="0" w:color="auto"/>
          </w:divBdr>
        </w:div>
        <w:div w:id="129446081">
          <w:marLeft w:val="0"/>
          <w:marRight w:val="0"/>
          <w:marTop w:val="0"/>
          <w:marBottom w:val="0"/>
          <w:divBdr>
            <w:top w:val="none" w:sz="0" w:space="0" w:color="auto"/>
            <w:left w:val="none" w:sz="0" w:space="0" w:color="auto"/>
            <w:bottom w:val="none" w:sz="0" w:space="0" w:color="auto"/>
            <w:right w:val="none" w:sz="0" w:space="0" w:color="auto"/>
          </w:divBdr>
        </w:div>
        <w:div w:id="1624264839">
          <w:marLeft w:val="0"/>
          <w:marRight w:val="0"/>
          <w:marTop w:val="0"/>
          <w:marBottom w:val="0"/>
          <w:divBdr>
            <w:top w:val="none" w:sz="0" w:space="0" w:color="auto"/>
            <w:left w:val="none" w:sz="0" w:space="0" w:color="auto"/>
            <w:bottom w:val="none" w:sz="0" w:space="0" w:color="auto"/>
            <w:right w:val="none" w:sz="0" w:space="0" w:color="auto"/>
          </w:divBdr>
        </w:div>
        <w:div w:id="1711102447">
          <w:marLeft w:val="0"/>
          <w:marRight w:val="0"/>
          <w:marTop w:val="0"/>
          <w:marBottom w:val="0"/>
          <w:divBdr>
            <w:top w:val="none" w:sz="0" w:space="0" w:color="auto"/>
            <w:left w:val="none" w:sz="0" w:space="0" w:color="auto"/>
            <w:bottom w:val="none" w:sz="0" w:space="0" w:color="auto"/>
            <w:right w:val="none" w:sz="0" w:space="0" w:color="auto"/>
          </w:divBdr>
        </w:div>
        <w:div w:id="1391688156">
          <w:marLeft w:val="0"/>
          <w:marRight w:val="0"/>
          <w:marTop w:val="0"/>
          <w:marBottom w:val="0"/>
          <w:divBdr>
            <w:top w:val="none" w:sz="0" w:space="0" w:color="auto"/>
            <w:left w:val="none" w:sz="0" w:space="0" w:color="auto"/>
            <w:bottom w:val="none" w:sz="0" w:space="0" w:color="auto"/>
            <w:right w:val="none" w:sz="0" w:space="0" w:color="auto"/>
          </w:divBdr>
        </w:div>
        <w:div w:id="226455167">
          <w:marLeft w:val="0"/>
          <w:marRight w:val="0"/>
          <w:marTop w:val="0"/>
          <w:marBottom w:val="0"/>
          <w:divBdr>
            <w:top w:val="none" w:sz="0" w:space="0" w:color="auto"/>
            <w:left w:val="none" w:sz="0" w:space="0" w:color="auto"/>
            <w:bottom w:val="none" w:sz="0" w:space="0" w:color="auto"/>
            <w:right w:val="none" w:sz="0" w:space="0" w:color="auto"/>
          </w:divBdr>
        </w:div>
        <w:div w:id="812992106">
          <w:marLeft w:val="0"/>
          <w:marRight w:val="0"/>
          <w:marTop w:val="0"/>
          <w:marBottom w:val="0"/>
          <w:divBdr>
            <w:top w:val="none" w:sz="0" w:space="0" w:color="auto"/>
            <w:left w:val="none" w:sz="0" w:space="0" w:color="auto"/>
            <w:bottom w:val="none" w:sz="0" w:space="0" w:color="auto"/>
            <w:right w:val="none" w:sz="0" w:space="0" w:color="auto"/>
          </w:divBdr>
        </w:div>
        <w:div w:id="1608930812">
          <w:marLeft w:val="0"/>
          <w:marRight w:val="0"/>
          <w:marTop w:val="0"/>
          <w:marBottom w:val="0"/>
          <w:divBdr>
            <w:top w:val="none" w:sz="0" w:space="0" w:color="auto"/>
            <w:left w:val="none" w:sz="0" w:space="0" w:color="auto"/>
            <w:bottom w:val="none" w:sz="0" w:space="0" w:color="auto"/>
            <w:right w:val="none" w:sz="0" w:space="0" w:color="auto"/>
          </w:divBdr>
        </w:div>
      </w:divsChild>
    </w:div>
    <w:div w:id="1350716700">
      <w:bodyDiv w:val="1"/>
      <w:marLeft w:val="0"/>
      <w:marRight w:val="0"/>
      <w:marTop w:val="0"/>
      <w:marBottom w:val="0"/>
      <w:divBdr>
        <w:top w:val="none" w:sz="0" w:space="0" w:color="auto"/>
        <w:left w:val="none" w:sz="0" w:space="0" w:color="auto"/>
        <w:bottom w:val="none" w:sz="0" w:space="0" w:color="auto"/>
        <w:right w:val="none" w:sz="0" w:space="0" w:color="auto"/>
      </w:divBdr>
    </w:div>
    <w:div w:id="1443914271">
      <w:bodyDiv w:val="1"/>
      <w:marLeft w:val="0"/>
      <w:marRight w:val="0"/>
      <w:marTop w:val="0"/>
      <w:marBottom w:val="0"/>
      <w:divBdr>
        <w:top w:val="none" w:sz="0" w:space="0" w:color="auto"/>
        <w:left w:val="none" w:sz="0" w:space="0" w:color="auto"/>
        <w:bottom w:val="none" w:sz="0" w:space="0" w:color="auto"/>
        <w:right w:val="none" w:sz="0" w:space="0" w:color="auto"/>
      </w:divBdr>
      <w:divsChild>
        <w:div w:id="166218690">
          <w:marLeft w:val="0"/>
          <w:marRight w:val="0"/>
          <w:marTop w:val="0"/>
          <w:marBottom w:val="0"/>
          <w:divBdr>
            <w:top w:val="none" w:sz="0" w:space="0" w:color="auto"/>
            <w:left w:val="none" w:sz="0" w:space="0" w:color="auto"/>
            <w:bottom w:val="none" w:sz="0" w:space="0" w:color="auto"/>
            <w:right w:val="none" w:sz="0" w:space="0" w:color="auto"/>
          </w:divBdr>
        </w:div>
        <w:div w:id="25064610">
          <w:marLeft w:val="0"/>
          <w:marRight w:val="0"/>
          <w:marTop w:val="0"/>
          <w:marBottom w:val="0"/>
          <w:divBdr>
            <w:top w:val="none" w:sz="0" w:space="0" w:color="auto"/>
            <w:left w:val="none" w:sz="0" w:space="0" w:color="auto"/>
            <w:bottom w:val="none" w:sz="0" w:space="0" w:color="auto"/>
            <w:right w:val="none" w:sz="0" w:space="0" w:color="auto"/>
          </w:divBdr>
        </w:div>
        <w:div w:id="172956120">
          <w:marLeft w:val="0"/>
          <w:marRight w:val="0"/>
          <w:marTop w:val="0"/>
          <w:marBottom w:val="0"/>
          <w:divBdr>
            <w:top w:val="none" w:sz="0" w:space="0" w:color="auto"/>
            <w:left w:val="none" w:sz="0" w:space="0" w:color="auto"/>
            <w:bottom w:val="none" w:sz="0" w:space="0" w:color="auto"/>
            <w:right w:val="none" w:sz="0" w:space="0" w:color="auto"/>
          </w:divBdr>
        </w:div>
        <w:div w:id="1963799410">
          <w:marLeft w:val="0"/>
          <w:marRight w:val="0"/>
          <w:marTop w:val="0"/>
          <w:marBottom w:val="0"/>
          <w:divBdr>
            <w:top w:val="none" w:sz="0" w:space="0" w:color="auto"/>
            <w:left w:val="none" w:sz="0" w:space="0" w:color="auto"/>
            <w:bottom w:val="none" w:sz="0" w:space="0" w:color="auto"/>
            <w:right w:val="none" w:sz="0" w:space="0" w:color="auto"/>
          </w:divBdr>
        </w:div>
        <w:div w:id="819463921">
          <w:marLeft w:val="0"/>
          <w:marRight w:val="0"/>
          <w:marTop w:val="0"/>
          <w:marBottom w:val="0"/>
          <w:divBdr>
            <w:top w:val="none" w:sz="0" w:space="0" w:color="auto"/>
            <w:left w:val="none" w:sz="0" w:space="0" w:color="auto"/>
            <w:bottom w:val="none" w:sz="0" w:space="0" w:color="auto"/>
            <w:right w:val="none" w:sz="0" w:space="0" w:color="auto"/>
          </w:divBdr>
        </w:div>
        <w:div w:id="1625577387">
          <w:marLeft w:val="0"/>
          <w:marRight w:val="0"/>
          <w:marTop w:val="0"/>
          <w:marBottom w:val="0"/>
          <w:divBdr>
            <w:top w:val="none" w:sz="0" w:space="0" w:color="auto"/>
            <w:left w:val="none" w:sz="0" w:space="0" w:color="auto"/>
            <w:bottom w:val="none" w:sz="0" w:space="0" w:color="auto"/>
            <w:right w:val="none" w:sz="0" w:space="0" w:color="auto"/>
          </w:divBdr>
        </w:div>
        <w:div w:id="1785422084">
          <w:marLeft w:val="0"/>
          <w:marRight w:val="0"/>
          <w:marTop w:val="0"/>
          <w:marBottom w:val="0"/>
          <w:divBdr>
            <w:top w:val="none" w:sz="0" w:space="0" w:color="auto"/>
            <w:left w:val="none" w:sz="0" w:space="0" w:color="auto"/>
            <w:bottom w:val="none" w:sz="0" w:space="0" w:color="auto"/>
            <w:right w:val="none" w:sz="0" w:space="0" w:color="auto"/>
          </w:divBdr>
        </w:div>
        <w:div w:id="156043545">
          <w:marLeft w:val="0"/>
          <w:marRight w:val="0"/>
          <w:marTop w:val="0"/>
          <w:marBottom w:val="0"/>
          <w:divBdr>
            <w:top w:val="none" w:sz="0" w:space="0" w:color="auto"/>
            <w:left w:val="none" w:sz="0" w:space="0" w:color="auto"/>
            <w:bottom w:val="none" w:sz="0" w:space="0" w:color="auto"/>
            <w:right w:val="none" w:sz="0" w:space="0" w:color="auto"/>
          </w:divBdr>
        </w:div>
        <w:div w:id="330107432">
          <w:marLeft w:val="0"/>
          <w:marRight w:val="0"/>
          <w:marTop w:val="0"/>
          <w:marBottom w:val="0"/>
          <w:divBdr>
            <w:top w:val="none" w:sz="0" w:space="0" w:color="auto"/>
            <w:left w:val="none" w:sz="0" w:space="0" w:color="auto"/>
            <w:bottom w:val="none" w:sz="0" w:space="0" w:color="auto"/>
            <w:right w:val="none" w:sz="0" w:space="0" w:color="auto"/>
          </w:divBdr>
        </w:div>
        <w:div w:id="826360011">
          <w:marLeft w:val="0"/>
          <w:marRight w:val="0"/>
          <w:marTop w:val="0"/>
          <w:marBottom w:val="0"/>
          <w:divBdr>
            <w:top w:val="none" w:sz="0" w:space="0" w:color="auto"/>
            <w:left w:val="none" w:sz="0" w:space="0" w:color="auto"/>
            <w:bottom w:val="none" w:sz="0" w:space="0" w:color="auto"/>
            <w:right w:val="none" w:sz="0" w:space="0" w:color="auto"/>
          </w:divBdr>
        </w:div>
        <w:div w:id="977950622">
          <w:marLeft w:val="0"/>
          <w:marRight w:val="0"/>
          <w:marTop w:val="0"/>
          <w:marBottom w:val="0"/>
          <w:divBdr>
            <w:top w:val="none" w:sz="0" w:space="0" w:color="auto"/>
            <w:left w:val="none" w:sz="0" w:space="0" w:color="auto"/>
            <w:bottom w:val="none" w:sz="0" w:space="0" w:color="auto"/>
            <w:right w:val="none" w:sz="0" w:space="0" w:color="auto"/>
          </w:divBdr>
        </w:div>
        <w:div w:id="1581065658">
          <w:marLeft w:val="0"/>
          <w:marRight w:val="0"/>
          <w:marTop w:val="0"/>
          <w:marBottom w:val="0"/>
          <w:divBdr>
            <w:top w:val="none" w:sz="0" w:space="0" w:color="auto"/>
            <w:left w:val="none" w:sz="0" w:space="0" w:color="auto"/>
            <w:bottom w:val="none" w:sz="0" w:space="0" w:color="auto"/>
            <w:right w:val="none" w:sz="0" w:space="0" w:color="auto"/>
          </w:divBdr>
        </w:div>
      </w:divsChild>
    </w:div>
    <w:div w:id="1519537961">
      <w:bodyDiv w:val="1"/>
      <w:marLeft w:val="0"/>
      <w:marRight w:val="0"/>
      <w:marTop w:val="0"/>
      <w:marBottom w:val="0"/>
      <w:divBdr>
        <w:top w:val="none" w:sz="0" w:space="0" w:color="auto"/>
        <w:left w:val="none" w:sz="0" w:space="0" w:color="auto"/>
        <w:bottom w:val="none" w:sz="0" w:space="0" w:color="auto"/>
        <w:right w:val="none" w:sz="0" w:space="0" w:color="auto"/>
      </w:divBdr>
    </w:div>
    <w:div w:id="1549219286">
      <w:bodyDiv w:val="1"/>
      <w:marLeft w:val="0"/>
      <w:marRight w:val="0"/>
      <w:marTop w:val="0"/>
      <w:marBottom w:val="0"/>
      <w:divBdr>
        <w:top w:val="none" w:sz="0" w:space="0" w:color="auto"/>
        <w:left w:val="none" w:sz="0" w:space="0" w:color="auto"/>
        <w:bottom w:val="none" w:sz="0" w:space="0" w:color="auto"/>
        <w:right w:val="none" w:sz="0" w:space="0" w:color="auto"/>
      </w:divBdr>
      <w:divsChild>
        <w:div w:id="839585368">
          <w:marLeft w:val="0"/>
          <w:marRight w:val="0"/>
          <w:marTop w:val="0"/>
          <w:marBottom w:val="0"/>
          <w:divBdr>
            <w:top w:val="none" w:sz="0" w:space="0" w:color="auto"/>
            <w:left w:val="none" w:sz="0" w:space="0" w:color="auto"/>
            <w:bottom w:val="none" w:sz="0" w:space="0" w:color="auto"/>
            <w:right w:val="none" w:sz="0" w:space="0" w:color="auto"/>
          </w:divBdr>
        </w:div>
        <w:div w:id="1491410471">
          <w:marLeft w:val="0"/>
          <w:marRight w:val="0"/>
          <w:marTop w:val="0"/>
          <w:marBottom w:val="0"/>
          <w:divBdr>
            <w:top w:val="none" w:sz="0" w:space="0" w:color="auto"/>
            <w:left w:val="none" w:sz="0" w:space="0" w:color="auto"/>
            <w:bottom w:val="none" w:sz="0" w:space="0" w:color="auto"/>
            <w:right w:val="none" w:sz="0" w:space="0" w:color="auto"/>
          </w:divBdr>
        </w:div>
        <w:div w:id="1385911615">
          <w:marLeft w:val="0"/>
          <w:marRight w:val="0"/>
          <w:marTop w:val="0"/>
          <w:marBottom w:val="0"/>
          <w:divBdr>
            <w:top w:val="none" w:sz="0" w:space="0" w:color="auto"/>
            <w:left w:val="none" w:sz="0" w:space="0" w:color="auto"/>
            <w:bottom w:val="none" w:sz="0" w:space="0" w:color="auto"/>
            <w:right w:val="none" w:sz="0" w:space="0" w:color="auto"/>
          </w:divBdr>
        </w:div>
        <w:div w:id="1697997544">
          <w:marLeft w:val="0"/>
          <w:marRight w:val="0"/>
          <w:marTop w:val="0"/>
          <w:marBottom w:val="0"/>
          <w:divBdr>
            <w:top w:val="none" w:sz="0" w:space="0" w:color="auto"/>
            <w:left w:val="none" w:sz="0" w:space="0" w:color="auto"/>
            <w:bottom w:val="none" w:sz="0" w:space="0" w:color="auto"/>
            <w:right w:val="none" w:sz="0" w:space="0" w:color="auto"/>
          </w:divBdr>
        </w:div>
        <w:div w:id="1981418653">
          <w:marLeft w:val="0"/>
          <w:marRight w:val="0"/>
          <w:marTop w:val="0"/>
          <w:marBottom w:val="0"/>
          <w:divBdr>
            <w:top w:val="none" w:sz="0" w:space="0" w:color="auto"/>
            <w:left w:val="none" w:sz="0" w:space="0" w:color="auto"/>
            <w:bottom w:val="none" w:sz="0" w:space="0" w:color="auto"/>
            <w:right w:val="none" w:sz="0" w:space="0" w:color="auto"/>
          </w:divBdr>
        </w:div>
        <w:div w:id="2074230983">
          <w:marLeft w:val="0"/>
          <w:marRight w:val="0"/>
          <w:marTop w:val="0"/>
          <w:marBottom w:val="0"/>
          <w:divBdr>
            <w:top w:val="none" w:sz="0" w:space="0" w:color="auto"/>
            <w:left w:val="none" w:sz="0" w:space="0" w:color="auto"/>
            <w:bottom w:val="none" w:sz="0" w:space="0" w:color="auto"/>
            <w:right w:val="none" w:sz="0" w:space="0" w:color="auto"/>
          </w:divBdr>
        </w:div>
        <w:div w:id="686061981">
          <w:marLeft w:val="0"/>
          <w:marRight w:val="0"/>
          <w:marTop w:val="0"/>
          <w:marBottom w:val="0"/>
          <w:divBdr>
            <w:top w:val="none" w:sz="0" w:space="0" w:color="auto"/>
            <w:left w:val="none" w:sz="0" w:space="0" w:color="auto"/>
            <w:bottom w:val="none" w:sz="0" w:space="0" w:color="auto"/>
            <w:right w:val="none" w:sz="0" w:space="0" w:color="auto"/>
          </w:divBdr>
        </w:div>
        <w:div w:id="567419893">
          <w:marLeft w:val="0"/>
          <w:marRight w:val="0"/>
          <w:marTop w:val="0"/>
          <w:marBottom w:val="0"/>
          <w:divBdr>
            <w:top w:val="none" w:sz="0" w:space="0" w:color="auto"/>
            <w:left w:val="none" w:sz="0" w:space="0" w:color="auto"/>
            <w:bottom w:val="none" w:sz="0" w:space="0" w:color="auto"/>
            <w:right w:val="none" w:sz="0" w:space="0" w:color="auto"/>
          </w:divBdr>
        </w:div>
        <w:div w:id="1942453282">
          <w:marLeft w:val="0"/>
          <w:marRight w:val="0"/>
          <w:marTop w:val="0"/>
          <w:marBottom w:val="0"/>
          <w:divBdr>
            <w:top w:val="none" w:sz="0" w:space="0" w:color="auto"/>
            <w:left w:val="none" w:sz="0" w:space="0" w:color="auto"/>
            <w:bottom w:val="none" w:sz="0" w:space="0" w:color="auto"/>
            <w:right w:val="none" w:sz="0" w:space="0" w:color="auto"/>
          </w:divBdr>
        </w:div>
      </w:divsChild>
    </w:div>
    <w:div w:id="1567522360">
      <w:bodyDiv w:val="1"/>
      <w:marLeft w:val="0"/>
      <w:marRight w:val="0"/>
      <w:marTop w:val="0"/>
      <w:marBottom w:val="0"/>
      <w:divBdr>
        <w:top w:val="none" w:sz="0" w:space="0" w:color="auto"/>
        <w:left w:val="none" w:sz="0" w:space="0" w:color="auto"/>
        <w:bottom w:val="none" w:sz="0" w:space="0" w:color="auto"/>
        <w:right w:val="none" w:sz="0" w:space="0" w:color="auto"/>
      </w:divBdr>
    </w:div>
    <w:div w:id="1607957282">
      <w:bodyDiv w:val="1"/>
      <w:marLeft w:val="0"/>
      <w:marRight w:val="0"/>
      <w:marTop w:val="0"/>
      <w:marBottom w:val="0"/>
      <w:divBdr>
        <w:top w:val="none" w:sz="0" w:space="0" w:color="auto"/>
        <w:left w:val="none" w:sz="0" w:space="0" w:color="auto"/>
        <w:bottom w:val="none" w:sz="0" w:space="0" w:color="auto"/>
        <w:right w:val="none" w:sz="0" w:space="0" w:color="auto"/>
      </w:divBdr>
    </w:div>
    <w:div w:id="1742213731">
      <w:bodyDiv w:val="1"/>
      <w:marLeft w:val="0"/>
      <w:marRight w:val="0"/>
      <w:marTop w:val="0"/>
      <w:marBottom w:val="0"/>
      <w:divBdr>
        <w:top w:val="none" w:sz="0" w:space="0" w:color="auto"/>
        <w:left w:val="none" w:sz="0" w:space="0" w:color="auto"/>
        <w:bottom w:val="none" w:sz="0" w:space="0" w:color="auto"/>
        <w:right w:val="none" w:sz="0" w:space="0" w:color="auto"/>
      </w:divBdr>
    </w:div>
    <w:div w:id="1791240988">
      <w:bodyDiv w:val="1"/>
      <w:marLeft w:val="0"/>
      <w:marRight w:val="0"/>
      <w:marTop w:val="0"/>
      <w:marBottom w:val="0"/>
      <w:divBdr>
        <w:top w:val="none" w:sz="0" w:space="0" w:color="auto"/>
        <w:left w:val="none" w:sz="0" w:space="0" w:color="auto"/>
        <w:bottom w:val="none" w:sz="0" w:space="0" w:color="auto"/>
        <w:right w:val="none" w:sz="0" w:space="0" w:color="auto"/>
      </w:divBdr>
    </w:div>
    <w:div w:id="1880316206">
      <w:bodyDiv w:val="1"/>
      <w:marLeft w:val="0"/>
      <w:marRight w:val="0"/>
      <w:marTop w:val="0"/>
      <w:marBottom w:val="0"/>
      <w:divBdr>
        <w:top w:val="none" w:sz="0" w:space="0" w:color="auto"/>
        <w:left w:val="none" w:sz="0" w:space="0" w:color="auto"/>
        <w:bottom w:val="none" w:sz="0" w:space="0" w:color="auto"/>
        <w:right w:val="none" w:sz="0" w:space="0" w:color="auto"/>
      </w:divBdr>
    </w:div>
    <w:div w:id="1890914156">
      <w:bodyDiv w:val="1"/>
      <w:marLeft w:val="0"/>
      <w:marRight w:val="0"/>
      <w:marTop w:val="0"/>
      <w:marBottom w:val="0"/>
      <w:divBdr>
        <w:top w:val="none" w:sz="0" w:space="0" w:color="auto"/>
        <w:left w:val="none" w:sz="0" w:space="0" w:color="auto"/>
        <w:bottom w:val="none" w:sz="0" w:space="0" w:color="auto"/>
        <w:right w:val="none" w:sz="0" w:space="0" w:color="auto"/>
      </w:divBdr>
    </w:div>
    <w:div w:id="1901940424">
      <w:bodyDiv w:val="1"/>
      <w:marLeft w:val="0"/>
      <w:marRight w:val="0"/>
      <w:marTop w:val="0"/>
      <w:marBottom w:val="0"/>
      <w:divBdr>
        <w:top w:val="none" w:sz="0" w:space="0" w:color="auto"/>
        <w:left w:val="none" w:sz="0" w:space="0" w:color="auto"/>
        <w:bottom w:val="none" w:sz="0" w:space="0" w:color="auto"/>
        <w:right w:val="none" w:sz="0" w:space="0" w:color="auto"/>
      </w:divBdr>
    </w:div>
    <w:div w:id="1905218518">
      <w:bodyDiv w:val="1"/>
      <w:marLeft w:val="0"/>
      <w:marRight w:val="0"/>
      <w:marTop w:val="0"/>
      <w:marBottom w:val="0"/>
      <w:divBdr>
        <w:top w:val="none" w:sz="0" w:space="0" w:color="auto"/>
        <w:left w:val="none" w:sz="0" w:space="0" w:color="auto"/>
        <w:bottom w:val="none" w:sz="0" w:space="0" w:color="auto"/>
        <w:right w:val="none" w:sz="0" w:space="0" w:color="auto"/>
      </w:divBdr>
    </w:div>
    <w:div w:id="1914461089">
      <w:bodyDiv w:val="1"/>
      <w:marLeft w:val="0"/>
      <w:marRight w:val="0"/>
      <w:marTop w:val="0"/>
      <w:marBottom w:val="0"/>
      <w:divBdr>
        <w:top w:val="none" w:sz="0" w:space="0" w:color="auto"/>
        <w:left w:val="none" w:sz="0" w:space="0" w:color="auto"/>
        <w:bottom w:val="none" w:sz="0" w:space="0" w:color="auto"/>
        <w:right w:val="none" w:sz="0" w:space="0" w:color="auto"/>
      </w:divBdr>
    </w:div>
    <w:div w:id="1954481547">
      <w:bodyDiv w:val="1"/>
      <w:marLeft w:val="0"/>
      <w:marRight w:val="0"/>
      <w:marTop w:val="0"/>
      <w:marBottom w:val="0"/>
      <w:divBdr>
        <w:top w:val="none" w:sz="0" w:space="0" w:color="auto"/>
        <w:left w:val="none" w:sz="0" w:space="0" w:color="auto"/>
        <w:bottom w:val="none" w:sz="0" w:space="0" w:color="auto"/>
        <w:right w:val="none" w:sz="0" w:space="0" w:color="auto"/>
      </w:divBdr>
    </w:div>
    <w:div w:id="1989356629">
      <w:bodyDiv w:val="1"/>
      <w:marLeft w:val="0"/>
      <w:marRight w:val="0"/>
      <w:marTop w:val="0"/>
      <w:marBottom w:val="0"/>
      <w:divBdr>
        <w:top w:val="none" w:sz="0" w:space="0" w:color="auto"/>
        <w:left w:val="none" w:sz="0" w:space="0" w:color="auto"/>
        <w:bottom w:val="none" w:sz="0" w:space="0" w:color="auto"/>
        <w:right w:val="none" w:sz="0" w:space="0" w:color="auto"/>
      </w:divBdr>
    </w:div>
    <w:div w:id="1989748821">
      <w:bodyDiv w:val="1"/>
      <w:marLeft w:val="0"/>
      <w:marRight w:val="0"/>
      <w:marTop w:val="0"/>
      <w:marBottom w:val="0"/>
      <w:divBdr>
        <w:top w:val="none" w:sz="0" w:space="0" w:color="auto"/>
        <w:left w:val="none" w:sz="0" w:space="0" w:color="auto"/>
        <w:bottom w:val="none" w:sz="0" w:space="0" w:color="auto"/>
        <w:right w:val="none" w:sz="0" w:space="0" w:color="auto"/>
      </w:divBdr>
    </w:div>
    <w:div w:id="2056270226">
      <w:bodyDiv w:val="1"/>
      <w:marLeft w:val="0"/>
      <w:marRight w:val="0"/>
      <w:marTop w:val="0"/>
      <w:marBottom w:val="0"/>
      <w:divBdr>
        <w:top w:val="none" w:sz="0" w:space="0" w:color="auto"/>
        <w:left w:val="none" w:sz="0" w:space="0" w:color="auto"/>
        <w:bottom w:val="none" w:sz="0" w:space="0" w:color="auto"/>
        <w:right w:val="none" w:sz="0" w:space="0" w:color="auto"/>
      </w:divBdr>
    </w:div>
    <w:div w:id="2063946518">
      <w:bodyDiv w:val="1"/>
      <w:marLeft w:val="0"/>
      <w:marRight w:val="0"/>
      <w:marTop w:val="0"/>
      <w:marBottom w:val="0"/>
      <w:divBdr>
        <w:top w:val="none" w:sz="0" w:space="0" w:color="auto"/>
        <w:left w:val="none" w:sz="0" w:space="0" w:color="auto"/>
        <w:bottom w:val="none" w:sz="0" w:space="0" w:color="auto"/>
        <w:right w:val="none" w:sz="0" w:space="0" w:color="auto"/>
      </w:divBdr>
    </w:div>
    <w:div w:id="2074162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9066D-DD39-4629-B7D1-99524E29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3789</TotalTime>
  <Pages>1</Pages>
  <Words>24270</Words>
  <Characters>145623</Characters>
  <Application>Microsoft Office Word</Application>
  <DocSecurity>8</DocSecurity>
  <Lines>1213</Lines>
  <Paragraphs>339</Paragraphs>
  <ScaleCrop>false</ScaleCrop>
  <HeadingPairs>
    <vt:vector size="2" baseType="variant">
      <vt:variant>
        <vt:lpstr>Tytuł</vt:lpstr>
      </vt:variant>
      <vt:variant>
        <vt:i4>1</vt:i4>
      </vt:variant>
    </vt:vector>
  </HeadingPairs>
  <TitlesOfParts>
    <vt:vector size="1" baseType="lpstr">
      <vt:lpstr>Ujawnienie informacji dotyczących ryzyka, funduszy własnych, wymogów kapitałowych, polityki w zakresie wynagrodzeń i innych informacji</vt:lpstr>
    </vt:vector>
  </TitlesOfParts>
  <Company/>
  <LinksUpToDate>false</LinksUpToDate>
  <CharactersWithSpaces>169554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Ujawnienie informacji dotyczących ryzyka, funduszy własnych, wymogów kapitałowych, polityki w zakresie wynagrodzeń i innych informacji</dc:title>
  <dc:subject>ADEKWATNOŚĆ KAPITAŁOWA I ZARZĄDZANIE RYZYKIEM W POZNAŃSKIM BANKU SPÓŁDZIELCZYM</dc:subject>
  <dc:creator>Marcin Kaczmarek</dc:creator>
  <cp:keywords>OBOWIĄZKOWE UJAWNIENIA</cp:keywords>
  <cp:lastModifiedBy>Monika Michalczyk</cp:lastModifiedBy>
  <cp:revision>374</cp:revision>
  <cp:lastPrinted>2021-06-29T10:11:00Z</cp:lastPrinted>
  <dcterms:created xsi:type="dcterms:W3CDTF">2017-09-18T08:07:00Z</dcterms:created>
  <dcterms:modified xsi:type="dcterms:W3CDTF">2021-07-02T13:34:00Z</dcterms:modified>
</cp:coreProperties>
</file>